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E721" w14:textId="77777777" w:rsidR="007F6AD8" w:rsidRDefault="00000000" w:rsidP="00917695">
      <w:pPr>
        <w:bidi/>
        <w:spacing w:after="80"/>
      </w:pPr>
      <w:r>
        <w:rPr>
          <w:rFonts w:ascii="Arial" w:eastAsia="Arial" w:hAnsi="Arial" w:cs="Arial"/>
          <w:b/>
          <w:color w:val="113B5F"/>
          <w:sz w:val="42"/>
        </w:rPr>
        <w:t>الأدب في العصر العباسي</w:t>
      </w:r>
    </w:p>
    <w:p w14:paraId="75C17152" w14:textId="77777777" w:rsidR="007F6AD8" w:rsidRDefault="00000000" w:rsidP="00917695">
      <w:pPr>
        <w:bidi/>
      </w:pPr>
      <w:r>
        <w:rPr>
          <w:rFonts w:ascii="Arial" w:eastAsia="Arial" w:hAnsi="Arial" w:cs="Arial"/>
          <w:color w:val="A0A0A0"/>
        </w:rPr>
        <w:t>────────────────────────────────────────────</w:t>
      </w:r>
    </w:p>
    <w:p w14:paraId="19255E7D" w14:textId="77777777" w:rsidR="007F6AD8" w:rsidRDefault="00000000" w:rsidP="00917695">
      <w:pPr>
        <w:bidi/>
        <w:spacing w:before="200" w:after="80"/>
      </w:pPr>
      <w:r>
        <w:rPr>
          <w:rFonts w:ascii="Arial" w:eastAsia="Arial" w:hAnsi="Arial" w:cs="Arial"/>
          <w:b/>
          <w:color w:val="1B5E20"/>
          <w:sz w:val="28"/>
        </w:rPr>
        <w:t>ملاحظة منهجية</w:t>
      </w:r>
    </w:p>
    <w:p w14:paraId="6AFAC78F" w14:textId="4E33E6C8" w:rsidR="000D7C36" w:rsidRDefault="00000000" w:rsidP="000D7C36">
      <w:pPr>
        <w:bidi/>
        <w:spacing w:after="120" w:line="300" w:lineRule="auto"/>
        <w:ind w:firstLine="340"/>
        <w:rPr>
          <w:rFonts w:ascii="Arial" w:eastAsia="Arial" w:hAnsi="Arial" w:cs="Arial" w:hint="cs"/>
          <w:sz w:val="25"/>
          <w:rtl/>
          <w:lang w:bidi="ar-EG"/>
        </w:rPr>
      </w:pPr>
      <w:proofErr w:type="spellStart"/>
      <w:r>
        <w:rPr>
          <w:rFonts w:ascii="Arial" w:eastAsia="Arial" w:hAnsi="Arial" w:cs="Arial"/>
          <w:sz w:val="25"/>
        </w:rPr>
        <w:t>هذا</w:t>
      </w:r>
      <w:proofErr w:type="spellEnd"/>
      <w:r>
        <w:rPr>
          <w:rFonts w:ascii="Arial" w:eastAsia="Arial" w:hAnsi="Arial" w:cs="Arial"/>
          <w:sz w:val="25"/>
        </w:rPr>
        <w:t xml:space="preserve"> </w:t>
      </w:r>
      <w:proofErr w:type="spellStart"/>
      <w:r>
        <w:rPr>
          <w:rFonts w:ascii="Arial" w:eastAsia="Arial" w:hAnsi="Arial" w:cs="Arial"/>
          <w:sz w:val="25"/>
        </w:rPr>
        <w:t>الملف</w:t>
      </w:r>
      <w:proofErr w:type="spellEnd"/>
      <w:r>
        <w:rPr>
          <w:rFonts w:ascii="Arial" w:eastAsia="Arial" w:hAnsi="Arial" w:cs="Arial"/>
          <w:sz w:val="25"/>
        </w:rPr>
        <w:t xml:space="preserve"> </w:t>
      </w:r>
      <w:proofErr w:type="spellStart"/>
      <w:r>
        <w:rPr>
          <w:rFonts w:ascii="Arial" w:eastAsia="Arial" w:hAnsi="Arial" w:cs="Arial"/>
          <w:sz w:val="25"/>
        </w:rPr>
        <w:t>يعتمد</w:t>
      </w:r>
      <w:proofErr w:type="spellEnd"/>
      <w:r>
        <w:rPr>
          <w:rFonts w:ascii="Arial" w:eastAsia="Arial" w:hAnsi="Arial" w:cs="Arial"/>
          <w:sz w:val="25"/>
        </w:rPr>
        <w:t xml:space="preserve"> </w:t>
      </w:r>
      <w:proofErr w:type="spellStart"/>
      <w:r>
        <w:rPr>
          <w:rFonts w:ascii="Arial" w:eastAsia="Arial" w:hAnsi="Arial" w:cs="Arial"/>
          <w:sz w:val="25"/>
        </w:rPr>
        <w:t>على</w:t>
      </w:r>
      <w:proofErr w:type="spellEnd"/>
      <w:r>
        <w:rPr>
          <w:rFonts w:ascii="Arial" w:eastAsia="Arial" w:hAnsi="Arial" w:cs="Arial"/>
          <w:sz w:val="25"/>
        </w:rPr>
        <w:t xml:space="preserve"> </w:t>
      </w:r>
      <w:proofErr w:type="spellStart"/>
      <w:r>
        <w:rPr>
          <w:rFonts w:ascii="Arial" w:eastAsia="Arial" w:hAnsi="Arial" w:cs="Arial"/>
          <w:sz w:val="25"/>
        </w:rPr>
        <w:t>مجموعة</w:t>
      </w:r>
      <w:proofErr w:type="spellEnd"/>
      <w:r>
        <w:rPr>
          <w:rFonts w:ascii="Arial" w:eastAsia="Arial" w:hAnsi="Arial" w:cs="Arial"/>
          <w:sz w:val="25"/>
        </w:rPr>
        <w:t xml:space="preserve"> </w:t>
      </w:r>
      <w:proofErr w:type="spellStart"/>
      <w:r>
        <w:rPr>
          <w:rFonts w:ascii="Arial" w:eastAsia="Arial" w:hAnsi="Arial" w:cs="Arial"/>
          <w:sz w:val="25"/>
        </w:rPr>
        <w:t>من</w:t>
      </w:r>
      <w:proofErr w:type="spellEnd"/>
      <w:r>
        <w:rPr>
          <w:rFonts w:ascii="Arial" w:eastAsia="Arial" w:hAnsi="Arial" w:cs="Arial"/>
          <w:sz w:val="25"/>
        </w:rPr>
        <w:t xml:space="preserve"> </w:t>
      </w:r>
      <w:proofErr w:type="spellStart"/>
      <w:r>
        <w:rPr>
          <w:rFonts w:ascii="Arial" w:eastAsia="Arial" w:hAnsi="Arial" w:cs="Arial"/>
          <w:sz w:val="25"/>
        </w:rPr>
        <w:t>مداخل</w:t>
      </w:r>
      <w:proofErr w:type="spellEnd"/>
      <w:r>
        <w:rPr>
          <w:rFonts w:ascii="Arial" w:eastAsia="Arial" w:hAnsi="Arial" w:cs="Arial"/>
          <w:sz w:val="25"/>
        </w:rPr>
        <w:t xml:space="preserve"> ، </w:t>
      </w:r>
      <w:proofErr w:type="spellStart"/>
      <w:r>
        <w:rPr>
          <w:rFonts w:ascii="Arial" w:eastAsia="Arial" w:hAnsi="Arial" w:cs="Arial"/>
          <w:sz w:val="25"/>
        </w:rPr>
        <w:t>أهمها</w:t>
      </w:r>
      <w:proofErr w:type="spellEnd"/>
      <w:r w:rsidR="000D7C36">
        <w:rPr>
          <w:rFonts w:ascii="Arial" w:eastAsia="Arial" w:hAnsi="Arial" w:cs="Arial" w:hint="cs"/>
          <w:sz w:val="25"/>
          <w:rtl/>
          <w:lang w:bidi="ar-EG"/>
        </w:rPr>
        <w:t xml:space="preserve"> </w:t>
      </w:r>
      <w:r w:rsidR="000D7C36">
        <w:rPr>
          <w:rFonts w:ascii="Arial" w:eastAsia="Arial" w:hAnsi="Arial" w:cs="Arial"/>
          <w:sz w:val="25"/>
        </w:rPr>
        <w:t xml:space="preserve">The Abbasids </w:t>
      </w:r>
      <w:r w:rsidR="000D7C36">
        <w:rPr>
          <w:rFonts w:ascii="Arial" w:eastAsia="Arial" w:hAnsi="Arial" w:cs="Arial" w:hint="cs"/>
          <w:sz w:val="25"/>
          <w:rtl/>
        </w:rPr>
        <w:t>-</w:t>
      </w:r>
      <w:r w:rsidR="000D7C36">
        <w:rPr>
          <w:rFonts w:ascii="Arial" w:eastAsia="Arial" w:hAnsi="Arial" w:cs="Arial"/>
          <w:sz w:val="25"/>
        </w:rPr>
        <w:t>Development of literary prose Arabic literature</w:t>
      </w:r>
    </w:p>
    <w:p w14:paraId="49A69316" w14:textId="4FB4ED27" w:rsidR="007F6AD8" w:rsidRDefault="00000000" w:rsidP="000D7C36">
      <w:pPr>
        <w:bidi/>
        <w:spacing w:after="120" w:line="300" w:lineRule="auto"/>
        <w:ind w:firstLine="340"/>
      </w:pPr>
      <w:r>
        <w:rPr>
          <w:rFonts w:ascii="Arial" w:eastAsia="Arial" w:hAnsi="Arial" w:cs="Arial"/>
          <w:sz w:val="25"/>
        </w:rPr>
        <w:t xml:space="preserve">. وتُعد المادة العباسية </w:t>
      </w:r>
      <w:proofErr w:type="gramStart"/>
      <w:r>
        <w:rPr>
          <w:rFonts w:ascii="Arial" w:eastAsia="Arial" w:hAnsi="Arial" w:cs="Arial"/>
          <w:sz w:val="25"/>
        </w:rPr>
        <w:t>في  من</w:t>
      </w:r>
      <w:proofErr w:type="gramEnd"/>
      <w:r>
        <w:rPr>
          <w:rFonts w:ascii="Arial" w:eastAsia="Arial" w:hAnsi="Arial" w:cs="Arial"/>
          <w:sz w:val="25"/>
        </w:rPr>
        <w:t xml:space="preserve"> أغنى المواد وأكثرها تفصيلاً، لذلك أمكن بناء صورة واسعة عن الشعر والنثر والبلاغة والنقد في هذا العصر.</w:t>
      </w:r>
    </w:p>
    <w:p w14:paraId="16659D3E" w14:textId="77777777" w:rsidR="007F6AD8" w:rsidRDefault="00000000" w:rsidP="00917695">
      <w:pPr>
        <w:bidi/>
        <w:spacing w:before="200" w:after="80"/>
      </w:pPr>
      <w:proofErr w:type="spellStart"/>
      <w:r>
        <w:rPr>
          <w:rFonts w:ascii="Arial" w:eastAsia="Arial" w:hAnsi="Arial" w:cs="Arial"/>
          <w:b/>
          <w:color w:val="1B5E20"/>
          <w:sz w:val="28"/>
        </w:rPr>
        <w:t>أولاً</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لماذا</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يُعد</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العصر</w:t>
      </w:r>
      <w:proofErr w:type="spellEnd"/>
      <w:r>
        <w:rPr>
          <w:rFonts w:ascii="Arial" w:eastAsia="Arial" w:hAnsi="Arial" w:cs="Arial"/>
          <w:b/>
          <w:color w:val="1B5E20"/>
          <w:sz w:val="28"/>
        </w:rPr>
        <w:t xml:space="preserve"> العباسي عصرًا ذهبيًا؟</w:t>
      </w:r>
    </w:p>
    <w:p w14:paraId="534E1CBA" w14:textId="6B994018" w:rsidR="007F6AD8" w:rsidRDefault="00000000" w:rsidP="00917695">
      <w:pPr>
        <w:bidi/>
        <w:spacing w:after="120" w:line="300" w:lineRule="auto"/>
        <w:ind w:firstLine="340"/>
      </w:pPr>
      <w:proofErr w:type="gramStart"/>
      <w:r>
        <w:rPr>
          <w:rFonts w:ascii="Arial" w:eastAsia="Arial" w:hAnsi="Arial" w:cs="Arial"/>
          <w:sz w:val="25"/>
        </w:rPr>
        <w:t>تنص  بوضوح</w:t>
      </w:r>
      <w:proofErr w:type="gramEnd"/>
      <w:r>
        <w:rPr>
          <w:rFonts w:ascii="Arial" w:eastAsia="Arial" w:hAnsi="Arial" w:cs="Arial"/>
          <w:sz w:val="25"/>
        </w:rPr>
        <w:t xml:space="preserve"> على أن العصر الذهبي للأدب العربي بدأ حين تولى العباسيون الحكم سنة 750 واستقروا في بغداد. والسبب في ذلك ليس تبدل الأسرة الحاكمة وحده، بل انتقال مركز الحضارة إلى مدينة كبرى منفتحة على الشرق والغرب معًا، وتدفّق عناصر فكرية وثقافية أجنبية من البيئة الهلنستية ومن تراثات الشرق الأدنى القديم. ففي بغداد حدث نمو فكري سريع، واتسعت دوائر الترجمة والمعرفة والجدل، فصار الأدب العربي أكثر ثراءً ومرونةً وقدرةً على امتصاص المؤثرات.</w:t>
      </w:r>
    </w:p>
    <w:p w14:paraId="76B0F72A" w14:textId="77777777" w:rsidR="007F6AD8" w:rsidRDefault="00000000" w:rsidP="00917695">
      <w:pPr>
        <w:bidi/>
        <w:spacing w:before="200" w:after="80"/>
      </w:pPr>
      <w:r>
        <w:rPr>
          <w:rFonts w:ascii="Arial" w:eastAsia="Arial" w:hAnsi="Arial" w:cs="Arial"/>
          <w:b/>
          <w:color w:val="1B5E20"/>
          <w:sz w:val="28"/>
        </w:rPr>
        <w:t>ثانيًا: بغداد والمدينة بوصفهما مولِّدين للأدب</w:t>
      </w:r>
    </w:p>
    <w:p w14:paraId="7E07002A" w14:textId="097C3FB5" w:rsidR="007F6AD8" w:rsidRDefault="00000000" w:rsidP="00917695">
      <w:pPr>
        <w:bidi/>
        <w:spacing w:after="120" w:line="300" w:lineRule="auto"/>
        <w:ind w:firstLine="340"/>
      </w:pPr>
      <w:r>
        <w:rPr>
          <w:rFonts w:ascii="Arial" w:eastAsia="Arial" w:hAnsi="Arial" w:cs="Arial"/>
          <w:sz w:val="25"/>
        </w:rPr>
        <w:t xml:space="preserve">تُفهم العباسية </w:t>
      </w:r>
      <w:proofErr w:type="gramStart"/>
      <w:r>
        <w:rPr>
          <w:rFonts w:ascii="Arial" w:eastAsia="Arial" w:hAnsi="Arial" w:cs="Arial"/>
          <w:sz w:val="25"/>
        </w:rPr>
        <w:t>في  بوصفها</w:t>
      </w:r>
      <w:proofErr w:type="gramEnd"/>
      <w:r>
        <w:rPr>
          <w:rFonts w:ascii="Arial" w:eastAsia="Arial" w:hAnsi="Arial" w:cs="Arial"/>
          <w:sz w:val="25"/>
        </w:rPr>
        <w:t xml:space="preserve"> أدب مدينة كبرى بامتياز. ففيها لم يعد الشاعر ممثلاً لطبقة بدوية أرستقراطية فقط، بل دخل إلى عالم الشعر أبناء الحِرَف والموالي ومن هم من أصول غير عربية. هذا التحول الاجتماعي أنتج ما </w:t>
      </w:r>
      <w:proofErr w:type="gramStart"/>
      <w:r>
        <w:rPr>
          <w:rFonts w:ascii="Arial" w:eastAsia="Arial" w:hAnsi="Arial" w:cs="Arial"/>
          <w:sz w:val="25"/>
        </w:rPr>
        <w:t>تسميه  الأسلوب</w:t>
      </w:r>
      <w:proofErr w:type="gramEnd"/>
      <w:r>
        <w:rPr>
          <w:rFonts w:ascii="Arial" w:eastAsia="Arial" w:hAnsi="Arial" w:cs="Arial"/>
          <w:sz w:val="25"/>
        </w:rPr>
        <w:t xml:space="preserve"> الجديد، أي الأسلوب الذي عبّر عن الحب والكره والزهد والمرح والمجون بلغة تلائم حياة المدن. ولهذا لم يعد الشعر العباسي مجرد استمرار للقصيدة القديمة، بل صار إعادة تركيب للعربية الكلاسيكية على ضوء المجتمع الحضري.</w:t>
      </w:r>
    </w:p>
    <w:p w14:paraId="6D9E397A" w14:textId="77777777" w:rsidR="007F6AD8" w:rsidRDefault="00000000" w:rsidP="00917695">
      <w:pPr>
        <w:bidi/>
        <w:spacing w:before="200" w:after="80"/>
      </w:pPr>
      <w:r>
        <w:rPr>
          <w:rFonts w:ascii="Arial" w:eastAsia="Arial" w:hAnsi="Arial" w:cs="Arial"/>
          <w:b/>
          <w:color w:val="1B5E20"/>
          <w:sz w:val="28"/>
        </w:rPr>
        <w:t>ثالثًا: الشعر العباسي بين المجون والزهد والابتكار</w:t>
      </w:r>
    </w:p>
    <w:p w14:paraId="6A0FDEA6" w14:textId="113A583C" w:rsidR="007F6AD8" w:rsidRDefault="00000000" w:rsidP="00917695">
      <w:pPr>
        <w:bidi/>
        <w:spacing w:after="120" w:line="300" w:lineRule="auto"/>
        <w:ind w:firstLine="340"/>
      </w:pPr>
      <w:proofErr w:type="gramStart"/>
      <w:r>
        <w:rPr>
          <w:rFonts w:ascii="Arial" w:eastAsia="Arial" w:hAnsi="Arial" w:cs="Arial"/>
          <w:sz w:val="25"/>
        </w:rPr>
        <w:t>تقدّم  بشار</w:t>
      </w:r>
      <w:proofErr w:type="gramEnd"/>
      <w:r>
        <w:rPr>
          <w:rFonts w:ascii="Arial" w:eastAsia="Arial" w:hAnsi="Arial" w:cs="Arial"/>
          <w:sz w:val="25"/>
        </w:rPr>
        <w:t xml:space="preserve"> بن برد بوصفه أول ممثل بارز للأسلوب الجديد، وتصفه بأنه أضاف إلى الأشكال القديمة طاقة تعبيرية جديدة. ثم تذكر أبا العتاهية الذي ابتكر الزهديات، وهو أمر بالغ الأهمية لأنه يدل على أن الحياة العباسية لم تُنتج شعر اللذة والخمر وحده، بل أنتجت كذلك أدبًا أخلاقيًا متشبعًا بالتأمل في الزهد والموت والآخرة. أما أبو نواس </w:t>
      </w:r>
      <w:proofErr w:type="gramStart"/>
      <w:r>
        <w:rPr>
          <w:rFonts w:ascii="Arial" w:eastAsia="Arial" w:hAnsi="Arial" w:cs="Arial"/>
          <w:sz w:val="25"/>
        </w:rPr>
        <w:t>فتمثله  باعتباره</w:t>
      </w:r>
      <w:proofErr w:type="gramEnd"/>
      <w:r>
        <w:rPr>
          <w:rFonts w:ascii="Arial" w:eastAsia="Arial" w:hAnsi="Arial" w:cs="Arial"/>
          <w:sz w:val="25"/>
        </w:rPr>
        <w:t xml:space="preserve"> الاسم الأشهر في شعر الخمر والمجون، صاحب لغة لامعة ساخرة، يصف موضوعات محرمة دينيًا بخفة فائقة ومهارة لغوية جعلته في الوقت نفسه واحدًا من أعظم شعراء العربية.</w:t>
      </w:r>
    </w:p>
    <w:p w14:paraId="7DDD84B5" w14:textId="77777777" w:rsidR="007F6AD8" w:rsidRDefault="00000000" w:rsidP="00917695">
      <w:pPr>
        <w:bidi/>
        <w:spacing w:before="200" w:after="80"/>
      </w:pPr>
      <w:r>
        <w:rPr>
          <w:rFonts w:ascii="Arial" w:eastAsia="Arial" w:hAnsi="Arial" w:cs="Arial"/>
          <w:b/>
          <w:color w:val="1B5E20"/>
          <w:sz w:val="28"/>
        </w:rPr>
        <w:t>رابعًا: البديع وولادة الوعي البلاغي الحديث</w:t>
      </w:r>
    </w:p>
    <w:p w14:paraId="3638FE01" w14:textId="0657C1B4" w:rsidR="007F6AD8" w:rsidRDefault="00000000" w:rsidP="00917695">
      <w:pPr>
        <w:bidi/>
        <w:spacing w:after="120" w:line="300" w:lineRule="auto"/>
        <w:ind w:firstLine="340"/>
      </w:pPr>
      <w:proofErr w:type="gramStart"/>
      <w:r>
        <w:rPr>
          <w:rFonts w:ascii="Arial" w:eastAsia="Arial" w:hAnsi="Arial" w:cs="Arial"/>
          <w:sz w:val="25"/>
        </w:rPr>
        <w:t>تشير  إلى</w:t>
      </w:r>
      <w:proofErr w:type="gramEnd"/>
      <w:r>
        <w:rPr>
          <w:rFonts w:ascii="Arial" w:eastAsia="Arial" w:hAnsi="Arial" w:cs="Arial"/>
          <w:sz w:val="25"/>
        </w:rPr>
        <w:t xml:space="preserve"> أن القرن التاسع شهد نقلة مهمة في الوعي بالشعر نفسه. فقد صار الشعر الحديث موضوعًا للنقاش والتنظير، لا مجرد ممارسة. وتذكر في هذا السياق كتاب ابن المعتز في البديع، الذي وضع قواعد لاستعمال الاستعارة والتشبيه والتجنيس وسائر المحسنات. ومع هذا التطور غدا المثال الأعلى لدى كثير من الشعراء هو الوصول إلى أغنى قدر ممكن من الزخرفة والابتكار البلاغي.</w:t>
      </w:r>
    </w:p>
    <w:p w14:paraId="408B376A" w14:textId="77777777" w:rsidR="00917695" w:rsidRDefault="00917695" w:rsidP="00917695">
      <w:pPr>
        <w:bidi/>
        <w:spacing w:before="200" w:after="80"/>
        <w:rPr>
          <w:rFonts w:ascii="Arial" w:eastAsia="Arial" w:hAnsi="Arial" w:cs="Arial"/>
          <w:b/>
          <w:color w:val="1B5E20"/>
          <w:sz w:val="28"/>
        </w:rPr>
      </w:pPr>
    </w:p>
    <w:p w14:paraId="38BD0796" w14:textId="77777777" w:rsidR="00917695" w:rsidRDefault="00917695" w:rsidP="00917695">
      <w:pPr>
        <w:bidi/>
        <w:spacing w:before="200" w:after="80"/>
        <w:rPr>
          <w:rFonts w:ascii="Arial" w:eastAsia="Arial" w:hAnsi="Arial" w:cs="Arial"/>
          <w:b/>
          <w:color w:val="1B5E20"/>
          <w:sz w:val="28"/>
          <w:rtl/>
        </w:rPr>
      </w:pPr>
    </w:p>
    <w:p w14:paraId="3DAFA531" w14:textId="77777777" w:rsidR="00EB6A78" w:rsidRDefault="00EB6A78" w:rsidP="00EB6A78">
      <w:pPr>
        <w:bidi/>
        <w:spacing w:before="200" w:after="80"/>
        <w:rPr>
          <w:rFonts w:ascii="Arial" w:eastAsia="Arial" w:hAnsi="Arial" w:cs="Arial"/>
          <w:b/>
          <w:color w:val="1B5E20"/>
          <w:sz w:val="28"/>
        </w:rPr>
      </w:pPr>
    </w:p>
    <w:p w14:paraId="437535B8" w14:textId="37D9C73C" w:rsidR="007F6AD8" w:rsidRDefault="00000000" w:rsidP="00917695">
      <w:pPr>
        <w:bidi/>
        <w:spacing w:before="200" w:after="80"/>
      </w:pPr>
      <w:proofErr w:type="spellStart"/>
      <w:r>
        <w:rPr>
          <w:rFonts w:ascii="Arial" w:eastAsia="Arial" w:hAnsi="Arial" w:cs="Arial"/>
          <w:b/>
          <w:color w:val="1B5E20"/>
          <w:sz w:val="28"/>
        </w:rPr>
        <w:lastRenderedPageBreak/>
        <w:t>خامسًا</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النثر</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العباسي</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وبناء</w:t>
      </w:r>
      <w:proofErr w:type="spellEnd"/>
      <w:r>
        <w:rPr>
          <w:rFonts w:ascii="Arial" w:eastAsia="Arial" w:hAnsi="Arial" w:cs="Arial"/>
          <w:b/>
          <w:color w:val="1B5E20"/>
          <w:sz w:val="28"/>
        </w:rPr>
        <w:t xml:space="preserve"> عالم الأدب</w:t>
      </w:r>
    </w:p>
    <w:p w14:paraId="029AA705" w14:textId="1F85FB31" w:rsidR="007F6AD8" w:rsidRDefault="00000000" w:rsidP="00917695">
      <w:pPr>
        <w:bidi/>
        <w:spacing w:after="120" w:line="300" w:lineRule="auto"/>
        <w:ind w:firstLine="340"/>
      </w:pPr>
      <w:r>
        <w:rPr>
          <w:rFonts w:ascii="Arial" w:eastAsia="Arial" w:hAnsi="Arial" w:cs="Arial"/>
          <w:sz w:val="25"/>
        </w:rPr>
        <w:t xml:space="preserve">إذا كان الشعر العباسي واسعًا، فإن النثر العباسي </w:t>
      </w:r>
      <w:proofErr w:type="gramStart"/>
      <w:r>
        <w:rPr>
          <w:rFonts w:ascii="Arial" w:eastAsia="Arial" w:hAnsi="Arial" w:cs="Arial"/>
          <w:sz w:val="25"/>
        </w:rPr>
        <w:t>عند  يكاد</w:t>
      </w:r>
      <w:proofErr w:type="gramEnd"/>
      <w:r>
        <w:rPr>
          <w:rFonts w:ascii="Arial" w:eastAsia="Arial" w:hAnsi="Arial" w:cs="Arial"/>
          <w:sz w:val="25"/>
        </w:rPr>
        <w:t xml:space="preserve"> يكون الثورة الكبرى الحقيقية. ففي هذا العصر بدأ النثر الأدبي بالتطور المنهجي. </w:t>
      </w:r>
      <w:proofErr w:type="gramStart"/>
      <w:r>
        <w:rPr>
          <w:rFonts w:ascii="Arial" w:eastAsia="Arial" w:hAnsi="Arial" w:cs="Arial"/>
          <w:sz w:val="25"/>
        </w:rPr>
        <w:t>وتضع  ابن</w:t>
      </w:r>
      <w:proofErr w:type="gramEnd"/>
      <w:r>
        <w:rPr>
          <w:rFonts w:ascii="Arial" w:eastAsia="Arial" w:hAnsi="Arial" w:cs="Arial"/>
          <w:sz w:val="25"/>
        </w:rPr>
        <w:t xml:space="preserve"> المقفع في مركز هذه البداية، لأنه نقل كليلة ودمنة إلى العربية، وبذلك فتح بابًا هائلاً للأمثال والحكاية الرمزية والأدب الأخلاقي والسياسي. ولم تكن هذه الترجمة مجرد نقل نص، بل كانت إسهامًا تأسيسيًا في تشكيل الذائقة النثرية الإسلامية، إذ أصبحت قصصها وأمثالها موردًا يكاد لا ينفد في أدب المسلمين.</w:t>
      </w:r>
    </w:p>
    <w:p w14:paraId="02060FC3" w14:textId="77777777" w:rsidR="007F6AD8" w:rsidRDefault="00000000" w:rsidP="00917695">
      <w:pPr>
        <w:bidi/>
        <w:spacing w:before="200" w:after="80"/>
      </w:pPr>
      <w:r>
        <w:rPr>
          <w:rFonts w:ascii="Arial" w:eastAsia="Arial" w:hAnsi="Arial" w:cs="Arial"/>
          <w:b/>
          <w:color w:val="1B5E20"/>
          <w:sz w:val="28"/>
        </w:rPr>
        <w:t>سادسًا: الأدب بمعنى adab</w:t>
      </w:r>
    </w:p>
    <w:p w14:paraId="3D974E03" w14:textId="72025C24" w:rsidR="007F6AD8" w:rsidRDefault="00000000" w:rsidP="00917695">
      <w:pPr>
        <w:bidi/>
        <w:spacing w:after="120" w:line="300" w:lineRule="auto"/>
        <w:ind w:firstLine="340"/>
      </w:pPr>
      <w:r>
        <w:rPr>
          <w:rFonts w:ascii="Arial" w:eastAsia="Arial" w:hAnsi="Arial" w:cs="Arial"/>
          <w:sz w:val="25"/>
        </w:rPr>
        <w:t xml:space="preserve">يشرح مدخل Arabic literature </w:t>
      </w:r>
      <w:proofErr w:type="gramStart"/>
      <w:r>
        <w:rPr>
          <w:rFonts w:ascii="Arial" w:eastAsia="Arial" w:hAnsi="Arial" w:cs="Arial"/>
          <w:sz w:val="25"/>
        </w:rPr>
        <w:t>في  أن</w:t>
      </w:r>
      <w:proofErr w:type="gramEnd"/>
      <w:r>
        <w:rPr>
          <w:rFonts w:ascii="Arial" w:eastAsia="Arial" w:hAnsi="Arial" w:cs="Arial"/>
          <w:sz w:val="25"/>
        </w:rPr>
        <w:t xml:space="preserve"> كلمة adab لا تساوي كلمة literature الإنجليزية مساواة تامة، بل هي أقرب إلى معنى الآداب الرفيعة أو belles-lettres؛ أي الكتابة التي تجمع بين الجمال والتعليم والتهذيب. وفي هذا الإطار العباسي اتسعت وظيفة الأدب لتشمل المعرفة الاجتماعية، والنوادر، والحكم، والأخلاق، وأخبار الناس، أي كل ما يصوغ الإنسان المهذب المتعلم. وهذا المفهوم الواسع هو الذي يفسر كيف صار الأدب في الحضارة الإسلامية أوسع من الشعر والرواية والنقد، وأقرب إلى مشروع ثقافي لتشكيل الذوق والمعرفة والسلوك.</w:t>
      </w:r>
    </w:p>
    <w:p w14:paraId="70988CF8" w14:textId="77777777" w:rsidR="007F6AD8" w:rsidRDefault="00000000" w:rsidP="00917695">
      <w:pPr>
        <w:bidi/>
        <w:spacing w:before="200" w:after="80"/>
      </w:pPr>
      <w:r>
        <w:rPr>
          <w:rFonts w:ascii="Arial" w:eastAsia="Arial" w:hAnsi="Arial" w:cs="Arial"/>
          <w:b/>
          <w:color w:val="1B5E20"/>
          <w:sz w:val="28"/>
        </w:rPr>
        <w:t>سابعًا: المقامة وقمة الصنعة النثرية</w:t>
      </w:r>
    </w:p>
    <w:p w14:paraId="2764EE05" w14:textId="10E6B05A" w:rsidR="007F6AD8" w:rsidRDefault="00000000" w:rsidP="00917695">
      <w:pPr>
        <w:bidi/>
        <w:spacing w:after="120" w:line="300" w:lineRule="auto"/>
        <w:ind w:firstLine="340"/>
      </w:pPr>
      <w:r>
        <w:rPr>
          <w:rFonts w:ascii="Arial" w:eastAsia="Arial" w:hAnsi="Arial" w:cs="Arial"/>
          <w:sz w:val="25"/>
        </w:rPr>
        <w:t xml:space="preserve">من أبرز ما </w:t>
      </w:r>
      <w:proofErr w:type="gramStart"/>
      <w:r>
        <w:rPr>
          <w:rFonts w:ascii="Arial" w:eastAsia="Arial" w:hAnsi="Arial" w:cs="Arial"/>
          <w:sz w:val="25"/>
        </w:rPr>
        <w:t>تذكره  في</w:t>
      </w:r>
      <w:proofErr w:type="gramEnd"/>
      <w:r>
        <w:rPr>
          <w:rFonts w:ascii="Arial" w:eastAsia="Arial" w:hAnsi="Arial" w:cs="Arial"/>
          <w:sz w:val="25"/>
        </w:rPr>
        <w:t xml:space="preserve"> تطور النثر العباسي وما بعده فن المقامة. فهي ترى أن هذا الفن وجد أروع تعبير له في أعمال الهمذاني، ثم بلغ ذروة الإتقان مع الحريري. وتصف مقامات الحريري الخمسين بأنها مليئة بالمعرفة واللعب اللغوي والطباق والجناس والتحول السريع بين الجد والهزل، وأنها أقرب ما يكون في الأدب العربي الكلاسيكي إلى مفهوم القصة القصيرة الغربية. كما </w:t>
      </w:r>
      <w:proofErr w:type="gramStart"/>
      <w:r>
        <w:rPr>
          <w:rFonts w:ascii="Arial" w:eastAsia="Arial" w:hAnsi="Arial" w:cs="Arial"/>
          <w:sz w:val="25"/>
        </w:rPr>
        <w:t>تذكر  أن</w:t>
      </w:r>
      <w:proofErr w:type="gramEnd"/>
      <w:r>
        <w:rPr>
          <w:rFonts w:ascii="Arial" w:eastAsia="Arial" w:hAnsi="Arial" w:cs="Arial"/>
          <w:sz w:val="25"/>
        </w:rPr>
        <w:t xml:space="preserve"> هذا الفن أُعجب به في المشرق وأثر في السريانية والعبرية ودخل في مناهج التعليم في بعض البيئات الإسلامية.</w:t>
      </w:r>
    </w:p>
    <w:p w14:paraId="660C0D41" w14:textId="77777777" w:rsidR="007F6AD8" w:rsidRDefault="00000000" w:rsidP="00917695">
      <w:pPr>
        <w:bidi/>
        <w:spacing w:before="200" w:after="80"/>
      </w:pPr>
      <w:r>
        <w:rPr>
          <w:rFonts w:ascii="Arial" w:eastAsia="Arial" w:hAnsi="Arial" w:cs="Arial"/>
          <w:b/>
          <w:color w:val="1B5E20"/>
          <w:sz w:val="28"/>
        </w:rPr>
        <w:t>ثامنًا: الورق، التدوين، وفهرسة المعرفة</w:t>
      </w:r>
    </w:p>
    <w:p w14:paraId="776575D7" w14:textId="7D083260" w:rsidR="007F6AD8" w:rsidRDefault="00000000" w:rsidP="00917695">
      <w:pPr>
        <w:bidi/>
        <w:spacing w:after="120" w:line="300" w:lineRule="auto"/>
        <w:ind w:firstLine="340"/>
      </w:pPr>
      <w:r>
        <w:rPr>
          <w:rFonts w:ascii="Arial" w:eastAsia="Arial" w:hAnsi="Arial" w:cs="Arial"/>
          <w:sz w:val="25"/>
        </w:rPr>
        <w:t xml:space="preserve">من المعالم المهمة </w:t>
      </w:r>
      <w:proofErr w:type="gramStart"/>
      <w:r>
        <w:rPr>
          <w:rFonts w:ascii="Arial" w:eastAsia="Arial" w:hAnsi="Arial" w:cs="Arial"/>
          <w:sz w:val="25"/>
        </w:rPr>
        <w:t>في  أن</w:t>
      </w:r>
      <w:proofErr w:type="gramEnd"/>
      <w:r>
        <w:rPr>
          <w:rFonts w:ascii="Arial" w:eastAsia="Arial" w:hAnsi="Arial" w:cs="Arial"/>
          <w:sz w:val="25"/>
        </w:rPr>
        <w:t xml:space="preserve"> صناعة الورق عُرفت عند العرب نحو سنة 800، وكان لذلك أثر حاسم في ازدهار الكتابة والتأليف. فحين تصبح المادة الكتابية أيسر وأوفر، يتسع النشر والنسخ والتجميع والتصنيف. ولهذا يصبح من المفهوم أن يظهر في القرن العاشر كتاب مثل الفهرست لابن النديم الذي يحصي ما كان متداولاً من الكتب والمؤلفات في الثقافة العربية الإسلامية. وهكذا لا ينفصل ازدهار الأدب العباسي عن البنية المادية للمعرفة: المدارس، والورق، والنسخ، والمجالس، والرعاية.</w:t>
      </w:r>
    </w:p>
    <w:p w14:paraId="0A66A348" w14:textId="77777777" w:rsidR="007F6AD8" w:rsidRDefault="00000000" w:rsidP="00917695">
      <w:pPr>
        <w:bidi/>
        <w:spacing w:before="200" w:after="80"/>
      </w:pPr>
      <w:r>
        <w:rPr>
          <w:rFonts w:ascii="Arial" w:eastAsia="Arial" w:hAnsi="Arial" w:cs="Arial"/>
          <w:b/>
          <w:color w:val="1B5E20"/>
          <w:sz w:val="28"/>
        </w:rPr>
        <w:t>تاسعًا: النقد الأدبي في العصر العباسي</w:t>
      </w:r>
    </w:p>
    <w:p w14:paraId="1E92C378" w14:textId="3E818A3B" w:rsidR="007F6AD8" w:rsidRDefault="00000000" w:rsidP="00917695">
      <w:pPr>
        <w:bidi/>
        <w:spacing w:after="120" w:line="300" w:lineRule="auto"/>
        <w:ind w:firstLine="340"/>
      </w:pPr>
      <w:proofErr w:type="gramStart"/>
      <w:r>
        <w:rPr>
          <w:rFonts w:ascii="Arial" w:eastAsia="Arial" w:hAnsi="Arial" w:cs="Arial"/>
          <w:sz w:val="25"/>
        </w:rPr>
        <w:t>توضح  أن</w:t>
      </w:r>
      <w:proofErr w:type="gramEnd"/>
      <w:r>
        <w:rPr>
          <w:rFonts w:ascii="Arial" w:eastAsia="Arial" w:hAnsi="Arial" w:cs="Arial"/>
          <w:sz w:val="25"/>
        </w:rPr>
        <w:t xml:space="preserve"> النقد العربي لم يولد دفعة واحدة، لكنه تطور بقوة في سياق حماية النص القرآني، والبحث عن الشواهد اللغوية، وتصنيف الشعراء. وفي العصر العباسي نضج هذا المسار، وصار الذوق موضوعًا للمقارنة والتقعيد. فالنقاد واللغويون شرعوا في النظر إلى الشعر وفق طبقات وموازين وتقاليد، وهو ما جعل الأدب العربي يمتلك باكرًا تراثًا نقديًا منظّمًا لا يقل أهمية عن التراث الإبداعي نفسه.</w:t>
      </w:r>
    </w:p>
    <w:p w14:paraId="7F61A2EA" w14:textId="77777777" w:rsidR="007F6AD8" w:rsidRDefault="00000000" w:rsidP="00917695">
      <w:pPr>
        <w:bidi/>
        <w:spacing w:before="200" w:after="80"/>
      </w:pPr>
      <w:r>
        <w:rPr>
          <w:rFonts w:ascii="Arial" w:eastAsia="Arial" w:hAnsi="Arial" w:cs="Arial"/>
          <w:b/>
          <w:color w:val="1B5E20"/>
          <w:sz w:val="28"/>
        </w:rPr>
        <w:t>عاشرًا: الخلاصة</w:t>
      </w:r>
    </w:p>
    <w:p w14:paraId="5FB3E06B" w14:textId="562F3D9A" w:rsidR="007F6AD8" w:rsidRDefault="00000000" w:rsidP="00917695">
      <w:pPr>
        <w:bidi/>
        <w:spacing w:after="120" w:line="300" w:lineRule="auto"/>
        <w:ind w:firstLine="340"/>
      </w:pPr>
      <w:r>
        <w:rPr>
          <w:rFonts w:ascii="Arial" w:eastAsia="Arial" w:hAnsi="Arial" w:cs="Arial"/>
          <w:sz w:val="25"/>
        </w:rPr>
        <w:t xml:space="preserve">العصر العباسي </w:t>
      </w:r>
      <w:proofErr w:type="gramStart"/>
      <w:r>
        <w:rPr>
          <w:rFonts w:ascii="Arial" w:eastAsia="Arial" w:hAnsi="Arial" w:cs="Arial"/>
          <w:sz w:val="25"/>
        </w:rPr>
        <w:t>في  هو</w:t>
      </w:r>
      <w:proofErr w:type="gramEnd"/>
      <w:r>
        <w:rPr>
          <w:rFonts w:ascii="Arial" w:eastAsia="Arial" w:hAnsi="Arial" w:cs="Arial"/>
          <w:sz w:val="25"/>
        </w:rPr>
        <w:t xml:space="preserve"> العصر الذي تحوّل فيه الأدب العربي الإسلامي من تقاليد مؤسسة إلى منظومة حضارية كاملة. فيه ازدهر الشعر في موضوعاته وأساليبه، ونضج مفهوم الأدب، وتطوّر النثر من الترجمة والحكمة إلى المقامة والسرد، وتعمّق الوعي البلاغي والنقدي، وارتبط كل ذلك بمدينة بغداد وحركة الترجمة واتساع الأفق الحضاري. ولهذا يستحق </w:t>
      </w:r>
      <w:proofErr w:type="gramStart"/>
      <w:r>
        <w:rPr>
          <w:rFonts w:ascii="Arial" w:eastAsia="Arial" w:hAnsi="Arial" w:cs="Arial"/>
          <w:sz w:val="25"/>
        </w:rPr>
        <w:t>عند  وصف</w:t>
      </w:r>
      <w:proofErr w:type="gramEnd"/>
      <w:r>
        <w:rPr>
          <w:rFonts w:ascii="Arial" w:eastAsia="Arial" w:hAnsi="Arial" w:cs="Arial"/>
          <w:sz w:val="25"/>
        </w:rPr>
        <w:t xml:space="preserve"> العصر الذهبي بلا تردد.</w:t>
      </w:r>
    </w:p>
    <w:p w14:paraId="12B55AFD" w14:textId="77777777" w:rsidR="007F6AD8" w:rsidRDefault="00000000" w:rsidP="00917695">
      <w:pPr>
        <w:bidi/>
        <w:spacing w:before="200" w:after="80"/>
      </w:pPr>
      <w:r>
        <w:rPr>
          <w:rFonts w:ascii="Arial" w:eastAsia="Arial" w:hAnsi="Arial" w:cs="Arial"/>
          <w:b/>
          <w:color w:val="1B5E20"/>
          <w:sz w:val="28"/>
        </w:rPr>
        <w:lastRenderedPageBreak/>
        <w:t>المصادر البريطانية المستخدمة</w:t>
      </w:r>
    </w:p>
    <w:p w14:paraId="527067E3" w14:textId="6D5B1F2D" w:rsidR="007F6AD8" w:rsidRDefault="00000000" w:rsidP="00917695">
      <w:pPr>
        <w:bidi/>
        <w:spacing w:after="120" w:line="300" w:lineRule="auto"/>
      </w:pPr>
      <w:r>
        <w:rPr>
          <w:rFonts w:ascii="Arial" w:eastAsia="Arial" w:hAnsi="Arial" w:cs="Arial"/>
          <w:color w:val="505050"/>
          <w:sz w:val="23"/>
        </w:rPr>
        <w:t xml:space="preserve">جميع الروابط </w:t>
      </w:r>
      <w:proofErr w:type="spellStart"/>
      <w:r>
        <w:rPr>
          <w:rFonts w:ascii="Arial" w:eastAsia="Arial" w:hAnsi="Arial" w:cs="Arial"/>
          <w:color w:val="505050"/>
          <w:sz w:val="23"/>
        </w:rPr>
        <w:t>التالية</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من</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Encyclopaedia</w:t>
      </w:r>
      <w:proofErr w:type="spellEnd"/>
      <w:r>
        <w:rPr>
          <w:rFonts w:ascii="Arial" w:eastAsia="Arial" w:hAnsi="Arial" w:cs="Arial"/>
          <w:color w:val="505050"/>
          <w:sz w:val="23"/>
        </w:rPr>
        <w:t xml:space="preserve"> ، </w:t>
      </w:r>
      <w:proofErr w:type="spellStart"/>
      <w:r>
        <w:rPr>
          <w:rFonts w:ascii="Arial" w:eastAsia="Arial" w:hAnsi="Arial" w:cs="Arial"/>
          <w:color w:val="505050"/>
          <w:sz w:val="23"/>
        </w:rPr>
        <w:t>وهي</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الأساس</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الوحيد</w:t>
      </w:r>
      <w:proofErr w:type="spellEnd"/>
      <w:r>
        <w:rPr>
          <w:rFonts w:ascii="Arial" w:eastAsia="Arial" w:hAnsi="Arial" w:cs="Arial"/>
          <w:color w:val="505050"/>
          <w:sz w:val="23"/>
        </w:rPr>
        <w:t xml:space="preserve"> الذي بُني عليه هذا الملف. تم إدراجها بصيغتها المباشرة لتسهيل الرجوع إلى المادة الأصلية.</w:t>
      </w:r>
    </w:p>
    <w:p w14:paraId="3D4E5059" w14:textId="77777777" w:rsidR="007F6AD8" w:rsidRDefault="00000000" w:rsidP="00917695">
      <w:pPr>
        <w:bidi/>
        <w:spacing w:after="40" w:line="264" w:lineRule="auto"/>
      </w:pPr>
      <w:r>
        <w:rPr>
          <w:rFonts w:ascii="Arial" w:eastAsia="Arial" w:hAnsi="Arial" w:cs="Arial"/>
          <w:b/>
          <w:sz w:val="24"/>
        </w:rPr>
        <w:t>1. Arabic literature</w:t>
      </w:r>
    </w:p>
    <w:p w14:paraId="006D3ADB" w14:textId="5BC7E035" w:rsidR="007F6AD8" w:rsidRDefault="00000000" w:rsidP="00917695">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com/art/Arabic-literature</w:t>
      </w:r>
    </w:p>
    <w:p w14:paraId="797792D6" w14:textId="77777777" w:rsidR="007F6AD8" w:rsidRDefault="00000000" w:rsidP="00917695">
      <w:pPr>
        <w:bidi/>
        <w:spacing w:after="40" w:line="264" w:lineRule="auto"/>
      </w:pPr>
      <w:r>
        <w:rPr>
          <w:rFonts w:ascii="Arial" w:eastAsia="Arial" w:hAnsi="Arial" w:cs="Arial"/>
          <w:b/>
          <w:sz w:val="24"/>
        </w:rPr>
        <w:t>2. Islamic arts - The Abbasids</w:t>
      </w:r>
    </w:p>
    <w:p w14:paraId="7B490D2E" w14:textId="1DF12999" w:rsidR="007F6AD8" w:rsidRDefault="00000000" w:rsidP="00917695">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com/topic/Islamic-arts/The-Abbasids</w:t>
      </w:r>
    </w:p>
    <w:p w14:paraId="3C8BA99A" w14:textId="77777777" w:rsidR="007F6AD8" w:rsidRDefault="00000000" w:rsidP="00917695">
      <w:pPr>
        <w:bidi/>
        <w:spacing w:after="40" w:line="264" w:lineRule="auto"/>
      </w:pPr>
      <w:r>
        <w:rPr>
          <w:rFonts w:ascii="Arial" w:eastAsia="Arial" w:hAnsi="Arial" w:cs="Arial"/>
          <w:b/>
          <w:sz w:val="24"/>
        </w:rPr>
        <w:t>3. Islamic arts - Development of literary prose</w:t>
      </w:r>
    </w:p>
    <w:p w14:paraId="54F65794" w14:textId="47D58BFA" w:rsidR="007F6AD8" w:rsidRDefault="00000000" w:rsidP="00917695">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com/topic/Islamic-arts/Development-of-literary-prose</w:t>
      </w:r>
    </w:p>
    <w:p w14:paraId="098AB26B" w14:textId="77777777" w:rsidR="007F6AD8" w:rsidRDefault="00000000" w:rsidP="00917695">
      <w:pPr>
        <w:bidi/>
        <w:spacing w:after="40" w:line="264" w:lineRule="auto"/>
      </w:pPr>
      <w:r>
        <w:rPr>
          <w:rFonts w:ascii="Arial" w:eastAsia="Arial" w:hAnsi="Arial" w:cs="Arial"/>
          <w:b/>
          <w:sz w:val="24"/>
        </w:rPr>
        <w:t>4. Islamic arts - Islamic literatures</w:t>
      </w:r>
    </w:p>
    <w:p w14:paraId="28EB6AB2" w14:textId="6667D4E7" w:rsidR="007F6AD8" w:rsidRDefault="00000000" w:rsidP="00917695">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com/topic/Islamic-arts/Islamic-literatures</w:t>
      </w:r>
    </w:p>
    <w:sectPr w:rsidR="007F6AD8"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DCDC" w14:textId="77777777" w:rsidR="003C4698" w:rsidRDefault="003C4698">
      <w:pPr>
        <w:spacing w:after="0" w:line="240" w:lineRule="auto"/>
      </w:pPr>
      <w:r>
        <w:separator/>
      </w:r>
    </w:p>
  </w:endnote>
  <w:endnote w:type="continuationSeparator" w:id="0">
    <w:p w14:paraId="5D1C4189" w14:textId="77777777" w:rsidR="003C4698" w:rsidRDefault="003C4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EAB2" w14:textId="64499FBA" w:rsidR="007F6AD8" w:rsidRDefault="007F6AD8">
    <w:pPr>
      <w:pStyle w:val="Footer"/>
      <w:bidi/>
      <w:jc w:val="center"/>
      <w:rPr>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A0EC" w14:textId="77777777" w:rsidR="003C4698" w:rsidRDefault="003C4698">
      <w:pPr>
        <w:spacing w:after="0" w:line="240" w:lineRule="auto"/>
      </w:pPr>
      <w:r>
        <w:separator/>
      </w:r>
    </w:p>
  </w:footnote>
  <w:footnote w:type="continuationSeparator" w:id="0">
    <w:p w14:paraId="43F89512" w14:textId="77777777" w:rsidR="003C4698" w:rsidRDefault="003C4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95232">
    <w:abstractNumId w:val="8"/>
  </w:num>
  <w:num w:numId="2" w16cid:durableId="70005444">
    <w:abstractNumId w:val="6"/>
  </w:num>
  <w:num w:numId="3" w16cid:durableId="532890430">
    <w:abstractNumId w:val="5"/>
  </w:num>
  <w:num w:numId="4" w16cid:durableId="855732615">
    <w:abstractNumId w:val="4"/>
  </w:num>
  <w:num w:numId="5" w16cid:durableId="1813137340">
    <w:abstractNumId w:val="7"/>
  </w:num>
  <w:num w:numId="6" w16cid:durableId="155998841">
    <w:abstractNumId w:val="3"/>
  </w:num>
  <w:num w:numId="7" w16cid:durableId="1708488878">
    <w:abstractNumId w:val="2"/>
  </w:num>
  <w:num w:numId="8" w16cid:durableId="1036927802">
    <w:abstractNumId w:val="1"/>
  </w:num>
  <w:num w:numId="9" w16cid:durableId="73066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C36"/>
    <w:rsid w:val="0015074B"/>
    <w:rsid w:val="00232888"/>
    <w:rsid w:val="0029639D"/>
    <w:rsid w:val="00326F90"/>
    <w:rsid w:val="003C4698"/>
    <w:rsid w:val="007F6AD8"/>
    <w:rsid w:val="00824E3C"/>
    <w:rsid w:val="009148F7"/>
    <w:rsid w:val="00917695"/>
    <w:rsid w:val="00AA1D8D"/>
    <w:rsid w:val="00AE636F"/>
    <w:rsid w:val="00B47730"/>
    <w:rsid w:val="00CB0664"/>
    <w:rsid w:val="00EB6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A819A"/>
  <w14:defaultImageDpi w14:val="300"/>
  <w15:docId w15:val="{8CD4C3A0-CADA-4FC0-9197-9AF7B4E32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9</cp:revision>
  <dcterms:created xsi:type="dcterms:W3CDTF">2013-12-23T23:15:00Z</dcterms:created>
  <dcterms:modified xsi:type="dcterms:W3CDTF">2026-04-07T14:19:00Z</dcterms:modified>
  <cp:category/>
</cp:coreProperties>
</file>