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3C4E" w14:textId="77777777" w:rsidR="00807B09" w:rsidRDefault="00000000" w:rsidP="00446742">
      <w:pPr>
        <w:bidi/>
        <w:spacing w:after="80"/>
        <w:ind w:left="720"/>
      </w:pPr>
      <w:r>
        <w:rPr>
          <w:rFonts w:ascii="Arial" w:eastAsia="Arial" w:hAnsi="Arial" w:cs="Arial"/>
          <w:b/>
          <w:color w:val="113B5F"/>
          <w:sz w:val="42"/>
        </w:rPr>
        <w:t>الأدب في العصر الأيوبي</w:t>
      </w:r>
    </w:p>
    <w:p w14:paraId="3AA73EE8" w14:textId="77777777" w:rsidR="00807B09" w:rsidRDefault="00000000" w:rsidP="00446742">
      <w:pPr>
        <w:bidi/>
        <w:ind w:left="720"/>
      </w:pPr>
      <w:r>
        <w:rPr>
          <w:rFonts w:ascii="Arial" w:eastAsia="Arial" w:hAnsi="Arial" w:cs="Arial"/>
          <w:color w:val="A0A0A0"/>
        </w:rPr>
        <w:t>────────────────────────────────────────────</w:t>
      </w:r>
    </w:p>
    <w:p w14:paraId="3D251489" w14:textId="77777777" w:rsidR="00807B09" w:rsidRDefault="00000000" w:rsidP="00446742">
      <w:pPr>
        <w:bidi/>
        <w:spacing w:before="200" w:after="80"/>
        <w:ind w:left="720"/>
        <w:rPr>
          <w:rFonts w:hint="cs"/>
          <w:rtl/>
          <w:lang w:bidi="ar-EG"/>
        </w:rPr>
      </w:pPr>
      <w:r>
        <w:rPr>
          <w:rFonts w:ascii="Arial" w:eastAsia="Arial" w:hAnsi="Arial" w:cs="Arial"/>
          <w:b/>
          <w:color w:val="1B5E20"/>
          <w:sz w:val="28"/>
        </w:rPr>
        <w:t>ملاحظة منهجية</w:t>
      </w:r>
    </w:p>
    <w:p w14:paraId="5291A5D5" w14:textId="1CB5A13F" w:rsidR="00807B09" w:rsidRDefault="00000000" w:rsidP="00446742">
      <w:pPr>
        <w:bidi/>
        <w:spacing w:after="120" w:line="300" w:lineRule="auto"/>
        <w:ind w:left="720" w:firstLine="340"/>
      </w:pPr>
      <w:proofErr w:type="spellStart"/>
      <w:r>
        <w:rPr>
          <w:rFonts w:ascii="Arial" w:eastAsia="Arial" w:hAnsi="Arial" w:cs="Arial"/>
          <w:sz w:val="25"/>
        </w:rPr>
        <w:t>لا</w:t>
      </w:r>
      <w:proofErr w:type="spellEnd"/>
      <w:r>
        <w:rPr>
          <w:rFonts w:ascii="Arial" w:eastAsia="Arial" w:hAnsi="Arial" w:cs="Arial"/>
          <w:sz w:val="25"/>
        </w:rPr>
        <w:t xml:space="preserve"> </w:t>
      </w:r>
      <w:proofErr w:type="spellStart"/>
      <w:r>
        <w:rPr>
          <w:rFonts w:ascii="Arial" w:eastAsia="Arial" w:hAnsi="Arial" w:cs="Arial"/>
          <w:sz w:val="25"/>
        </w:rPr>
        <w:t>تفرد</w:t>
      </w:r>
      <w:proofErr w:type="spellEnd"/>
      <w:r>
        <w:rPr>
          <w:rFonts w:ascii="Arial" w:eastAsia="Arial" w:hAnsi="Arial" w:cs="Arial"/>
          <w:sz w:val="25"/>
        </w:rPr>
        <w:t xml:space="preserve"> </w:t>
      </w:r>
      <w:proofErr w:type="spellStart"/>
      <w:r>
        <w:rPr>
          <w:rFonts w:ascii="Arial" w:eastAsia="Arial" w:hAnsi="Arial" w:cs="Arial"/>
          <w:sz w:val="25"/>
        </w:rPr>
        <w:t>للأدب</w:t>
      </w:r>
      <w:proofErr w:type="spellEnd"/>
      <w:r>
        <w:rPr>
          <w:rFonts w:ascii="Arial" w:eastAsia="Arial" w:hAnsi="Arial" w:cs="Arial"/>
          <w:sz w:val="25"/>
        </w:rPr>
        <w:t xml:space="preserve"> </w:t>
      </w:r>
      <w:proofErr w:type="spellStart"/>
      <w:r>
        <w:rPr>
          <w:rFonts w:ascii="Arial" w:eastAsia="Arial" w:hAnsi="Arial" w:cs="Arial"/>
          <w:sz w:val="25"/>
        </w:rPr>
        <w:t>الأيوبي</w:t>
      </w:r>
      <w:proofErr w:type="spellEnd"/>
      <w:r>
        <w:rPr>
          <w:rFonts w:ascii="Arial" w:eastAsia="Arial" w:hAnsi="Arial" w:cs="Arial"/>
          <w:sz w:val="25"/>
        </w:rPr>
        <w:t xml:space="preserve"> مدخلاً مستقلاً جامعًا، ولذلك تُبنى صورة هذا العصر فيها من خلال مداخل القاهرة، والتراجم الكبرى المرتبطة بصلاح الدين والبيئة الأيوبية، ولا سيما بهاء الدين بن شداد وابن الفارض. وعليه فإن هذا الملف يلتزم بهذا البناء غير المباشر، مع توضيح ما يمكن استخلاصه منه أدبيًا.</w:t>
      </w:r>
    </w:p>
    <w:p w14:paraId="3893C2F5" w14:textId="77777777" w:rsidR="00807B09" w:rsidRDefault="00000000" w:rsidP="00446742">
      <w:pPr>
        <w:bidi/>
        <w:spacing w:before="200" w:after="80"/>
        <w:ind w:left="720"/>
      </w:pPr>
      <w:r>
        <w:rPr>
          <w:rFonts w:ascii="Arial" w:eastAsia="Arial" w:hAnsi="Arial" w:cs="Arial"/>
          <w:b/>
          <w:color w:val="1B5E20"/>
          <w:sz w:val="28"/>
        </w:rPr>
        <w:t>أولاً: القاهرة الأيوبية وتحولها إلى متروبوليس إمبراطوري</w:t>
      </w:r>
    </w:p>
    <w:p w14:paraId="17AAFE08" w14:textId="4D9C1332" w:rsidR="00807B09" w:rsidRDefault="00000000" w:rsidP="00446742">
      <w:pPr>
        <w:bidi/>
        <w:spacing w:after="120" w:line="300" w:lineRule="auto"/>
        <w:ind w:left="720" w:firstLine="340"/>
      </w:pPr>
      <w:proofErr w:type="gramStart"/>
      <w:r>
        <w:rPr>
          <w:rFonts w:ascii="Arial" w:eastAsia="Arial" w:hAnsi="Arial" w:cs="Arial"/>
          <w:sz w:val="25"/>
        </w:rPr>
        <w:t>تذكر  في</w:t>
      </w:r>
      <w:proofErr w:type="gramEnd"/>
      <w:r>
        <w:rPr>
          <w:rFonts w:ascii="Arial" w:eastAsia="Arial" w:hAnsi="Arial" w:cs="Arial"/>
          <w:sz w:val="25"/>
        </w:rPr>
        <w:t xml:space="preserve"> مادة القاهرة أن صلاح الدين حوّل المدينة من نطاق ملكي محدود إلى متروبوليس إمبراطوري، ووسّع أسوارها وشيد القلعة. وهذا التحول العمراني والسياسي له دلالة أدبية واضحة: فالمدينة التي تتسع سلطتها ومؤسساتها تصبح عادةً مركزًا للرعاية والكتابة والتدريس والتدوين. ومن ثم فإن العصر الأيوبي يظهر </w:t>
      </w:r>
      <w:proofErr w:type="gramStart"/>
      <w:r>
        <w:rPr>
          <w:rFonts w:ascii="Arial" w:eastAsia="Arial" w:hAnsi="Arial" w:cs="Arial"/>
          <w:sz w:val="25"/>
        </w:rPr>
        <w:t>في  بوصفه</w:t>
      </w:r>
      <w:proofErr w:type="gramEnd"/>
      <w:r>
        <w:rPr>
          <w:rFonts w:ascii="Arial" w:eastAsia="Arial" w:hAnsi="Arial" w:cs="Arial"/>
          <w:sz w:val="25"/>
        </w:rPr>
        <w:t xml:space="preserve"> مرحلة تدعيم جديد لمكانة القاهرة التي كانت قد بدأت مع الفاطميين.</w:t>
      </w:r>
    </w:p>
    <w:p w14:paraId="15E04842" w14:textId="77777777" w:rsidR="00807B09" w:rsidRDefault="00000000" w:rsidP="00446742">
      <w:pPr>
        <w:bidi/>
        <w:spacing w:before="200" w:after="80"/>
        <w:ind w:left="720"/>
      </w:pPr>
      <w:r>
        <w:rPr>
          <w:rFonts w:ascii="Arial" w:eastAsia="Arial" w:hAnsi="Arial" w:cs="Arial"/>
          <w:b/>
          <w:color w:val="1B5E20"/>
          <w:sz w:val="28"/>
        </w:rPr>
        <w:t>ثانيًا: الأدب والسيرة في ظل صلاح الدين</w:t>
      </w:r>
    </w:p>
    <w:p w14:paraId="5840CD2A" w14:textId="779939E8" w:rsidR="00807B09" w:rsidRDefault="00000000" w:rsidP="00446742">
      <w:pPr>
        <w:bidi/>
        <w:spacing w:after="120" w:line="300" w:lineRule="auto"/>
        <w:ind w:left="720" w:firstLine="340"/>
        <w:rPr>
          <w:rFonts w:hint="cs"/>
          <w:rtl/>
          <w:lang w:bidi="ar-EG"/>
        </w:rPr>
      </w:pPr>
      <w:r>
        <w:rPr>
          <w:rFonts w:ascii="Arial" w:eastAsia="Arial" w:hAnsi="Arial" w:cs="Arial"/>
          <w:sz w:val="25"/>
        </w:rPr>
        <w:t xml:space="preserve">أبرز ما </w:t>
      </w:r>
      <w:proofErr w:type="gramStart"/>
      <w:r>
        <w:rPr>
          <w:rFonts w:ascii="Arial" w:eastAsia="Arial" w:hAnsi="Arial" w:cs="Arial"/>
          <w:sz w:val="25"/>
        </w:rPr>
        <w:t>تقدمه  أدبيًا</w:t>
      </w:r>
      <w:proofErr w:type="gramEnd"/>
      <w:r>
        <w:rPr>
          <w:rFonts w:ascii="Arial" w:eastAsia="Arial" w:hAnsi="Arial" w:cs="Arial"/>
          <w:sz w:val="25"/>
        </w:rPr>
        <w:t xml:space="preserve"> عن هذا العصر هو شخصية بهاء الدين بن شداد، الذي تصفه بأنه عالم وكاتب ورجل دولة ومؤلف سيرة صلاح الدين. وتقول إن كتابه عن السلطان هو أفضل حساب لحياة صلاح الدين. وتدل هذه الإشارة على أن الأدب الأيوبي، في أحد أهم تمثلاته، كان أدب سيرة وتاريخ قريب من الوقائع الكبرى للحروب والسياسة. فالسيرة هنا ليست مجرد خبر تاريخي، بل كتابة أدبية-تاريخية تشكّل صورة الحاكم، وتؤطر الجهاد والسياسة والبطولة ضمن سرد متماسك.</w:t>
      </w:r>
    </w:p>
    <w:p w14:paraId="490B9F25" w14:textId="77777777" w:rsidR="00807B09" w:rsidRDefault="00000000" w:rsidP="00446742">
      <w:pPr>
        <w:bidi/>
        <w:spacing w:before="200" w:after="80"/>
        <w:ind w:left="720"/>
      </w:pPr>
      <w:r>
        <w:rPr>
          <w:rFonts w:ascii="Arial" w:eastAsia="Arial" w:hAnsi="Arial" w:cs="Arial"/>
          <w:b/>
          <w:color w:val="1B5E20"/>
          <w:sz w:val="28"/>
        </w:rPr>
        <w:t>ثالثًا: السيرة بوصفها جنسًا أدبيًا وسياسيًا</w:t>
      </w:r>
    </w:p>
    <w:p w14:paraId="5DE534F1" w14:textId="4C4F63D4" w:rsidR="00807B09" w:rsidRDefault="00000000" w:rsidP="00446742">
      <w:pPr>
        <w:bidi/>
        <w:spacing w:after="120" w:line="300" w:lineRule="auto"/>
        <w:ind w:left="720" w:firstLine="340"/>
      </w:pPr>
      <w:r>
        <w:rPr>
          <w:rFonts w:ascii="Arial" w:eastAsia="Arial" w:hAnsi="Arial" w:cs="Arial"/>
          <w:sz w:val="25"/>
        </w:rPr>
        <w:t xml:space="preserve">حين نقف عند </w:t>
      </w:r>
      <w:proofErr w:type="gramStart"/>
      <w:r>
        <w:rPr>
          <w:rFonts w:ascii="Arial" w:eastAsia="Arial" w:hAnsi="Arial" w:cs="Arial"/>
          <w:sz w:val="25"/>
        </w:rPr>
        <w:t>وصف  لسيرة</w:t>
      </w:r>
      <w:proofErr w:type="gramEnd"/>
      <w:r>
        <w:rPr>
          <w:rFonts w:ascii="Arial" w:eastAsia="Arial" w:hAnsi="Arial" w:cs="Arial"/>
          <w:sz w:val="25"/>
        </w:rPr>
        <w:t xml:space="preserve"> بهاء الدين، نفهم أن هذا اللون من الكتابة كان في العصر الأيوبي جزءًا من صناعة الذاكرة السياسية. فصلاح الدين لم يكن مجرد قائد عسكري، بل رمزًا تاريخيًا، ولذلك احتاجت دولته إلى نصوص تحفظ صورته وتفسر أفعاله وتبني نموذج الحاكم. ومن هنا فإن الأدب الأيوبي لا ينفصل عن وظيفة التدوين والتأريخ وتبرير السلطة وصناعة المثال الأخلاقي والسياسي.</w:t>
      </w:r>
    </w:p>
    <w:p w14:paraId="3D2CEDF9" w14:textId="77777777" w:rsidR="00807B09" w:rsidRDefault="00000000" w:rsidP="00446742">
      <w:pPr>
        <w:bidi/>
        <w:spacing w:before="200" w:after="80"/>
        <w:ind w:left="720"/>
      </w:pPr>
      <w:r>
        <w:rPr>
          <w:rFonts w:ascii="Arial" w:eastAsia="Arial" w:hAnsi="Arial" w:cs="Arial"/>
          <w:b/>
          <w:color w:val="1B5E20"/>
          <w:sz w:val="28"/>
        </w:rPr>
        <w:t>رابعًا: ابن الفارض والوجه الصوفي للعصر</w:t>
      </w:r>
    </w:p>
    <w:p w14:paraId="7FB23CEC" w14:textId="4FC33D31" w:rsidR="00807B09" w:rsidRDefault="00000000" w:rsidP="00446742">
      <w:pPr>
        <w:bidi/>
        <w:spacing w:after="120" w:line="300" w:lineRule="auto"/>
        <w:ind w:left="720" w:firstLine="340"/>
        <w:rPr>
          <w:rtl/>
          <w:lang w:bidi="ar-EG"/>
        </w:rPr>
      </w:pPr>
      <w:r>
        <w:rPr>
          <w:rFonts w:ascii="Arial" w:eastAsia="Arial" w:hAnsi="Arial" w:cs="Arial"/>
          <w:sz w:val="25"/>
        </w:rPr>
        <w:t xml:space="preserve">على الوجه الآخر من الصورة، </w:t>
      </w:r>
      <w:proofErr w:type="gramStart"/>
      <w:r>
        <w:rPr>
          <w:rFonts w:ascii="Arial" w:eastAsia="Arial" w:hAnsi="Arial" w:cs="Arial"/>
          <w:sz w:val="25"/>
        </w:rPr>
        <w:t>تقدم  ابن</w:t>
      </w:r>
      <w:proofErr w:type="gramEnd"/>
      <w:r>
        <w:rPr>
          <w:rFonts w:ascii="Arial" w:eastAsia="Arial" w:hAnsi="Arial" w:cs="Arial"/>
          <w:sz w:val="25"/>
        </w:rPr>
        <w:t xml:space="preserve"> الفارض بوصفه الشاعر العربي الذي يُعد التعبير عن التصوف في لغته من أرقى ما عرفته العربية. وقد عاش في القاهرة، واعتزل القانون لحياة روحية، وارتبط اسمه بقصيدتيه الأشهر: نظم السلوك والخمرية. </w:t>
      </w:r>
      <w:proofErr w:type="gramStart"/>
      <w:r>
        <w:rPr>
          <w:rFonts w:ascii="Arial" w:eastAsia="Arial" w:hAnsi="Arial" w:cs="Arial"/>
          <w:sz w:val="25"/>
        </w:rPr>
        <w:t>وتشرح  أن</w:t>
      </w:r>
      <w:proofErr w:type="gramEnd"/>
      <w:r>
        <w:rPr>
          <w:rFonts w:ascii="Arial" w:eastAsia="Arial" w:hAnsi="Arial" w:cs="Arial"/>
          <w:sz w:val="25"/>
        </w:rPr>
        <w:t xml:space="preserve"> كثيرًا من قصائده مبني على صيغة العاشق المشتاق إلى محبوبه، لكن هذا الحب يتجاوز المعنى الحسي إلى توق روحي عميق إلى الاندماج في </w:t>
      </w:r>
      <w:proofErr w:type="spellStart"/>
      <w:r>
        <w:rPr>
          <w:rFonts w:ascii="Arial" w:eastAsia="Arial" w:hAnsi="Arial" w:cs="Arial"/>
          <w:sz w:val="25"/>
        </w:rPr>
        <w:t>الحقيقة</w:t>
      </w:r>
      <w:proofErr w:type="spellEnd"/>
      <w:r>
        <w:rPr>
          <w:rFonts w:ascii="Arial" w:eastAsia="Arial" w:hAnsi="Arial" w:cs="Arial"/>
          <w:sz w:val="25"/>
        </w:rPr>
        <w:t xml:space="preserve"> </w:t>
      </w:r>
      <w:proofErr w:type="spellStart"/>
      <w:r>
        <w:rPr>
          <w:rFonts w:ascii="Arial" w:eastAsia="Arial" w:hAnsi="Arial" w:cs="Arial"/>
          <w:sz w:val="25"/>
        </w:rPr>
        <w:t>المحمدية</w:t>
      </w:r>
      <w:proofErr w:type="spellEnd"/>
      <w:r>
        <w:rPr>
          <w:rFonts w:ascii="Arial" w:eastAsia="Arial" w:hAnsi="Arial" w:cs="Arial"/>
          <w:sz w:val="25"/>
        </w:rPr>
        <w:t xml:space="preserve"> </w:t>
      </w:r>
      <w:proofErr w:type="spellStart"/>
      <w:r>
        <w:rPr>
          <w:rFonts w:ascii="Arial" w:eastAsia="Arial" w:hAnsi="Arial" w:cs="Arial"/>
          <w:sz w:val="25"/>
        </w:rPr>
        <w:t>والحب</w:t>
      </w:r>
      <w:proofErr w:type="spellEnd"/>
      <w:r>
        <w:rPr>
          <w:rFonts w:ascii="Arial" w:eastAsia="Arial" w:hAnsi="Arial" w:cs="Arial"/>
          <w:sz w:val="25"/>
        </w:rPr>
        <w:t xml:space="preserve"> </w:t>
      </w:r>
      <w:proofErr w:type="spellStart"/>
      <w:r>
        <w:rPr>
          <w:rFonts w:ascii="Arial" w:eastAsia="Arial" w:hAnsi="Arial" w:cs="Arial"/>
          <w:sz w:val="25"/>
        </w:rPr>
        <w:t>الإلهي</w:t>
      </w:r>
      <w:proofErr w:type="spellEnd"/>
      <w:r>
        <w:rPr>
          <w:rFonts w:ascii="Arial" w:eastAsia="Arial" w:hAnsi="Arial" w:cs="Arial"/>
          <w:sz w:val="25"/>
        </w:rPr>
        <w:t xml:space="preserve">. وبذلك يقدم لنا </w:t>
      </w:r>
      <w:proofErr w:type="spellStart"/>
      <w:r>
        <w:rPr>
          <w:rFonts w:ascii="Arial" w:eastAsia="Arial" w:hAnsi="Arial" w:cs="Arial"/>
          <w:sz w:val="25"/>
        </w:rPr>
        <w:t>العصر</w:t>
      </w:r>
      <w:proofErr w:type="spellEnd"/>
      <w:r>
        <w:rPr>
          <w:rFonts w:ascii="Arial" w:eastAsia="Arial" w:hAnsi="Arial" w:cs="Arial"/>
          <w:sz w:val="25"/>
        </w:rPr>
        <w:t xml:space="preserve"> </w:t>
      </w:r>
      <w:proofErr w:type="spellStart"/>
      <w:r>
        <w:rPr>
          <w:rFonts w:ascii="Arial" w:eastAsia="Arial" w:hAnsi="Arial" w:cs="Arial"/>
          <w:sz w:val="25"/>
        </w:rPr>
        <w:t>الأيوبي</w:t>
      </w:r>
      <w:proofErr w:type="spellEnd"/>
      <w:r>
        <w:rPr>
          <w:rFonts w:ascii="Arial" w:eastAsia="Arial" w:hAnsi="Arial" w:cs="Arial"/>
          <w:sz w:val="25"/>
        </w:rPr>
        <w:t xml:space="preserve"> </w:t>
      </w:r>
      <w:proofErr w:type="spellStart"/>
      <w:proofErr w:type="gramStart"/>
      <w:r>
        <w:rPr>
          <w:rFonts w:ascii="Arial" w:eastAsia="Arial" w:hAnsi="Arial" w:cs="Arial"/>
          <w:sz w:val="25"/>
        </w:rPr>
        <w:t>في</w:t>
      </w:r>
      <w:proofErr w:type="spellEnd"/>
      <w:r>
        <w:rPr>
          <w:rFonts w:ascii="Arial" w:eastAsia="Arial" w:hAnsi="Arial" w:cs="Arial"/>
          <w:sz w:val="25"/>
        </w:rPr>
        <w:t xml:space="preserve">  </w:t>
      </w:r>
      <w:proofErr w:type="spellStart"/>
      <w:r>
        <w:rPr>
          <w:rFonts w:ascii="Arial" w:eastAsia="Arial" w:hAnsi="Arial" w:cs="Arial"/>
          <w:sz w:val="25"/>
        </w:rPr>
        <w:t>وجهًا</w:t>
      </w:r>
      <w:proofErr w:type="spellEnd"/>
      <w:proofErr w:type="gramEnd"/>
      <w:r>
        <w:rPr>
          <w:rFonts w:ascii="Arial" w:eastAsia="Arial" w:hAnsi="Arial" w:cs="Arial"/>
          <w:sz w:val="25"/>
        </w:rPr>
        <w:t xml:space="preserve"> </w:t>
      </w:r>
      <w:proofErr w:type="spellStart"/>
      <w:r>
        <w:rPr>
          <w:rFonts w:ascii="Arial" w:eastAsia="Arial" w:hAnsi="Arial" w:cs="Arial"/>
          <w:sz w:val="25"/>
        </w:rPr>
        <w:t>أدبيًا</w:t>
      </w:r>
      <w:proofErr w:type="spellEnd"/>
      <w:r>
        <w:rPr>
          <w:rFonts w:ascii="Arial" w:eastAsia="Arial" w:hAnsi="Arial" w:cs="Arial"/>
          <w:sz w:val="25"/>
        </w:rPr>
        <w:t xml:space="preserve"> </w:t>
      </w:r>
      <w:proofErr w:type="spellStart"/>
      <w:r>
        <w:rPr>
          <w:rFonts w:ascii="Arial" w:eastAsia="Arial" w:hAnsi="Arial" w:cs="Arial"/>
          <w:sz w:val="25"/>
        </w:rPr>
        <w:t>آخر</w:t>
      </w:r>
      <w:proofErr w:type="spellEnd"/>
      <w:r>
        <w:rPr>
          <w:rFonts w:ascii="Arial" w:eastAsia="Arial" w:hAnsi="Arial" w:cs="Arial"/>
          <w:sz w:val="25"/>
        </w:rPr>
        <w:t xml:space="preserve"> غير السيرة والتاريخ: </w:t>
      </w:r>
      <w:proofErr w:type="spellStart"/>
      <w:r>
        <w:rPr>
          <w:rFonts w:ascii="Arial" w:eastAsia="Arial" w:hAnsi="Arial" w:cs="Arial"/>
          <w:sz w:val="25"/>
        </w:rPr>
        <w:t>وجه</w:t>
      </w:r>
      <w:proofErr w:type="spellEnd"/>
      <w:r>
        <w:rPr>
          <w:rFonts w:ascii="Arial" w:eastAsia="Arial" w:hAnsi="Arial" w:cs="Arial"/>
          <w:sz w:val="25"/>
        </w:rPr>
        <w:t xml:space="preserve"> </w:t>
      </w:r>
      <w:proofErr w:type="spellStart"/>
      <w:r>
        <w:rPr>
          <w:rFonts w:ascii="Arial" w:eastAsia="Arial" w:hAnsi="Arial" w:cs="Arial"/>
          <w:sz w:val="25"/>
        </w:rPr>
        <w:t>الشعر</w:t>
      </w:r>
      <w:proofErr w:type="spellEnd"/>
      <w:r>
        <w:rPr>
          <w:rFonts w:ascii="Arial" w:eastAsia="Arial" w:hAnsi="Arial" w:cs="Arial"/>
          <w:sz w:val="25"/>
        </w:rPr>
        <w:t xml:space="preserve"> </w:t>
      </w:r>
      <w:proofErr w:type="spellStart"/>
      <w:r>
        <w:rPr>
          <w:rFonts w:ascii="Arial" w:eastAsia="Arial" w:hAnsi="Arial" w:cs="Arial"/>
          <w:sz w:val="25"/>
        </w:rPr>
        <w:t>الصوفي</w:t>
      </w:r>
      <w:proofErr w:type="spellEnd"/>
      <w:r>
        <w:rPr>
          <w:rFonts w:ascii="Arial" w:eastAsia="Arial" w:hAnsi="Arial" w:cs="Arial"/>
          <w:sz w:val="25"/>
        </w:rPr>
        <w:t xml:space="preserve"> </w:t>
      </w:r>
      <w:proofErr w:type="spellStart"/>
      <w:r>
        <w:rPr>
          <w:rFonts w:ascii="Arial" w:eastAsia="Arial" w:hAnsi="Arial" w:cs="Arial"/>
          <w:sz w:val="25"/>
        </w:rPr>
        <w:t>الرفيع</w:t>
      </w:r>
      <w:proofErr w:type="spellEnd"/>
      <w:r>
        <w:rPr>
          <w:rFonts w:ascii="Arial" w:eastAsia="Arial" w:hAnsi="Arial" w:cs="Arial"/>
          <w:sz w:val="25"/>
        </w:rPr>
        <w:t>.</w:t>
      </w:r>
    </w:p>
    <w:p w14:paraId="6020D8AE" w14:textId="77777777" w:rsidR="00446742" w:rsidRDefault="00446742" w:rsidP="00446742">
      <w:pPr>
        <w:bidi/>
        <w:spacing w:after="120" w:line="300" w:lineRule="auto"/>
        <w:ind w:left="720" w:firstLine="340"/>
        <w:rPr>
          <w:rtl/>
          <w:lang w:bidi="ar-EG"/>
        </w:rPr>
      </w:pPr>
    </w:p>
    <w:p w14:paraId="253740A2" w14:textId="77777777" w:rsidR="00446742" w:rsidRDefault="00446742" w:rsidP="00446742">
      <w:pPr>
        <w:bidi/>
        <w:spacing w:after="120" w:line="300" w:lineRule="auto"/>
        <w:ind w:left="720" w:firstLine="340"/>
        <w:rPr>
          <w:rtl/>
          <w:lang w:bidi="ar-EG"/>
        </w:rPr>
      </w:pPr>
    </w:p>
    <w:p w14:paraId="38312F95" w14:textId="77777777" w:rsidR="00446742" w:rsidRDefault="00446742" w:rsidP="00446742">
      <w:pPr>
        <w:bidi/>
        <w:spacing w:after="120" w:line="300" w:lineRule="auto"/>
        <w:ind w:left="720" w:firstLine="340"/>
        <w:rPr>
          <w:rFonts w:hint="cs"/>
          <w:rtl/>
          <w:lang w:bidi="ar-EG"/>
        </w:rPr>
      </w:pPr>
    </w:p>
    <w:p w14:paraId="73D83745" w14:textId="77777777" w:rsidR="00807B09" w:rsidRDefault="00000000" w:rsidP="00446742">
      <w:pPr>
        <w:bidi/>
        <w:spacing w:before="200" w:after="80"/>
        <w:ind w:left="720"/>
      </w:pPr>
      <w:proofErr w:type="spellStart"/>
      <w:r>
        <w:rPr>
          <w:rFonts w:ascii="Arial" w:eastAsia="Arial" w:hAnsi="Arial" w:cs="Arial"/>
          <w:b/>
          <w:color w:val="1B5E20"/>
          <w:sz w:val="28"/>
        </w:rPr>
        <w:lastRenderedPageBreak/>
        <w:t>خامسًا</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جماليات</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الشعر</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الصوفي</w:t>
      </w:r>
      <w:proofErr w:type="spellEnd"/>
      <w:r>
        <w:rPr>
          <w:rFonts w:ascii="Arial" w:eastAsia="Arial" w:hAnsi="Arial" w:cs="Arial"/>
          <w:b/>
          <w:color w:val="1B5E20"/>
          <w:sz w:val="28"/>
        </w:rPr>
        <w:t xml:space="preserve"> عند ابن الفارض</w:t>
      </w:r>
    </w:p>
    <w:p w14:paraId="48CD56EA" w14:textId="100F6D86" w:rsidR="00807B09" w:rsidRDefault="00000000" w:rsidP="00446742">
      <w:pPr>
        <w:bidi/>
        <w:spacing w:after="120" w:line="300" w:lineRule="auto"/>
        <w:ind w:left="720" w:firstLine="340"/>
      </w:pPr>
      <w:proofErr w:type="gramStart"/>
      <w:r>
        <w:rPr>
          <w:rFonts w:ascii="Arial" w:eastAsia="Arial" w:hAnsi="Arial" w:cs="Arial"/>
          <w:sz w:val="25"/>
        </w:rPr>
        <w:t>تصف  شعر</w:t>
      </w:r>
      <w:proofErr w:type="gramEnd"/>
      <w:r>
        <w:rPr>
          <w:rFonts w:ascii="Arial" w:eastAsia="Arial" w:hAnsi="Arial" w:cs="Arial"/>
          <w:sz w:val="25"/>
        </w:rPr>
        <w:t xml:space="preserve"> ابن الفارض بأنه مزين بلاغيًا ومشحون بصور مألوفة في الغزل والقصيدة، لكنها تؤكد أن هذه الصنعة لا تلغي ما فيه من جمال مؤثر وشعور ديني عميق. وهذا مهم لأنه يكشف أن الأدب الأيوبي لم يكن فقط أدب وقائع وحروب، بل كان أيضًا مجالاً لتهذيب الحس الروحي والرمزي. ومن خلال ابن الفارض يظهر كيف أمكن للقصيدة العربية أن تحتفظ بإطارها التقليدي، ثم تعيد شحنه بدلالة صوفية تجعل الخمر رمزًا للحب الإلهي، وتجعل الشوق العاطفي استعارة للمسار الروحي.</w:t>
      </w:r>
    </w:p>
    <w:p w14:paraId="088C2ACC" w14:textId="77777777" w:rsidR="00807B09" w:rsidRDefault="00000000" w:rsidP="00446742">
      <w:pPr>
        <w:bidi/>
        <w:spacing w:before="200" w:after="80"/>
        <w:ind w:left="720"/>
      </w:pPr>
      <w:r>
        <w:rPr>
          <w:rFonts w:ascii="Arial" w:eastAsia="Arial" w:hAnsi="Arial" w:cs="Arial"/>
          <w:b/>
          <w:color w:val="1B5E20"/>
          <w:sz w:val="28"/>
        </w:rPr>
        <w:t>سادسًا: بين البطولة والتصوف</w:t>
      </w:r>
    </w:p>
    <w:p w14:paraId="04529B25" w14:textId="297A0817" w:rsidR="00807B09" w:rsidRDefault="00000000" w:rsidP="00446742">
      <w:pPr>
        <w:bidi/>
        <w:spacing w:after="120" w:line="300" w:lineRule="auto"/>
        <w:ind w:left="720" w:firstLine="340"/>
      </w:pPr>
      <w:r>
        <w:rPr>
          <w:rFonts w:ascii="Arial" w:eastAsia="Arial" w:hAnsi="Arial" w:cs="Arial"/>
          <w:sz w:val="25"/>
        </w:rPr>
        <w:t xml:space="preserve">إذا جمعنا ما </w:t>
      </w:r>
      <w:proofErr w:type="gramStart"/>
      <w:r>
        <w:rPr>
          <w:rFonts w:ascii="Arial" w:eastAsia="Arial" w:hAnsi="Arial" w:cs="Arial"/>
          <w:sz w:val="25"/>
        </w:rPr>
        <w:t>تقدمه  عن</w:t>
      </w:r>
      <w:proofErr w:type="gramEnd"/>
      <w:r>
        <w:rPr>
          <w:rFonts w:ascii="Arial" w:eastAsia="Arial" w:hAnsi="Arial" w:cs="Arial"/>
          <w:sz w:val="25"/>
        </w:rPr>
        <w:t xml:space="preserve"> بهاء الدين بن شداد وعن ابن الفارض، تتشكل أمامنا صورة مركبة للأدب الأيوبي: من ناحية أولى، نصوص السيرة والتاريخ القريبة من صلاح الدين والحروب الصليبية، ومن ناحية ثانية، القصيدة الصوفية التي بلغت درجة عالية من الرهافة والرمزية. وهذا التعايش بين خطاب الجهاد والسياسة وخطاب الحب الإلهي والزهد الروحي هو من أبرز ما يمنح العصر الأيوبي شخصيته الأدبية في </w:t>
      </w:r>
      <w:proofErr w:type="gramStart"/>
      <w:r>
        <w:rPr>
          <w:rFonts w:ascii="Arial" w:eastAsia="Arial" w:hAnsi="Arial" w:cs="Arial"/>
          <w:sz w:val="25"/>
        </w:rPr>
        <w:t>مادة .</w:t>
      </w:r>
      <w:proofErr w:type="gramEnd"/>
    </w:p>
    <w:p w14:paraId="70169568" w14:textId="77777777" w:rsidR="00807B09" w:rsidRDefault="00000000" w:rsidP="00446742">
      <w:pPr>
        <w:bidi/>
        <w:spacing w:before="200" w:after="80"/>
        <w:ind w:left="720"/>
      </w:pPr>
      <w:r>
        <w:rPr>
          <w:rFonts w:ascii="Arial" w:eastAsia="Arial" w:hAnsi="Arial" w:cs="Arial"/>
          <w:b/>
          <w:color w:val="1B5E20"/>
          <w:sz w:val="28"/>
        </w:rPr>
        <w:t>سابعًا: القاهرة قاعدة للاستمرار</w:t>
      </w:r>
    </w:p>
    <w:p w14:paraId="2D6EB51D" w14:textId="499513E6" w:rsidR="00807B09" w:rsidRDefault="00000000" w:rsidP="00446742">
      <w:pPr>
        <w:bidi/>
        <w:spacing w:after="120" w:line="300" w:lineRule="auto"/>
        <w:ind w:left="720" w:firstLine="340"/>
      </w:pPr>
      <w:r>
        <w:rPr>
          <w:rFonts w:ascii="Arial" w:eastAsia="Arial" w:hAnsi="Arial" w:cs="Arial"/>
          <w:sz w:val="25"/>
        </w:rPr>
        <w:t xml:space="preserve">يساعدنا مدخل القاهرة </w:t>
      </w:r>
      <w:proofErr w:type="gramStart"/>
      <w:r>
        <w:rPr>
          <w:rFonts w:ascii="Arial" w:eastAsia="Arial" w:hAnsi="Arial" w:cs="Arial"/>
          <w:sz w:val="25"/>
        </w:rPr>
        <w:t>في  على</w:t>
      </w:r>
      <w:proofErr w:type="gramEnd"/>
      <w:r>
        <w:rPr>
          <w:rFonts w:ascii="Arial" w:eastAsia="Arial" w:hAnsi="Arial" w:cs="Arial"/>
          <w:sz w:val="25"/>
        </w:rPr>
        <w:t xml:space="preserve"> رؤية أن العصر الأيوبي لم يكن مجرد لحظة عابرة بين الفاطميين والمماليك. فالتحصين والتوسع العمراني والمؤسساتي الذي جرى في عهد صلاح الدين أسهم في تجهيز المدينة لتصبح المركز الأكبر للعالم العربي الإسلامي في العصر المملوكي اللاحق. ومن ثم فإن قيمة العصر الأيوبي الأدبية لا تتجلى فقط في نصوصه المباشرة، بل أيضًا في دوره في تثبيت القاهرة حاضنةً كبرى للتعلم والكتابة والأدب.</w:t>
      </w:r>
    </w:p>
    <w:p w14:paraId="0B26D69B" w14:textId="7EF7B092" w:rsidR="00807B09" w:rsidRDefault="00000000" w:rsidP="00446742">
      <w:pPr>
        <w:bidi/>
        <w:spacing w:before="200" w:after="80"/>
        <w:ind w:left="720"/>
      </w:pPr>
      <w:r>
        <w:rPr>
          <w:rFonts w:ascii="Arial" w:eastAsia="Arial" w:hAnsi="Arial" w:cs="Arial"/>
          <w:b/>
          <w:color w:val="1B5E20"/>
          <w:sz w:val="28"/>
        </w:rPr>
        <w:t xml:space="preserve">ثامنًا: </w:t>
      </w:r>
      <w:proofErr w:type="spellStart"/>
      <w:r>
        <w:rPr>
          <w:rFonts w:ascii="Arial" w:eastAsia="Arial" w:hAnsi="Arial" w:cs="Arial"/>
          <w:b/>
          <w:color w:val="1B5E20"/>
          <w:sz w:val="28"/>
        </w:rPr>
        <w:t>حدود</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الصورة</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الأيوبية</w:t>
      </w:r>
      <w:proofErr w:type="spellEnd"/>
      <w:r>
        <w:rPr>
          <w:rFonts w:ascii="Arial" w:eastAsia="Arial" w:hAnsi="Arial" w:cs="Arial"/>
          <w:b/>
          <w:color w:val="1B5E20"/>
          <w:sz w:val="28"/>
        </w:rPr>
        <w:t xml:space="preserve"> </w:t>
      </w:r>
      <w:proofErr w:type="spellStart"/>
      <w:r>
        <w:rPr>
          <w:rFonts w:ascii="Arial" w:eastAsia="Arial" w:hAnsi="Arial" w:cs="Arial"/>
          <w:b/>
          <w:color w:val="1B5E20"/>
          <w:sz w:val="28"/>
        </w:rPr>
        <w:t>في</w:t>
      </w:r>
      <w:proofErr w:type="spellEnd"/>
    </w:p>
    <w:p w14:paraId="6C03AD35" w14:textId="06452B42" w:rsidR="00807B09" w:rsidRDefault="00000000" w:rsidP="00446742">
      <w:pPr>
        <w:bidi/>
        <w:spacing w:after="120" w:line="300" w:lineRule="auto"/>
        <w:ind w:left="720" w:firstLine="340"/>
      </w:pPr>
      <w:r>
        <w:rPr>
          <w:rFonts w:ascii="Arial" w:eastAsia="Arial" w:hAnsi="Arial" w:cs="Arial"/>
          <w:sz w:val="25"/>
        </w:rPr>
        <w:t xml:space="preserve">ينبغي التنبيه إلى </w:t>
      </w:r>
      <w:proofErr w:type="gramStart"/>
      <w:r>
        <w:rPr>
          <w:rFonts w:ascii="Arial" w:eastAsia="Arial" w:hAnsi="Arial" w:cs="Arial"/>
          <w:sz w:val="25"/>
        </w:rPr>
        <w:t>أن  لا</w:t>
      </w:r>
      <w:proofErr w:type="gramEnd"/>
      <w:r>
        <w:rPr>
          <w:rFonts w:ascii="Arial" w:eastAsia="Arial" w:hAnsi="Arial" w:cs="Arial"/>
          <w:sz w:val="25"/>
        </w:rPr>
        <w:t xml:space="preserve"> تمنحنا تصنيفًا تفصيليًا للأنواع الشعرية والنثرية في العصر الأيوبي مثلما تفعل للعباسيين أو للعثمانيين. ولهذا فإن أمتن ما يمكن قوله استنادًا إليها هو أن هذا العصر يُقرأ أدبيًا عبر ثلاثة محاور: تحول القاهرة، السيرة السياسية لصلاح الدين، والشعر الصوفي عند ابن الفارض. وهذه المحاور، وإن كانت غير شاملة لكل ما كُتب في العصر، كافية لإبراز طابعه الأدبي المركزي.</w:t>
      </w:r>
    </w:p>
    <w:p w14:paraId="6418AD3B" w14:textId="77777777" w:rsidR="00807B09" w:rsidRDefault="00000000" w:rsidP="00446742">
      <w:pPr>
        <w:bidi/>
        <w:spacing w:before="200" w:after="80"/>
        <w:ind w:left="720"/>
      </w:pPr>
      <w:r>
        <w:rPr>
          <w:rFonts w:ascii="Arial" w:eastAsia="Arial" w:hAnsi="Arial" w:cs="Arial"/>
          <w:b/>
          <w:color w:val="1B5E20"/>
          <w:sz w:val="28"/>
        </w:rPr>
        <w:t>تاسعًا: الخلاصة</w:t>
      </w:r>
    </w:p>
    <w:p w14:paraId="21BAAEB1" w14:textId="619F3138" w:rsidR="00807B09" w:rsidRDefault="00000000" w:rsidP="00446742">
      <w:pPr>
        <w:bidi/>
        <w:spacing w:after="120" w:line="300" w:lineRule="auto"/>
        <w:ind w:left="720" w:firstLine="340"/>
      </w:pPr>
      <w:r>
        <w:rPr>
          <w:rFonts w:ascii="Arial" w:eastAsia="Arial" w:hAnsi="Arial" w:cs="Arial"/>
          <w:sz w:val="25"/>
        </w:rPr>
        <w:t xml:space="preserve">الأدب الأيوبي </w:t>
      </w:r>
      <w:proofErr w:type="gramStart"/>
      <w:r>
        <w:rPr>
          <w:rFonts w:ascii="Arial" w:eastAsia="Arial" w:hAnsi="Arial" w:cs="Arial"/>
          <w:sz w:val="25"/>
        </w:rPr>
        <w:t>في  هو</w:t>
      </w:r>
      <w:proofErr w:type="gramEnd"/>
      <w:r>
        <w:rPr>
          <w:rFonts w:ascii="Arial" w:eastAsia="Arial" w:hAnsi="Arial" w:cs="Arial"/>
          <w:sz w:val="25"/>
        </w:rPr>
        <w:t xml:space="preserve"> أدب مرحلةٍ تتجاور فيها الدولة المقاتلة مع المدينة المتوسعة والروح الصوفية الرفيعة. ففيه تكتب السيرة التاريخية لتصوغ صورة صلاح الدين، وتبلغ القصيدة الصوفية أفقًا عاليًا مع ابن الفارض، وتترسخ القاهرة أكثر بوصفها فضاءً ثقافيًا طويل الأثر. ولهذا فالعصر الأيوبي، وإن لم </w:t>
      </w:r>
      <w:proofErr w:type="gramStart"/>
      <w:r>
        <w:rPr>
          <w:rFonts w:ascii="Arial" w:eastAsia="Arial" w:hAnsi="Arial" w:cs="Arial"/>
          <w:sz w:val="25"/>
        </w:rPr>
        <w:t>تعرضه  في</w:t>
      </w:r>
      <w:proofErr w:type="gramEnd"/>
      <w:r>
        <w:rPr>
          <w:rFonts w:ascii="Arial" w:eastAsia="Arial" w:hAnsi="Arial" w:cs="Arial"/>
          <w:sz w:val="25"/>
        </w:rPr>
        <w:t xml:space="preserve"> مقالة أدبية جامعة، يظل حاضرًا فيها بوصفه مرحلة ذات ملامح أدبية واضحة تجمع بين السياسة والروحانية والمدينة.</w:t>
      </w:r>
    </w:p>
    <w:p w14:paraId="11CC7241" w14:textId="77777777" w:rsidR="00807B09" w:rsidRDefault="00000000" w:rsidP="00446742">
      <w:pPr>
        <w:bidi/>
        <w:spacing w:before="200" w:after="80"/>
        <w:ind w:left="720"/>
      </w:pPr>
      <w:r>
        <w:rPr>
          <w:rFonts w:ascii="Arial" w:eastAsia="Arial" w:hAnsi="Arial" w:cs="Arial"/>
          <w:b/>
          <w:color w:val="1B5E20"/>
          <w:sz w:val="28"/>
        </w:rPr>
        <w:t>المصادر البريطانية المستخدمة</w:t>
      </w:r>
    </w:p>
    <w:p w14:paraId="6B47D2B2" w14:textId="33302E66" w:rsidR="00807B09" w:rsidRDefault="00000000" w:rsidP="00446742">
      <w:pPr>
        <w:bidi/>
        <w:spacing w:after="120" w:line="300" w:lineRule="auto"/>
        <w:ind w:left="720"/>
      </w:pPr>
      <w:r>
        <w:rPr>
          <w:rFonts w:ascii="Arial" w:eastAsia="Arial" w:hAnsi="Arial" w:cs="Arial"/>
          <w:color w:val="505050"/>
          <w:sz w:val="23"/>
        </w:rPr>
        <w:t xml:space="preserve">جميع الروابط </w:t>
      </w:r>
      <w:proofErr w:type="spellStart"/>
      <w:r>
        <w:rPr>
          <w:rFonts w:ascii="Arial" w:eastAsia="Arial" w:hAnsi="Arial" w:cs="Arial"/>
          <w:color w:val="505050"/>
          <w:sz w:val="23"/>
        </w:rPr>
        <w:t>التالية</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من</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Encyclopaedia</w:t>
      </w:r>
      <w:proofErr w:type="spellEnd"/>
      <w:r>
        <w:rPr>
          <w:rFonts w:ascii="Arial" w:eastAsia="Arial" w:hAnsi="Arial" w:cs="Arial"/>
          <w:color w:val="505050"/>
          <w:sz w:val="23"/>
        </w:rPr>
        <w:t xml:space="preserve"> ، </w:t>
      </w:r>
      <w:proofErr w:type="spellStart"/>
      <w:r>
        <w:rPr>
          <w:rFonts w:ascii="Arial" w:eastAsia="Arial" w:hAnsi="Arial" w:cs="Arial"/>
          <w:color w:val="505050"/>
          <w:sz w:val="23"/>
        </w:rPr>
        <w:t>وهي</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الأساس</w:t>
      </w:r>
      <w:proofErr w:type="spellEnd"/>
      <w:r>
        <w:rPr>
          <w:rFonts w:ascii="Arial" w:eastAsia="Arial" w:hAnsi="Arial" w:cs="Arial"/>
          <w:color w:val="505050"/>
          <w:sz w:val="23"/>
        </w:rPr>
        <w:t xml:space="preserve"> </w:t>
      </w:r>
      <w:proofErr w:type="spellStart"/>
      <w:r>
        <w:rPr>
          <w:rFonts w:ascii="Arial" w:eastAsia="Arial" w:hAnsi="Arial" w:cs="Arial"/>
          <w:color w:val="505050"/>
          <w:sz w:val="23"/>
        </w:rPr>
        <w:t>الوحيد</w:t>
      </w:r>
      <w:proofErr w:type="spellEnd"/>
      <w:r>
        <w:rPr>
          <w:rFonts w:ascii="Arial" w:eastAsia="Arial" w:hAnsi="Arial" w:cs="Arial"/>
          <w:color w:val="505050"/>
          <w:sz w:val="23"/>
        </w:rPr>
        <w:t xml:space="preserve"> الذي بُني عليه هذا الملف. تم إدراجها بصيغتها المباشرة لتسهيل الرجوع إلى المادة الأصلية.</w:t>
      </w:r>
    </w:p>
    <w:p w14:paraId="3D6AE183" w14:textId="77777777" w:rsidR="00807B09" w:rsidRDefault="00000000" w:rsidP="00446742">
      <w:pPr>
        <w:bidi/>
        <w:spacing w:after="40" w:line="264" w:lineRule="auto"/>
        <w:ind w:left="720"/>
      </w:pPr>
      <w:r>
        <w:rPr>
          <w:rFonts w:ascii="Arial" w:eastAsia="Arial" w:hAnsi="Arial" w:cs="Arial"/>
          <w:b/>
          <w:sz w:val="24"/>
        </w:rPr>
        <w:t>1. Cairo - Cultural life</w:t>
      </w:r>
    </w:p>
    <w:p w14:paraId="485A3954" w14:textId="5A70DEF6" w:rsidR="00807B09" w:rsidRDefault="00000000" w:rsidP="00446742">
      <w:pPr>
        <w:bidi/>
        <w:spacing w:after="120" w:line="240" w:lineRule="auto"/>
        <w:ind w:left="720"/>
      </w:pPr>
      <w:proofErr w:type="gramStart"/>
      <w:r>
        <w:rPr>
          <w:rFonts w:ascii="Arial" w:eastAsia="Arial" w:hAnsi="Arial" w:cs="Arial"/>
          <w:color w:val="0563C1"/>
          <w:sz w:val="21"/>
        </w:rPr>
        <w:t>https://www..</w:t>
      </w:r>
      <w:proofErr w:type="gramEnd"/>
      <w:r>
        <w:rPr>
          <w:rFonts w:ascii="Arial" w:eastAsia="Arial" w:hAnsi="Arial" w:cs="Arial"/>
          <w:color w:val="0563C1"/>
          <w:sz w:val="21"/>
        </w:rPr>
        <w:t>com/place/Cairo/Cultural-life</w:t>
      </w:r>
    </w:p>
    <w:p w14:paraId="48562415" w14:textId="77777777" w:rsidR="00807B09" w:rsidRDefault="00000000" w:rsidP="00446742">
      <w:pPr>
        <w:bidi/>
        <w:spacing w:after="40" w:line="264" w:lineRule="auto"/>
        <w:ind w:left="720"/>
      </w:pPr>
      <w:r>
        <w:rPr>
          <w:rFonts w:ascii="Arial" w:eastAsia="Arial" w:hAnsi="Arial" w:cs="Arial"/>
          <w:b/>
          <w:sz w:val="24"/>
        </w:rPr>
        <w:t>2. Bahāʾ al-Dīn</w:t>
      </w:r>
    </w:p>
    <w:p w14:paraId="2BB307EE" w14:textId="37267064" w:rsidR="00807B09" w:rsidRDefault="00000000" w:rsidP="00446742">
      <w:pPr>
        <w:bidi/>
        <w:spacing w:after="120" w:line="240" w:lineRule="auto"/>
        <w:ind w:left="720"/>
      </w:pPr>
      <w:proofErr w:type="gramStart"/>
      <w:r>
        <w:rPr>
          <w:rFonts w:ascii="Arial" w:eastAsia="Arial" w:hAnsi="Arial" w:cs="Arial"/>
          <w:color w:val="0563C1"/>
          <w:sz w:val="21"/>
        </w:rPr>
        <w:t>https://www..</w:t>
      </w:r>
      <w:proofErr w:type="gramEnd"/>
      <w:r>
        <w:rPr>
          <w:rFonts w:ascii="Arial" w:eastAsia="Arial" w:hAnsi="Arial" w:cs="Arial"/>
          <w:color w:val="0563C1"/>
          <w:sz w:val="21"/>
        </w:rPr>
        <w:t>com/biography/Baha-al-Din</w:t>
      </w:r>
    </w:p>
    <w:p w14:paraId="0E44082F" w14:textId="77777777" w:rsidR="00807B09" w:rsidRDefault="00000000" w:rsidP="00446742">
      <w:pPr>
        <w:bidi/>
        <w:spacing w:after="40" w:line="264" w:lineRule="auto"/>
        <w:ind w:left="720"/>
      </w:pPr>
      <w:r>
        <w:rPr>
          <w:rFonts w:ascii="Arial" w:eastAsia="Arial" w:hAnsi="Arial" w:cs="Arial"/>
          <w:b/>
          <w:sz w:val="24"/>
        </w:rPr>
        <w:lastRenderedPageBreak/>
        <w:t>3. Ibn al-Fāriḍ</w:t>
      </w:r>
    </w:p>
    <w:p w14:paraId="62FABAEE" w14:textId="58B26AD1" w:rsidR="00807B09" w:rsidRDefault="00000000" w:rsidP="00446742">
      <w:pPr>
        <w:bidi/>
        <w:spacing w:after="120" w:line="240" w:lineRule="auto"/>
        <w:ind w:left="720"/>
      </w:pPr>
      <w:proofErr w:type="gramStart"/>
      <w:r>
        <w:rPr>
          <w:rFonts w:ascii="Arial" w:eastAsia="Arial" w:hAnsi="Arial" w:cs="Arial"/>
          <w:color w:val="0563C1"/>
          <w:sz w:val="21"/>
        </w:rPr>
        <w:t>https://www..</w:t>
      </w:r>
      <w:proofErr w:type="gramEnd"/>
      <w:r>
        <w:rPr>
          <w:rFonts w:ascii="Arial" w:eastAsia="Arial" w:hAnsi="Arial" w:cs="Arial"/>
          <w:color w:val="0563C1"/>
          <w:sz w:val="21"/>
        </w:rPr>
        <w:t>com/biography/Ibn-al-Farid</w:t>
      </w:r>
    </w:p>
    <w:p w14:paraId="47E21DB8" w14:textId="77777777" w:rsidR="00807B09" w:rsidRDefault="00000000" w:rsidP="00446742">
      <w:pPr>
        <w:bidi/>
        <w:spacing w:after="40" w:line="264" w:lineRule="auto"/>
        <w:ind w:left="720"/>
      </w:pPr>
      <w:r>
        <w:rPr>
          <w:rFonts w:ascii="Arial" w:eastAsia="Arial" w:hAnsi="Arial" w:cs="Arial"/>
          <w:b/>
          <w:sz w:val="24"/>
        </w:rPr>
        <w:t>4. The Poem of the Way</w:t>
      </w:r>
    </w:p>
    <w:p w14:paraId="489AECD7" w14:textId="4FB8C07F" w:rsidR="00807B09" w:rsidRDefault="00000000" w:rsidP="00446742">
      <w:pPr>
        <w:bidi/>
        <w:spacing w:after="120" w:line="240" w:lineRule="auto"/>
        <w:ind w:left="720"/>
      </w:pPr>
      <w:proofErr w:type="gramStart"/>
      <w:r>
        <w:rPr>
          <w:rFonts w:ascii="Arial" w:eastAsia="Arial" w:hAnsi="Arial" w:cs="Arial"/>
          <w:color w:val="0563C1"/>
          <w:sz w:val="21"/>
        </w:rPr>
        <w:t>https://www..</w:t>
      </w:r>
      <w:proofErr w:type="gramEnd"/>
      <w:r>
        <w:rPr>
          <w:rFonts w:ascii="Arial" w:eastAsia="Arial" w:hAnsi="Arial" w:cs="Arial"/>
          <w:color w:val="0563C1"/>
          <w:sz w:val="21"/>
        </w:rPr>
        <w:t>com/topic/The-Poem-of-the-Way</w:t>
      </w:r>
    </w:p>
    <w:sectPr w:rsidR="00807B09"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95921" w14:textId="77777777" w:rsidR="000F0007" w:rsidRDefault="000F0007">
      <w:pPr>
        <w:spacing w:after="0" w:line="240" w:lineRule="auto"/>
      </w:pPr>
      <w:r>
        <w:separator/>
      </w:r>
    </w:p>
  </w:endnote>
  <w:endnote w:type="continuationSeparator" w:id="0">
    <w:p w14:paraId="7B4E5CF7" w14:textId="77777777" w:rsidR="000F0007" w:rsidRDefault="000F0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589F" w14:textId="2BCDD765" w:rsidR="00807B09" w:rsidRDefault="00807B09">
    <w:pPr>
      <w:pStyle w:val="Footer"/>
      <w:bidi/>
      <w:jc w:val="center"/>
      <w:rPr>
        <w:rFonts w:hint="cs"/>
        <w:rtl/>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4B0E" w14:textId="77777777" w:rsidR="000F0007" w:rsidRDefault="000F0007">
      <w:pPr>
        <w:spacing w:after="0" w:line="240" w:lineRule="auto"/>
      </w:pPr>
      <w:r>
        <w:separator/>
      </w:r>
    </w:p>
  </w:footnote>
  <w:footnote w:type="continuationSeparator" w:id="0">
    <w:p w14:paraId="41D58C9A" w14:textId="77777777" w:rsidR="000F0007" w:rsidRDefault="000F0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319118">
    <w:abstractNumId w:val="8"/>
  </w:num>
  <w:num w:numId="2" w16cid:durableId="666057139">
    <w:abstractNumId w:val="6"/>
  </w:num>
  <w:num w:numId="3" w16cid:durableId="527989932">
    <w:abstractNumId w:val="5"/>
  </w:num>
  <w:num w:numId="4" w16cid:durableId="1485243132">
    <w:abstractNumId w:val="4"/>
  </w:num>
  <w:num w:numId="5" w16cid:durableId="1700425931">
    <w:abstractNumId w:val="7"/>
  </w:num>
  <w:num w:numId="6" w16cid:durableId="1812021241">
    <w:abstractNumId w:val="3"/>
  </w:num>
  <w:num w:numId="7" w16cid:durableId="453408354">
    <w:abstractNumId w:val="2"/>
  </w:num>
  <w:num w:numId="8" w16cid:durableId="596719460">
    <w:abstractNumId w:val="1"/>
  </w:num>
  <w:num w:numId="9" w16cid:durableId="72217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007"/>
    <w:rsid w:val="0015074B"/>
    <w:rsid w:val="0029639D"/>
    <w:rsid w:val="00326F90"/>
    <w:rsid w:val="00446742"/>
    <w:rsid w:val="007F4AFA"/>
    <w:rsid w:val="00807B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FDD60"/>
  <w14:defaultImageDpi w14:val="300"/>
  <w15:docId w15:val="{024F0420-DCA9-4213-8FA3-F91D0B05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2026-04-07T14:15:00Z</dcterms:modified>
  <cp:category/>
</cp:coreProperties>
</file>