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A6401" w14:textId="77777777" w:rsidR="00933390" w:rsidRDefault="00000000" w:rsidP="00486870">
      <w:pPr>
        <w:bidi/>
        <w:spacing w:after="80"/>
      </w:pPr>
      <w:r>
        <w:rPr>
          <w:rFonts w:ascii="Arial" w:eastAsia="Arial" w:hAnsi="Arial" w:cs="Arial"/>
          <w:b/>
          <w:color w:val="113B5F"/>
          <w:sz w:val="42"/>
        </w:rPr>
        <w:t>الأدب في العصر المملوكي</w:t>
      </w:r>
    </w:p>
    <w:p w14:paraId="399D7269" w14:textId="77777777" w:rsidR="00933390" w:rsidRDefault="00000000" w:rsidP="00486870">
      <w:pPr>
        <w:bidi/>
      </w:pPr>
      <w:r>
        <w:rPr>
          <w:rFonts w:ascii="Arial" w:eastAsia="Arial" w:hAnsi="Arial" w:cs="Arial"/>
          <w:color w:val="A0A0A0"/>
        </w:rPr>
        <w:t>────────────────────────────────────────────</w:t>
      </w:r>
    </w:p>
    <w:p w14:paraId="683AF8CA" w14:textId="77777777" w:rsidR="00933390" w:rsidRDefault="00000000" w:rsidP="00486870">
      <w:pPr>
        <w:bidi/>
        <w:spacing w:before="200" w:after="80"/>
      </w:pPr>
      <w:r>
        <w:rPr>
          <w:rFonts w:ascii="Arial" w:eastAsia="Arial" w:hAnsi="Arial" w:cs="Arial"/>
          <w:b/>
          <w:color w:val="1B5E20"/>
          <w:sz w:val="28"/>
        </w:rPr>
        <w:t>ملاحظة منهجية</w:t>
      </w:r>
    </w:p>
    <w:p w14:paraId="396744A2" w14:textId="7F34332E" w:rsidR="00933390" w:rsidRDefault="00000000" w:rsidP="00486870">
      <w:pPr>
        <w:bidi/>
        <w:spacing w:after="120" w:line="300" w:lineRule="auto"/>
        <w:ind w:firstLine="340"/>
      </w:pPr>
      <w:proofErr w:type="gramStart"/>
      <w:r>
        <w:rPr>
          <w:rFonts w:ascii="Arial" w:eastAsia="Arial" w:hAnsi="Arial" w:cs="Arial"/>
          <w:sz w:val="25"/>
        </w:rPr>
        <w:t>تُظهر  العصر</w:t>
      </w:r>
      <w:proofErr w:type="gramEnd"/>
      <w:r>
        <w:rPr>
          <w:rFonts w:ascii="Arial" w:eastAsia="Arial" w:hAnsi="Arial" w:cs="Arial"/>
          <w:sz w:val="25"/>
        </w:rPr>
        <w:t xml:space="preserve"> المملوكي من خلال مادة القاهرة الثقافية، ومن خلال تراجم كبار المؤرخين والكتاب المرتبطين به مثل ابن خلدون وابن خلكان والعُمري. كما أن مدخل Arabic literature يلفت إلى ضرورة مراجعة الحكم التقليدي الذي يصف المدة بين سقوط بغداد والعصر الحديث بأنها مجرد انحطاط. وهذا هو الأساس الذي ينطلق منه هذا الملف.</w:t>
      </w:r>
    </w:p>
    <w:p w14:paraId="49C0E03B" w14:textId="77777777" w:rsidR="00933390" w:rsidRDefault="00000000" w:rsidP="00486870">
      <w:pPr>
        <w:bidi/>
        <w:spacing w:before="200" w:after="80"/>
      </w:pPr>
      <w:r>
        <w:rPr>
          <w:rFonts w:ascii="Arial" w:eastAsia="Arial" w:hAnsi="Arial" w:cs="Arial"/>
          <w:b/>
          <w:color w:val="1B5E20"/>
          <w:sz w:val="28"/>
        </w:rPr>
        <w:t>أولاً: هل كان العصر المملوكي عصر انحطاط؟</w:t>
      </w:r>
    </w:p>
    <w:p w14:paraId="0767080F" w14:textId="6169339A" w:rsidR="00933390" w:rsidRDefault="00000000" w:rsidP="00486870">
      <w:pPr>
        <w:bidi/>
        <w:spacing w:after="120" w:line="300" w:lineRule="auto"/>
        <w:ind w:firstLine="340"/>
      </w:pPr>
      <w:r>
        <w:rPr>
          <w:rFonts w:ascii="Arial" w:eastAsia="Arial" w:hAnsi="Arial" w:cs="Arial"/>
          <w:sz w:val="25"/>
        </w:rPr>
        <w:t xml:space="preserve">من أهم ما تؤكد </w:t>
      </w:r>
      <w:proofErr w:type="gramStart"/>
      <w:r>
        <w:rPr>
          <w:rFonts w:ascii="Arial" w:eastAsia="Arial" w:hAnsi="Arial" w:cs="Arial"/>
          <w:sz w:val="25"/>
        </w:rPr>
        <w:t>عليه  أن</w:t>
      </w:r>
      <w:proofErr w:type="gramEnd"/>
      <w:r>
        <w:rPr>
          <w:rFonts w:ascii="Arial" w:eastAsia="Arial" w:hAnsi="Arial" w:cs="Arial"/>
          <w:sz w:val="25"/>
        </w:rPr>
        <w:t xml:space="preserve"> النظرة التقليدية التي وصفت الأدب العربي بين سنة 1258 و1800 بأنه أدب انحطاط تحتاج إلى إعادة تقييم. فالتراجع السياسي أو تبدل المراكز لا يعني اختفاء الإبداع، بل قد يعني فقط تغير المعايير الجمالية والوظائف الثقافية. وهذه الإشارة أساسية جدًا لفهم المماليك؛ لأن الكثير من الكتابة في هذا العصر اتجه إلى التاريخ، والتراجم، والموسوعات، والإدارة، وهي مجالات قد تُهمل إذا حُصر الأدب في القصيدة الغزلية أو النموذج العباسي القديم.</w:t>
      </w:r>
    </w:p>
    <w:p w14:paraId="16ACEC03" w14:textId="77777777" w:rsidR="00933390" w:rsidRDefault="00000000" w:rsidP="00486870">
      <w:pPr>
        <w:bidi/>
        <w:spacing w:before="200" w:after="80"/>
      </w:pPr>
      <w:r>
        <w:rPr>
          <w:rFonts w:ascii="Arial" w:eastAsia="Arial" w:hAnsi="Arial" w:cs="Arial"/>
          <w:b/>
          <w:color w:val="1B5E20"/>
          <w:sz w:val="28"/>
        </w:rPr>
        <w:t>ثانيًا: القاهرة عاصمة العالم العربي الإسلامي</w:t>
      </w:r>
    </w:p>
    <w:p w14:paraId="02E6EA4A" w14:textId="1BED807A" w:rsidR="00933390" w:rsidRDefault="00000000" w:rsidP="00486870">
      <w:pPr>
        <w:bidi/>
        <w:spacing w:after="120" w:line="300" w:lineRule="auto"/>
        <w:ind w:firstLine="340"/>
      </w:pPr>
      <w:r>
        <w:rPr>
          <w:rFonts w:ascii="Arial" w:eastAsia="Arial" w:hAnsi="Arial" w:cs="Arial"/>
          <w:sz w:val="25"/>
        </w:rPr>
        <w:t xml:space="preserve">في مدخل Cairo - Cultural life </w:t>
      </w:r>
      <w:proofErr w:type="gramStart"/>
      <w:r>
        <w:rPr>
          <w:rFonts w:ascii="Arial" w:eastAsia="Arial" w:hAnsi="Arial" w:cs="Arial"/>
          <w:sz w:val="25"/>
        </w:rPr>
        <w:t>تذكر  أنه</w:t>
      </w:r>
      <w:proofErr w:type="gramEnd"/>
      <w:r>
        <w:rPr>
          <w:rFonts w:ascii="Arial" w:eastAsia="Arial" w:hAnsi="Arial" w:cs="Arial"/>
          <w:sz w:val="25"/>
        </w:rPr>
        <w:t xml:space="preserve"> بعد سنة 1260، حين صار بيبرس أول سلطان مملوكي ثابت الشرعية، أصبحت القاهرة عاصمة الإمبراطورية المملوكية التي حكمت مصر وجزءًا كبيرًا من المشرق حتى سنة 1517. وتقول إن القاهرة بلغت أوجها في العصر المملوكي، وصارت مدينة هائلة الازدهار، وازدهرت فيها الأزهر ومؤسسات التعلم والعمارة. وهذا يعني أن المسرح المركزي للأدب العربي بعد سقوط بغداد لم يختف، بل انتقل إلى القاهرة.</w:t>
      </w:r>
    </w:p>
    <w:p w14:paraId="6FB6B906" w14:textId="77777777" w:rsidR="00933390" w:rsidRDefault="00000000" w:rsidP="00486870">
      <w:pPr>
        <w:bidi/>
        <w:spacing w:before="200" w:after="80"/>
      </w:pPr>
      <w:r>
        <w:rPr>
          <w:rFonts w:ascii="Arial" w:eastAsia="Arial" w:hAnsi="Arial" w:cs="Arial"/>
          <w:b/>
          <w:color w:val="1B5E20"/>
          <w:sz w:val="28"/>
        </w:rPr>
        <w:t>ثالثًا: المدينة المزدهرة تنتج كتابة مزدهرة</w:t>
      </w:r>
    </w:p>
    <w:p w14:paraId="4FE51876" w14:textId="01668085" w:rsidR="00933390" w:rsidRDefault="00000000" w:rsidP="00486870">
      <w:pPr>
        <w:bidi/>
        <w:spacing w:after="120" w:line="300" w:lineRule="auto"/>
        <w:ind w:firstLine="340"/>
      </w:pPr>
      <w:proofErr w:type="gramStart"/>
      <w:r>
        <w:rPr>
          <w:rFonts w:ascii="Arial" w:eastAsia="Arial" w:hAnsi="Arial" w:cs="Arial"/>
          <w:sz w:val="25"/>
        </w:rPr>
        <w:t>تربط  ازدهار</w:t>
      </w:r>
      <w:proofErr w:type="gramEnd"/>
      <w:r>
        <w:rPr>
          <w:rFonts w:ascii="Arial" w:eastAsia="Arial" w:hAnsi="Arial" w:cs="Arial"/>
          <w:sz w:val="25"/>
        </w:rPr>
        <w:t xml:space="preserve"> القاهرة المملوكية ازدهارًا اقتصاديًا وثقافيًا معًا. فباعتبارها حلقة رئيسية في التجارة الشرقية-الغربية، ومدينة تتلقى موارد إمبراطورية واسعة، صارت بيئة مؤهلة للرعاية الفكرية والتعليمية. ولذلك يمكن فهم كثافة التأليف التاريخي والموسوعي في هذا العصر على أنه نتيجة طبيعية لعاصمة كبرى تجمع السلطة والمال والعلماء والكتّاب.</w:t>
      </w:r>
    </w:p>
    <w:p w14:paraId="22E84C66" w14:textId="77777777" w:rsidR="00933390" w:rsidRDefault="00000000" w:rsidP="00486870">
      <w:pPr>
        <w:bidi/>
        <w:spacing w:before="200" w:after="80"/>
      </w:pPr>
      <w:r>
        <w:rPr>
          <w:rFonts w:ascii="Arial" w:eastAsia="Arial" w:hAnsi="Arial" w:cs="Arial"/>
          <w:b/>
          <w:color w:val="1B5E20"/>
          <w:sz w:val="28"/>
        </w:rPr>
        <w:t>رابعًا: ابن خلدون وإعادة تعريف الكتابة التاريخية</w:t>
      </w:r>
    </w:p>
    <w:p w14:paraId="44C79D40" w14:textId="15396B29" w:rsidR="00933390" w:rsidRDefault="00000000" w:rsidP="00486870">
      <w:pPr>
        <w:bidi/>
        <w:spacing w:after="120" w:line="300" w:lineRule="auto"/>
        <w:ind w:firstLine="340"/>
      </w:pPr>
      <w:proofErr w:type="gramStart"/>
      <w:r>
        <w:rPr>
          <w:rFonts w:ascii="Arial" w:eastAsia="Arial" w:hAnsi="Arial" w:cs="Arial"/>
          <w:sz w:val="25"/>
        </w:rPr>
        <w:t>تقدّم  ابن</w:t>
      </w:r>
      <w:proofErr w:type="gramEnd"/>
      <w:r>
        <w:rPr>
          <w:rFonts w:ascii="Arial" w:eastAsia="Arial" w:hAnsi="Arial" w:cs="Arial"/>
          <w:sz w:val="25"/>
        </w:rPr>
        <w:t xml:space="preserve"> خلدون بوصفه أعظم مؤرخ عربي، وصاحب إحدى أقدم الفلسفات غير الدينية للتاريخ في مقدمته. وعلى الرغم من أن سيرته ليست مصرية الأصل، فإنه مات في القاهرة، وصار اسمه جزءًا من المشهد الثقافي المملوكي. وأهمية ابن خلدون أدبيًا لا تنحصر في المادة التاريخية التي جمعها، بل في الطريقة التي حوّل بها التاريخ إلى تأمل في العمران والسياسة والمجتمع والمعرفة. وهنا يظهر جانب من عبقرية العصر المملوكي </w:t>
      </w:r>
      <w:proofErr w:type="gramStart"/>
      <w:r>
        <w:rPr>
          <w:rFonts w:ascii="Arial" w:eastAsia="Arial" w:hAnsi="Arial" w:cs="Arial"/>
          <w:sz w:val="25"/>
        </w:rPr>
        <w:t>في :</w:t>
      </w:r>
      <w:proofErr w:type="gramEnd"/>
      <w:r>
        <w:rPr>
          <w:rFonts w:ascii="Arial" w:eastAsia="Arial" w:hAnsi="Arial" w:cs="Arial"/>
          <w:sz w:val="25"/>
        </w:rPr>
        <w:t xml:space="preserve"> انتقال الأدب من مجرد الحكاية إلى بناء نظرة شاملة للتاريخ الإنساني.</w:t>
      </w:r>
    </w:p>
    <w:p w14:paraId="38E882EE" w14:textId="77777777" w:rsidR="00933390" w:rsidRDefault="00000000" w:rsidP="00486870">
      <w:pPr>
        <w:bidi/>
        <w:spacing w:before="200" w:after="80"/>
      </w:pPr>
      <w:r>
        <w:rPr>
          <w:rFonts w:ascii="Arial" w:eastAsia="Arial" w:hAnsi="Arial" w:cs="Arial"/>
          <w:b/>
          <w:color w:val="1B5E20"/>
          <w:sz w:val="28"/>
        </w:rPr>
        <w:t>خامسًا: ابن خلكان والتراجم بوصفها أدبًا</w:t>
      </w:r>
    </w:p>
    <w:p w14:paraId="4AF3C6C4" w14:textId="56D0CED2" w:rsidR="00933390" w:rsidRDefault="00000000" w:rsidP="00486870">
      <w:pPr>
        <w:bidi/>
        <w:spacing w:after="120" w:line="300" w:lineRule="auto"/>
        <w:ind w:firstLine="340"/>
        <w:rPr>
          <w:rFonts w:hint="cs"/>
          <w:rtl/>
          <w:lang w:bidi="ar-EG"/>
        </w:rPr>
      </w:pPr>
      <w:proofErr w:type="gramStart"/>
      <w:r>
        <w:rPr>
          <w:rFonts w:ascii="Arial" w:eastAsia="Arial" w:hAnsi="Arial" w:cs="Arial"/>
          <w:sz w:val="25"/>
        </w:rPr>
        <w:t>تعطي  قيمة</w:t>
      </w:r>
      <w:proofErr w:type="gramEnd"/>
      <w:r>
        <w:rPr>
          <w:rFonts w:ascii="Arial" w:eastAsia="Arial" w:hAnsi="Arial" w:cs="Arial"/>
          <w:sz w:val="25"/>
        </w:rPr>
        <w:t xml:space="preserve"> كبرى لابن خلكان، مؤلف وفيات الأعيان، وتصف كتابه بأنه معجم تراجم عربي كلاسيكي. والتراجم في الحضارة الإسلامية ليست مجرد قوائم أسماء، بل جنس أدبي يجمع السرد، والاقتباس، والنوادر، والحكم، والشعر، ويُعيد بناء العالم الثقافي عبر الأشخاص. ولهذا فإن ابن خلكان يمثل في العصر المملوكي اتجاهاً أدبيًا بالغ الأهمية: تحويل السيرة القصيرة إلى وعاء للذاكرة الثقافية.</w:t>
      </w:r>
    </w:p>
    <w:p w14:paraId="051D3309" w14:textId="77777777" w:rsidR="00933390" w:rsidRDefault="00000000" w:rsidP="00486870">
      <w:pPr>
        <w:bidi/>
        <w:spacing w:before="200" w:after="80"/>
      </w:pPr>
      <w:r>
        <w:rPr>
          <w:rFonts w:ascii="Arial" w:eastAsia="Arial" w:hAnsi="Arial" w:cs="Arial"/>
          <w:b/>
          <w:color w:val="1B5E20"/>
          <w:sz w:val="28"/>
        </w:rPr>
        <w:lastRenderedPageBreak/>
        <w:t>سادسًا: العُمري والكتابة الإدارية الموسوعية</w:t>
      </w:r>
    </w:p>
    <w:p w14:paraId="4C3B8DFA" w14:textId="47C9E8B2" w:rsidR="00933390" w:rsidRDefault="00000000" w:rsidP="00486870">
      <w:pPr>
        <w:bidi/>
        <w:spacing w:after="120" w:line="300" w:lineRule="auto"/>
        <w:ind w:firstLine="340"/>
      </w:pPr>
      <w:r>
        <w:rPr>
          <w:rFonts w:ascii="Arial" w:eastAsia="Arial" w:hAnsi="Arial" w:cs="Arial"/>
          <w:sz w:val="25"/>
        </w:rPr>
        <w:t>تذكر أن العُمري كان عالمًا وكاتبًا أصبحت مؤلفاته عن إدارة الممالك المملوكية في مصر والشام مصادر معيارية لتاريخ المماليك. وتشير أيضًا إلى أعماله الموسوعية والإدارية. وما تكشفه هذه المادة أن الأدب المملوكي ليس أدب عاطفة وشعر فقط، بل أدب معرفة دولة: كتابة عن الدواوين والإدارة والجغرافيا والتنظيم، لكن في قالب تأليفي يندرج ضمن ثقافة الكتابة العربية الرفيعة.</w:t>
      </w:r>
    </w:p>
    <w:p w14:paraId="23C28205" w14:textId="77777777" w:rsidR="00933390" w:rsidRDefault="00000000" w:rsidP="00486870">
      <w:pPr>
        <w:bidi/>
        <w:spacing w:before="200" w:after="80"/>
      </w:pPr>
      <w:r>
        <w:rPr>
          <w:rFonts w:ascii="Arial" w:eastAsia="Arial" w:hAnsi="Arial" w:cs="Arial"/>
          <w:b/>
          <w:color w:val="1B5E20"/>
          <w:sz w:val="28"/>
        </w:rPr>
        <w:t>سابعًا: النثر المملوكي والصنعة البلاغية</w:t>
      </w:r>
    </w:p>
    <w:p w14:paraId="7802B741" w14:textId="49CFF91F" w:rsidR="00933390" w:rsidRDefault="00000000" w:rsidP="00486870">
      <w:pPr>
        <w:bidi/>
        <w:spacing w:after="120" w:line="300" w:lineRule="auto"/>
        <w:ind w:firstLine="340"/>
      </w:pPr>
      <w:r>
        <w:rPr>
          <w:rFonts w:ascii="Arial" w:eastAsia="Arial" w:hAnsi="Arial" w:cs="Arial"/>
          <w:sz w:val="25"/>
        </w:rPr>
        <w:t>تشرح</w:t>
      </w:r>
      <w:r w:rsidR="00767806">
        <w:rPr>
          <w:rFonts w:ascii="Arial" w:eastAsia="Arial" w:hAnsi="Arial" w:cs="Arial"/>
          <w:sz w:val="25"/>
        </w:rPr>
        <w:t xml:space="preserve"> </w:t>
      </w:r>
      <w:r>
        <w:rPr>
          <w:rFonts w:ascii="Arial" w:eastAsia="Arial" w:hAnsi="Arial" w:cs="Arial"/>
          <w:sz w:val="25"/>
        </w:rPr>
        <w:t>في مادة تطور النثر أن الصنعة البلاغية، ولا سيما السجع والزخرفة اللفظية، صارت مؤثرة جدًا في النثر ما بعد الكلاسيكي، وأثرت حتى في كتابة المؤرخين والإنشائيين. وهذا يساعد على فهم جانب من أسلوب العصر المملوكي: فهو عصر كتابة معلوماتية غزيرة، لكنها في الوقت نفسه كتابة واعية بالأسلوب والصنعة والازدواج الإيقاعي. وهكذا اجتمع في هذا العصر غرض التوثيق مع رغبة قوية في الإبداع اللغوي.</w:t>
      </w:r>
    </w:p>
    <w:p w14:paraId="1B3D36B8" w14:textId="77777777" w:rsidR="00933390" w:rsidRDefault="00000000" w:rsidP="00486870">
      <w:pPr>
        <w:bidi/>
        <w:spacing w:before="200" w:after="80"/>
      </w:pPr>
      <w:r>
        <w:rPr>
          <w:rFonts w:ascii="Arial" w:eastAsia="Arial" w:hAnsi="Arial" w:cs="Arial"/>
          <w:b/>
          <w:color w:val="1B5E20"/>
          <w:sz w:val="28"/>
        </w:rPr>
        <w:t>ثامنًا: لماذا يهم العصر المملوكي في تاريخ الأدب الإسلامي؟</w:t>
      </w:r>
    </w:p>
    <w:p w14:paraId="1668FF4C" w14:textId="371E17EC" w:rsidR="00933390" w:rsidRDefault="00000000" w:rsidP="00486870">
      <w:pPr>
        <w:bidi/>
        <w:spacing w:after="120" w:line="300" w:lineRule="auto"/>
        <w:ind w:firstLine="340"/>
      </w:pPr>
      <w:r>
        <w:rPr>
          <w:rFonts w:ascii="Arial" w:eastAsia="Arial" w:hAnsi="Arial" w:cs="Arial"/>
          <w:sz w:val="25"/>
        </w:rPr>
        <w:t xml:space="preserve">تكمن أهميته </w:t>
      </w:r>
      <w:proofErr w:type="gramStart"/>
      <w:r>
        <w:rPr>
          <w:rFonts w:ascii="Arial" w:eastAsia="Arial" w:hAnsi="Arial" w:cs="Arial"/>
          <w:sz w:val="25"/>
        </w:rPr>
        <w:t>في  في</w:t>
      </w:r>
      <w:proofErr w:type="gramEnd"/>
      <w:r>
        <w:rPr>
          <w:rFonts w:ascii="Arial" w:eastAsia="Arial" w:hAnsi="Arial" w:cs="Arial"/>
          <w:sz w:val="25"/>
        </w:rPr>
        <w:t xml:space="preserve"> أنه يثبت استمرارية الحياة الأدبية العربية بعد سقوط بغداد. فالعالم العربي لم يدخل فراغًا ثقافيًا، بل أعاد تنظيم نفسه حول القاهرة ومراكز أخرى. وفي هذا المناخ نما التاريخ، والسير، والتراجم، والموسوعات، والكتابة الإدارية، وهي أجناس ربما لا تبدو للقراء المعاصرين أدبًا بالمفهوم الضيق، لكنها كانت في الثقافة الإسلامية جزءًا أساسيًا من adab والمعرفة.</w:t>
      </w:r>
    </w:p>
    <w:p w14:paraId="5516C0E7" w14:textId="77777777" w:rsidR="00933390" w:rsidRDefault="00000000" w:rsidP="00486870">
      <w:pPr>
        <w:bidi/>
        <w:spacing w:before="200" w:after="80"/>
      </w:pPr>
      <w:r>
        <w:rPr>
          <w:rFonts w:ascii="Arial" w:eastAsia="Arial" w:hAnsi="Arial" w:cs="Arial"/>
          <w:b/>
          <w:color w:val="1B5E20"/>
          <w:sz w:val="28"/>
        </w:rPr>
        <w:t>تاسعًا: الخلاصة</w:t>
      </w:r>
    </w:p>
    <w:p w14:paraId="64F343E5" w14:textId="18888EC1" w:rsidR="00933390" w:rsidRDefault="00000000" w:rsidP="00486870">
      <w:pPr>
        <w:bidi/>
        <w:spacing w:after="120" w:line="300" w:lineRule="auto"/>
        <w:ind w:firstLine="340"/>
        <w:rPr>
          <w:rtl/>
        </w:rPr>
      </w:pPr>
      <w:r>
        <w:rPr>
          <w:rFonts w:ascii="Arial" w:eastAsia="Arial" w:hAnsi="Arial" w:cs="Arial"/>
          <w:sz w:val="25"/>
        </w:rPr>
        <w:t xml:space="preserve">العصر المملوكي </w:t>
      </w:r>
      <w:proofErr w:type="gramStart"/>
      <w:r>
        <w:rPr>
          <w:rFonts w:ascii="Arial" w:eastAsia="Arial" w:hAnsi="Arial" w:cs="Arial"/>
          <w:sz w:val="25"/>
        </w:rPr>
        <w:t>في  هو</w:t>
      </w:r>
      <w:proofErr w:type="gramEnd"/>
      <w:r>
        <w:rPr>
          <w:rFonts w:ascii="Arial" w:eastAsia="Arial" w:hAnsi="Arial" w:cs="Arial"/>
          <w:sz w:val="25"/>
        </w:rPr>
        <w:t xml:space="preserve"> عصر إعادة تمركز لا عصر أفول بسيط. ففيه أصبحت القاهرة قلب العالم العربي الإسلامي، وازدهرت الكتابة التاريخية والبيوغرافية والموسوعية، وبرزت أسماء كبرى مثل ابن خلدون وابن خلكان والعُمري. ولهذا فإن دراسة الأدب المملوكي لا ينبغي أن تبدأ من سؤال: لماذا انحدر الأدب؟ بل من سؤال أدق: كيف تبدلت وظيفة الأدب وأشكاله ومعاييره حين انتقلت الريادة من بغداد إلى القاهرة؟</w:t>
      </w:r>
    </w:p>
    <w:p w14:paraId="06716ADE" w14:textId="77777777" w:rsidR="00091CE5" w:rsidRDefault="00091CE5" w:rsidP="00091CE5">
      <w:pPr>
        <w:bidi/>
        <w:spacing w:after="120" w:line="300" w:lineRule="auto"/>
        <w:ind w:firstLine="340"/>
        <w:rPr>
          <w:rtl/>
        </w:rPr>
      </w:pPr>
    </w:p>
    <w:p w14:paraId="2CE5FAAE" w14:textId="77777777" w:rsidR="00091CE5" w:rsidRDefault="00091CE5" w:rsidP="00091CE5">
      <w:pPr>
        <w:bidi/>
        <w:spacing w:after="120" w:line="300" w:lineRule="auto"/>
        <w:ind w:firstLine="340"/>
        <w:rPr>
          <w:rtl/>
        </w:rPr>
      </w:pPr>
    </w:p>
    <w:p w14:paraId="4C4E0C62" w14:textId="77777777" w:rsidR="00091CE5" w:rsidRDefault="00091CE5" w:rsidP="00091CE5">
      <w:pPr>
        <w:bidi/>
        <w:spacing w:after="120" w:line="300" w:lineRule="auto"/>
        <w:ind w:firstLine="340"/>
        <w:rPr>
          <w:rtl/>
        </w:rPr>
      </w:pPr>
    </w:p>
    <w:p w14:paraId="04EE84DE" w14:textId="77777777" w:rsidR="00091CE5" w:rsidRDefault="00091CE5" w:rsidP="00091CE5">
      <w:pPr>
        <w:bidi/>
        <w:spacing w:after="120" w:line="300" w:lineRule="auto"/>
        <w:ind w:firstLine="340"/>
        <w:rPr>
          <w:rtl/>
        </w:rPr>
      </w:pPr>
    </w:p>
    <w:p w14:paraId="3FA7A0CC" w14:textId="77777777" w:rsidR="00091CE5" w:rsidRDefault="00091CE5" w:rsidP="00091CE5">
      <w:pPr>
        <w:bidi/>
        <w:spacing w:after="120" w:line="300" w:lineRule="auto"/>
        <w:ind w:firstLine="340"/>
        <w:rPr>
          <w:rtl/>
        </w:rPr>
      </w:pPr>
    </w:p>
    <w:p w14:paraId="08D7AC78" w14:textId="77777777" w:rsidR="00091CE5" w:rsidRDefault="00091CE5" w:rsidP="00091CE5">
      <w:pPr>
        <w:bidi/>
        <w:spacing w:after="120" w:line="300" w:lineRule="auto"/>
        <w:ind w:firstLine="340"/>
        <w:rPr>
          <w:rtl/>
        </w:rPr>
      </w:pPr>
    </w:p>
    <w:p w14:paraId="0241E60F" w14:textId="77777777" w:rsidR="00091CE5" w:rsidRDefault="00091CE5" w:rsidP="00091CE5">
      <w:pPr>
        <w:bidi/>
        <w:spacing w:after="120" w:line="300" w:lineRule="auto"/>
        <w:ind w:firstLine="340"/>
        <w:rPr>
          <w:rtl/>
        </w:rPr>
      </w:pPr>
    </w:p>
    <w:p w14:paraId="301B3E7F" w14:textId="77777777" w:rsidR="00091CE5" w:rsidRDefault="00091CE5" w:rsidP="00091CE5">
      <w:pPr>
        <w:bidi/>
        <w:spacing w:after="120" w:line="300" w:lineRule="auto"/>
        <w:ind w:firstLine="340"/>
        <w:rPr>
          <w:rtl/>
        </w:rPr>
      </w:pPr>
    </w:p>
    <w:p w14:paraId="5109C506" w14:textId="77777777" w:rsidR="00091CE5" w:rsidRDefault="00091CE5" w:rsidP="00091CE5">
      <w:pPr>
        <w:bidi/>
        <w:spacing w:after="120" w:line="300" w:lineRule="auto"/>
        <w:ind w:firstLine="340"/>
        <w:rPr>
          <w:rtl/>
        </w:rPr>
      </w:pPr>
    </w:p>
    <w:p w14:paraId="4C6995D3" w14:textId="77777777" w:rsidR="00091CE5" w:rsidRDefault="00091CE5" w:rsidP="00091CE5">
      <w:pPr>
        <w:bidi/>
        <w:spacing w:after="120" w:line="300" w:lineRule="auto"/>
        <w:ind w:firstLine="340"/>
        <w:rPr>
          <w:rtl/>
        </w:rPr>
      </w:pPr>
    </w:p>
    <w:p w14:paraId="2FCD9628" w14:textId="77777777" w:rsidR="00091CE5" w:rsidRDefault="00091CE5" w:rsidP="00091CE5">
      <w:pPr>
        <w:bidi/>
        <w:spacing w:after="120" w:line="300" w:lineRule="auto"/>
        <w:ind w:firstLine="340"/>
      </w:pPr>
    </w:p>
    <w:p w14:paraId="63808A32" w14:textId="77777777" w:rsidR="00933390" w:rsidRDefault="00000000" w:rsidP="00486870">
      <w:pPr>
        <w:bidi/>
        <w:spacing w:before="200" w:after="80"/>
      </w:pPr>
      <w:r>
        <w:rPr>
          <w:rFonts w:ascii="Arial" w:eastAsia="Arial" w:hAnsi="Arial" w:cs="Arial"/>
          <w:b/>
          <w:color w:val="1B5E20"/>
          <w:sz w:val="28"/>
        </w:rPr>
        <w:lastRenderedPageBreak/>
        <w:t>المصادر البريطانية المستخدمة</w:t>
      </w:r>
    </w:p>
    <w:p w14:paraId="5542907B" w14:textId="49D949AB" w:rsidR="00933390" w:rsidRDefault="00000000" w:rsidP="00486870">
      <w:pPr>
        <w:bidi/>
        <w:spacing w:after="120" w:line="300" w:lineRule="auto"/>
      </w:pPr>
      <w:r>
        <w:rPr>
          <w:rFonts w:ascii="Arial" w:eastAsia="Arial" w:hAnsi="Arial" w:cs="Arial"/>
          <w:color w:val="505050"/>
          <w:sz w:val="23"/>
        </w:rPr>
        <w:t>جميع الروابط التالية من Encyclopaedia ، وهي الأساس الوحيد الذي بُني عليه هذا الملف. تم إدراجها بصيغتها المباشرة لتسهيل الرجوع إلى المادة الأصلية.</w:t>
      </w:r>
    </w:p>
    <w:p w14:paraId="75ADA33C" w14:textId="77777777" w:rsidR="00933390" w:rsidRDefault="00000000" w:rsidP="00486870">
      <w:pPr>
        <w:bidi/>
        <w:spacing w:after="40" w:line="264" w:lineRule="auto"/>
      </w:pPr>
      <w:r>
        <w:rPr>
          <w:rFonts w:ascii="Arial" w:eastAsia="Arial" w:hAnsi="Arial" w:cs="Arial"/>
          <w:b/>
          <w:sz w:val="24"/>
        </w:rPr>
        <w:t>1. Arabic literature</w:t>
      </w:r>
    </w:p>
    <w:p w14:paraId="215C2BDC" w14:textId="2FEC10DF" w:rsidR="00933390" w:rsidRDefault="00000000" w:rsidP="00486870">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com/art/Arabic-literature</w:t>
      </w:r>
    </w:p>
    <w:p w14:paraId="680B6286" w14:textId="77777777" w:rsidR="00933390" w:rsidRDefault="00000000" w:rsidP="00486870">
      <w:pPr>
        <w:bidi/>
        <w:spacing w:after="40" w:line="264" w:lineRule="auto"/>
      </w:pPr>
      <w:r>
        <w:rPr>
          <w:rFonts w:ascii="Arial" w:eastAsia="Arial" w:hAnsi="Arial" w:cs="Arial"/>
          <w:b/>
          <w:sz w:val="24"/>
        </w:rPr>
        <w:t>2. Cairo - Cultural life</w:t>
      </w:r>
    </w:p>
    <w:p w14:paraId="17CF9316" w14:textId="0E4FF622" w:rsidR="00933390" w:rsidRDefault="00000000" w:rsidP="00486870">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com/place/Cairo/Cultural-life</w:t>
      </w:r>
    </w:p>
    <w:p w14:paraId="114A75C2" w14:textId="77777777" w:rsidR="00933390" w:rsidRDefault="00000000" w:rsidP="00486870">
      <w:pPr>
        <w:bidi/>
        <w:spacing w:after="40" w:line="264" w:lineRule="auto"/>
      </w:pPr>
      <w:r>
        <w:rPr>
          <w:rFonts w:ascii="Arial" w:eastAsia="Arial" w:hAnsi="Arial" w:cs="Arial"/>
          <w:b/>
          <w:sz w:val="24"/>
        </w:rPr>
        <w:t>3. Ibn Khaldūn</w:t>
      </w:r>
    </w:p>
    <w:p w14:paraId="709440E1" w14:textId="2CA235E4" w:rsidR="00933390" w:rsidRDefault="00000000" w:rsidP="00486870">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com/biography/Ibn-Khaldun</w:t>
      </w:r>
    </w:p>
    <w:p w14:paraId="0289FACB" w14:textId="77777777" w:rsidR="00933390" w:rsidRDefault="00000000" w:rsidP="00486870">
      <w:pPr>
        <w:bidi/>
        <w:spacing w:after="40" w:line="264" w:lineRule="auto"/>
      </w:pPr>
      <w:r>
        <w:rPr>
          <w:rFonts w:ascii="Arial" w:eastAsia="Arial" w:hAnsi="Arial" w:cs="Arial"/>
          <w:b/>
          <w:sz w:val="24"/>
        </w:rPr>
        <w:t>4. Ibn Khallikān</w:t>
      </w:r>
    </w:p>
    <w:p w14:paraId="0266E563" w14:textId="65FA46DD" w:rsidR="00933390" w:rsidRDefault="00000000" w:rsidP="00486870">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com/biography/Ibn-Khallikan</w:t>
      </w:r>
    </w:p>
    <w:p w14:paraId="407ABDD1" w14:textId="77777777" w:rsidR="00933390" w:rsidRDefault="00000000" w:rsidP="00486870">
      <w:pPr>
        <w:bidi/>
        <w:spacing w:after="40" w:line="264" w:lineRule="auto"/>
      </w:pPr>
      <w:r>
        <w:rPr>
          <w:rFonts w:ascii="Arial" w:eastAsia="Arial" w:hAnsi="Arial" w:cs="Arial"/>
          <w:b/>
          <w:sz w:val="24"/>
        </w:rPr>
        <w:t>5. al-ʿUmarī</w:t>
      </w:r>
    </w:p>
    <w:p w14:paraId="3FD0C3E7" w14:textId="4D7D80B9" w:rsidR="00933390" w:rsidRDefault="00000000" w:rsidP="00486870">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com/biography/al-Umari</w:t>
      </w:r>
    </w:p>
    <w:p w14:paraId="46F843F8" w14:textId="77777777" w:rsidR="00933390" w:rsidRDefault="00000000" w:rsidP="00486870">
      <w:pPr>
        <w:bidi/>
        <w:spacing w:after="40" w:line="264" w:lineRule="auto"/>
      </w:pPr>
      <w:r>
        <w:rPr>
          <w:rFonts w:ascii="Arial" w:eastAsia="Arial" w:hAnsi="Arial" w:cs="Arial"/>
          <w:b/>
          <w:sz w:val="24"/>
        </w:rPr>
        <w:t>6. Islamic arts - Development of literary prose</w:t>
      </w:r>
    </w:p>
    <w:p w14:paraId="3D544CC6" w14:textId="62C01D62" w:rsidR="00933390" w:rsidRDefault="00000000" w:rsidP="00486870">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com/topic/Islamic-arts/Development-of-literary-prose</w:t>
      </w:r>
    </w:p>
    <w:sectPr w:rsidR="00933390" w:rsidSect="00034616">
      <w:footerReference w:type="default" r:id="rId8"/>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2421A" w14:textId="77777777" w:rsidR="00A83B86" w:rsidRDefault="00A83B86">
      <w:pPr>
        <w:spacing w:after="0" w:line="240" w:lineRule="auto"/>
      </w:pPr>
      <w:r>
        <w:separator/>
      </w:r>
    </w:p>
  </w:endnote>
  <w:endnote w:type="continuationSeparator" w:id="0">
    <w:p w14:paraId="691078EE" w14:textId="77777777" w:rsidR="00A83B86" w:rsidRDefault="00A83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9513" w14:textId="00DFACE2" w:rsidR="00933390" w:rsidRDefault="00933390">
    <w:pPr>
      <w:pStyle w:val="Footer"/>
      <w:bidi/>
      <w:jc w:val="center"/>
      <w:rPr>
        <w:rFonts w:hint="cs"/>
        <w:rtl/>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5FFFC" w14:textId="77777777" w:rsidR="00A83B86" w:rsidRDefault="00A83B86">
      <w:pPr>
        <w:spacing w:after="0" w:line="240" w:lineRule="auto"/>
      </w:pPr>
      <w:r>
        <w:separator/>
      </w:r>
    </w:p>
  </w:footnote>
  <w:footnote w:type="continuationSeparator" w:id="0">
    <w:p w14:paraId="4AE71F9E" w14:textId="77777777" w:rsidR="00A83B86" w:rsidRDefault="00A83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933896">
    <w:abstractNumId w:val="8"/>
  </w:num>
  <w:num w:numId="2" w16cid:durableId="1359938399">
    <w:abstractNumId w:val="6"/>
  </w:num>
  <w:num w:numId="3" w16cid:durableId="375396388">
    <w:abstractNumId w:val="5"/>
  </w:num>
  <w:num w:numId="4" w16cid:durableId="568465939">
    <w:abstractNumId w:val="4"/>
  </w:num>
  <w:num w:numId="5" w16cid:durableId="887184593">
    <w:abstractNumId w:val="7"/>
  </w:num>
  <w:num w:numId="6" w16cid:durableId="2052728421">
    <w:abstractNumId w:val="3"/>
  </w:num>
  <w:num w:numId="7" w16cid:durableId="1891841286">
    <w:abstractNumId w:val="2"/>
  </w:num>
  <w:num w:numId="8" w16cid:durableId="1154562051">
    <w:abstractNumId w:val="1"/>
  </w:num>
  <w:num w:numId="9" w16cid:durableId="2054228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CE5"/>
    <w:rsid w:val="0015074B"/>
    <w:rsid w:val="0029639D"/>
    <w:rsid w:val="00326F90"/>
    <w:rsid w:val="00375773"/>
    <w:rsid w:val="00486870"/>
    <w:rsid w:val="00767806"/>
    <w:rsid w:val="00933390"/>
    <w:rsid w:val="00A83B86"/>
    <w:rsid w:val="00AA1D8D"/>
    <w:rsid w:val="00B47730"/>
    <w:rsid w:val="00CB0664"/>
    <w:rsid w:val="00CC6C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A8210"/>
  <w14:defaultImageDpi w14:val="300"/>
  <w15:docId w15:val="{4821D6DC-636C-4C45-B863-B1945AA03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5</cp:revision>
  <dcterms:created xsi:type="dcterms:W3CDTF">2013-12-23T23:15:00Z</dcterms:created>
  <dcterms:modified xsi:type="dcterms:W3CDTF">2026-04-07T14:20:00Z</dcterms:modified>
  <cp:category/>
</cp:coreProperties>
</file>