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DA3BA6" w14:textId="77777777" w:rsidR="00A529D3" w:rsidRDefault="00000000" w:rsidP="003069CB">
      <w:pPr>
        <w:bidi/>
        <w:spacing w:after="80"/>
      </w:pPr>
      <w:r>
        <w:rPr>
          <w:rFonts w:ascii="Arial" w:eastAsia="Arial" w:hAnsi="Arial" w:cs="Arial"/>
          <w:b/>
          <w:color w:val="113B5F"/>
          <w:sz w:val="42"/>
        </w:rPr>
        <w:t>الأدب في العصر العثماني</w:t>
      </w:r>
    </w:p>
    <w:p w14:paraId="66275823" w14:textId="77777777" w:rsidR="00A529D3" w:rsidRDefault="00000000" w:rsidP="003069CB">
      <w:pPr>
        <w:bidi/>
      </w:pPr>
      <w:r>
        <w:rPr>
          <w:rFonts w:ascii="Arial" w:eastAsia="Arial" w:hAnsi="Arial" w:cs="Arial"/>
          <w:color w:val="A0A0A0"/>
        </w:rPr>
        <w:t>────────────────────────────────────────────</w:t>
      </w:r>
    </w:p>
    <w:p w14:paraId="0E6D1E58" w14:textId="77777777" w:rsidR="00A529D3" w:rsidRDefault="00000000" w:rsidP="003069CB">
      <w:pPr>
        <w:bidi/>
        <w:spacing w:before="200" w:after="80"/>
        <w:rPr>
          <w:rFonts w:hint="cs"/>
          <w:rtl/>
          <w:lang w:bidi="ar-EG"/>
        </w:rPr>
      </w:pPr>
      <w:r>
        <w:rPr>
          <w:rFonts w:ascii="Arial" w:eastAsia="Arial" w:hAnsi="Arial" w:cs="Arial"/>
          <w:b/>
          <w:color w:val="1B5E20"/>
          <w:sz w:val="28"/>
        </w:rPr>
        <w:t>ملاحظة منهجية</w:t>
      </w:r>
    </w:p>
    <w:p w14:paraId="0B31D177" w14:textId="47B506BD" w:rsidR="00A529D3" w:rsidRDefault="00000000" w:rsidP="003069CB">
      <w:pPr>
        <w:bidi/>
        <w:spacing w:after="120" w:line="300" w:lineRule="auto"/>
        <w:ind w:firstLine="340"/>
      </w:pPr>
      <w:r>
        <w:rPr>
          <w:rFonts w:ascii="Arial" w:eastAsia="Arial" w:hAnsi="Arial" w:cs="Arial"/>
          <w:sz w:val="25"/>
        </w:rPr>
        <w:t xml:space="preserve">يختلف العصر العثماني عن العصور السابقة </w:t>
      </w:r>
      <w:proofErr w:type="gramStart"/>
      <w:r>
        <w:rPr>
          <w:rFonts w:ascii="Arial" w:eastAsia="Arial" w:hAnsi="Arial" w:cs="Arial"/>
          <w:sz w:val="25"/>
        </w:rPr>
        <w:t>في  من</w:t>
      </w:r>
      <w:proofErr w:type="gramEnd"/>
      <w:r>
        <w:rPr>
          <w:rFonts w:ascii="Arial" w:eastAsia="Arial" w:hAnsi="Arial" w:cs="Arial"/>
          <w:sz w:val="25"/>
        </w:rPr>
        <w:t xml:space="preserve"> جهة أن المادة الأوضح فيه تأتي من مدخل Turkish literature ومداخله الفرعية، إلى جانب إشارات مدخل Decentralization of Islamic literatures إلى استمرار العربية في بعض البيئات الإسلامية حتى أزمنة متأخرة. ولذلك يتعامل هذا الملف مع الأدب العثماني بوصفه أدبًا متعدد الطبقات: عثمانيًّا تركيًّا في المركز، مع استمرار حضور العربية في المجال الإسلامي الأوسع.</w:t>
      </w:r>
    </w:p>
    <w:p w14:paraId="113D7E40" w14:textId="0F4452CB" w:rsidR="00A529D3" w:rsidRDefault="00000000" w:rsidP="003069CB">
      <w:pPr>
        <w:bidi/>
        <w:spacing w:before="200" w:after="80"/>
      </w:pPr>
      <w:r>
        <w:rPr>
          <w:rFonts w:ascii="Arial" w:eastAsia="Arial" w:hAnsi="Arial" w:cs="Arial"/>
          <w:b/>
          <w:color w:val="1B5E20"/>
          <w:sz w:val="28"/>
        </w:rPr>
        <w:t xml:space="preserve">أولاً: ما المقصود </w:t>
      </w:r>
      <w:proofErr w:type="spellStart"/>
      <w:r>
        <w:rPr>
          <w:rFonts w:ascii="Arial" w:eastAsia="Arial" w:hAnsi="Arial" w:cs="Arial"/>
          <w:b/>
          <w:color w:val="1B5E20"/>
          <w:sz w:val="28"/>
        </w:rPr>
        <w:t>بالأدب</w:t>
      </w:r>
      <w:proofErr w:type="spellEnd"/>
      <w:r>
        <w:rPr>
          <w:rFonts w:ascii="Arial" w:eastAsia="Arial" w:hAnsi="Arial" w:cs="Arial"/>
          <w:b/>
          <w:color w:val="1B5E20"/>
          <w:sz w:val="28"/>
        </w:rPr>
        <w:t xml:space="preserve"> </w:t>
      </w:r>
      <w:proofErr w:type="spellStart"/>
      <w:r>
        <w:rPr>
          <w:rFonts w:ascii="Arial" w:eastAsia="Arial" w:hAnsi="Arial" w:cs="Arial"/>
          <w:b/>
          <w:color w:val="1B5E20"/>
          <w:sz w:val="28"/>
        </w:rPr>
        <w:t>العثماني</w:t>
      </w:r>
      <w:proofErr w:type="spellEnd"/>
      <w:r>
        <w:rPr>
          <w:rFonts w:ascii="Arial" w:eastAsia="Arial" w:hAnsi="Arial" w:cs="Arial"/>
          <w:b/>
          <w:color w:val="1B5E20"/>
          <w:sz w:val="28"/>
        </w:rPr>
        <w:t xml:space="preserve"> </w:t>
      </w:r>
      <w:proofErr w:type="spellStart"/>
      <w:r>
        <w:rPr>
          <w:rFonts w:ascii="Arial" w:eastAsia="Arial" w:hAnsi="Arial" w:cs="Arial"/>
          <w:b/>
          <w:color w:val="1B5E20"/>
          <w:sz w:val="28"/>
        </w:rPr>
        <w:t>في</w:t>
      </w:r>
      <w:proofErr w:type="spellEnd"/>
      <w:r>
        <w:rPr>
          <w:rFonts w:ascii="Arial" w:eastAsia="Arial" w:hAnsi="Arial" w:cs="Arial"/>
          <w:b/>
          <w:color w:val="1B5E20"/>
          <w:sz w:val="28"/>
        </w:rPr>
        <w:t xml:space="preserve"> ؟</w:t>
      </w:r>
    </w:p>
    <w:p w14:paraId="7F2123AE" w14:textId="76B62A17" w:rsidR="00A529D3" w:rsidRDefault="00000000" w:rsidP="003069CB">
      <w:pPr>
        <w:bidi/>
        <w:spacing w:after="120" w:line="300" w:lineRule="auto"/>
        <w:ind w:firstLine="340"/>
      </w:pPr>
      <w:proofErr w:type="spellStart"/>
      <w:r>
        <w:rPr>
          <w:rFonts w:ascii="Arial" w:eastAsia="Arial" w:hAnsi="Arial" w:cs="Arial"/>
          <w:sz w:val="25"/>
        </w:rPr>
        <w:t>تعرّف</w:t>
      </w:r>
      <w:proofErr w:type="spellEnd"/>
      <w:r w:rsidR="003069CB">
        <w:rPr>
          <w:rFonts w:ascii="Arial" w:eastAsia="Arial" w:hAnsi="Arial" w:cs="Arial"/>
          <w:sz w:val="25"/>
        </w:rPr>
        <w:t xml:space="preserve"> </w:t>
      </w:r>
      <w:proofErr w:type="spellStart"/>
      <w:r>
        <w:rPr>
          <w:rFonts w:ascii="Arial" w:eastAsia="Arial" w:hAnsi="Arial" w:cs="Arial"/>
          <w:sz w:val="25"/>
        </w:rPr>
        <w:t>الأدب</w:t>
      </w:r>
      <w:proofErr w:type="spellEnd"/>
      <w:r>
        <w:rPr>
          <w:rFonts w:ascii="Arial" w:eastAsia="Arial" w:hAnsi="Arial" w:cs="Arial"/>
          <w:sz w:val="25"/>
        </w:rPr>
        <w:t xml:space="preserve"> </w:t>
      </w:r>
      <w:proofErr w:type="spellStart"/>
      <w:r>
        <w:rPr>
          <w:rFonts w:ascii="Arial" w:eastAsia="Arial" w:hAnsi="Arial" w:cs="Arial"/>
          <w:sz w:val="25"/>
        </w:rPr>
        <w:t>التركي</w:t>
      </w:r>
      <w:proofErr w:type="spellEnd"/>
      <w:r>
        <w:rPr>
          <w:rFonts w:ascii="Arial" w:eastAsia="Arial" w:hAnsi="Arial" w:cs="Arial"/>
          <w:sz w:val="25"/>
        </w:rPr>
        <w:t xml:space="preserve"> </w:t>
      </w:r>
      <w:proofErr w:type="spellStart"/>
      <w:r>
        <w:rPr>
          <w:rFonts w:ascii="Arial" w:eastAsia="Arial" w:hAnsi="Arial" w:cs="Arial"/>
          <w:sz w:val="25"/>
        </w:rPr>
        <w:t>بأنه</w:t>
      </w:r>
      <w:proofErr w:type="spellEnd"/>
      <w:r>
        <w:rPr>
          <w:rFonts w:ascii="Arial" w:eastAsia="Arial" w:hAnsi="Arial" w:cs="Arial"/>
          <w:sz w:val="25"/>
        </w:rPr>
        <w:t xml:space="preserve"> </w:t>
      </w:r>
      <w:proofErr w:type="spellStart"/>
      <w:r>
        <w:rPr>
          <w:rFonts w:ascii="Arial" w:eastAsia="Arial" w:hAnsi="Arial" w:cs="Arial"/>
          <w:sz w:val="25"/>
        </w:rPr>
        <w:t>مجموع</w:t>
      </w:r>
      <w:proofErr w:type="spellEnd"/>
      <w:r>
        <w:rPr>
          <w:rFonts w:ascii="Arial" w:eastAsia="Arial" w:hAnsi="Arial" w:cs="Arial"/>
          <w:sz w:val="25"/>
        </w:rPr>
        <w:t xml:space="preserve"> الأعمال المكتوبة بالتركية، وتوضح أن الكتابة بالتركية ازدهرت في الدولة العثمانية من القرن الرابع عشر حتى أوائل القرن العشرين، وأن كثيرًا من النشاط الأدبي تمركز في إسطنبول. وهذا يعني أن الأدب العثماني، في مادتها، ليس مجرد امتداد مباشر للأدب العربي، بل فرع أدبي إسلامي كبير تشكل تحت تأثير العربية والفارسية، ثم اكتسب شخصيته الخاصة داخل الإمبراطورية.</w:t>
      </w:r>
    </w:p>
    <w:p w14:paraId="3562C086" w14:textId="77777777" w:rsidR="00A529D3" w:rsidRDefault="00000000" w:rsidP="003069CB">
      <w:pPr>
        <w:bidi/>
        <w:spacing w:before="200" w:after="80"/>
      </w:pPr>
      <w:r>
        <w:rPr>
          <w:rFonts w:ascii="Arial" w:eastAsia="Arial" w:hAnsi="Arial" w:cs="Arial"/>
          <w:b/>
          <w:color w:val="1B5E20"/>
          <w:sz w:val="28"/>
        </w:rPr>
        <w:t>ثانيًا: أشكال الشعر العثماني الكلاسيكي</w:t>
      </w:r>
    </w:p>
    <w:p w14:paraId="2880A754" w14:textId="36D6DA31" w:rsidR="00A529D3" w:rsidRDefault="00000000" w:rsidP="003069CB">
      <w:pPr>
        <w:bidi/>
        <w:spacing w:after="120" w:line="300" w:lineRule="auto"/>
        <w:ind w:firstLine="340"/>
      </w:pPr>
      <w:proofErr w:type="spellStart"/>
      <w:r>
        <w:rPr>
          <w:rFonts w:ascii="Arial" w:eastAsia="Arial" w:hAnsi="Arial" w:cs="Arial"/>
          <w:sz w:val="25"/>
        </w:rPr>
        <w:t>تشدد</w:t>
      </w:r>
      <w:proofErr w:type="spellEnd"/>
      <w:r w:rsidR="003069CB">
        <w:rPr>
          <w:rFonts w:ascii="Arial" w:eastAsia="Arial" w:hAnsi="Arial" w:cs="Arial"/>
          <w:sz w:val="25"/>
        </w:rPr>
        <w:t xml:space="preserve"> </w:t>
      </w:r>
      <w:proofErr w:type="spellStart"/>
      <w:r>
        <w:rPr>
          <w:rFonts w:ascii="Arial" w:eastAsia="Arial" w:hAnsi="Arial" w:cs="Arial"/>
          <w:sz w:val="25"/>
        </w:rPr>
        <w:t>على</w:t>
      </w:r>
      <w:proofErr w:type="spellEnd"/>
      <w:r>
        <w:rPr>
          <w:rFonts w:ascii="Arial" w:eastAsia="Arial" w:hAnsi="Arial" w:cs="Arial"/>
          <w:sz w:val="25"/>
        </w:rPr>
        <w:t xml:space="preserve"> </w:t>
      </w:r>
      <w:proofErr w:type="spellStart"/>
      <w:r>
        <w:rPr>
          <w:rFonts w:ascii="Arial" w:eastAsia="Arial" w:hAnsi="Arial" w:cs="Arial"/>
          <w:sz w:val="25"/>
        </w:rPr>
        <w:t>أن</w:t>
      </w:r>
      <w:proofErr w:type="spellEnd"/>
      <w:r>
        <w:rPr>
          <w:rFonts w:ascii="Arial" w:eastAsia="Arial" w:hAnsi="Arial" w:cs="Arial"/>
          <w:sz w:val="25"/>
        </w:rPr>
        <w:t xml:space="preserve"> </w:t>
      </w:r>
      <w:proofErr w:type="spellStart"/>
      <w:r>
        <w:rPr>
          <w:rFonts w:ascii="Arial" w:eastAsia="Arial" w:hAnsi="Arial" w:cs="Arial"/>
          <w:sz w:val="25"/>
        </w:rPr>
        <w:t>الغزل</w:t>
      </w:r>
      <w:proofErr w:type="spellEnd"/>
      <w:r>
        <w:rPr>
          <w:rFonts w:ascii="Arial" w:eastAsia="Arial" w:hAnsi="Arial" w:cs="Arial"/>
          <w:sz w:val="25"/>
        </w:rPr>
        <w:t xml:space="preserve"> </w:t>
      </w:r>
      <w:proofErr w:type="spellStart"/>
      <w:r>
        <w:rPr>
          <w:rFonts w:ascii="Arial" w:eastAsia="Arial" w:hAnsi="Arial" w:cs="Arial"/>
          <w:sz w:val="25"/>
        </w:rPr>
        <w:t>والقصيدة</w:t>
      </w:r>
      <w:proofErr w:type="spellEnd"/>
      <w:r>
        <w:rPr>
          <w:rFonts w:ascii="Arial" w:eastAsia="Arial" w:hAnsi="Arial" w:cs="Arial"/>
          <w:sz w:val="25"/>
        </w:rPr>
        <w:t xml:space="preserve"> كانا الشكلين الغالبين في الشعر العثماني من نشأته في القرن الرابع عشر حتى أفوله في أواخر القرن التاسع عشر. وكان الغزل مبنيًا على وحدة الوزن والقافية المفردة، ويحمل في الغالب توقيع الشاعر في المقطع الأخير، أما القصيدة فكانت الوعاء الكبير للمديح الديني والدنيوي. كما لعب المثنوي دور الشكل السردي الأهم، أي الوعاء الذي تُكتب فيه الأعمال المطولة التعليمية والرمزية والعاطفية.</w:t>
      </w:r>
    </w:p>
    <w:p w14:paraId="6AA00267" w14:textId="77777777" w:rsidR="00A529D3" w:rsidRDefault="00000000" w:rsidP="003069CB">
      <w:pPr>
        <w:bidi/>
        <w:spacing w:before="200" w:after="80"/>
      </w:pPr>
      <w:r>
        <w:rPr>
          <w:rFonts w:ascii="Arial" w:eastAsia="Arial" w:hAnsi="Arial" w:cs="Arial"/>
          <w:b/>
          <w:color w:val="1B5E20"/>
          <w:sz w:val="28"/>
        </w:rPr>
        <w:t>ثالثًا: المثنوي من البداية إلى الذروة المتأخرة</w:t>
      </w:r>
    </w:p>
    <w:p w14:paraId="17890ECC" w14:textId="4579A7E5" w:rsidR="00A529D3" w:rsidRDefault="00000000" w:rsidP="003069CB">
      <w:pPr>
        <w:bidi/>
        <w:spacing w:after="120" w:line="300" w:lineRule="auto"/>
        <w:ind w:firstLine="340"/>
      </w:pPr>
      <w:proofErr w:type="spellStart"/>
      <w:r>
        <w:rPr>
          <w:rFonts w:ascii="Arial" w:eastAsia="Arial" w:hAnsi="Arial" w:cs="Arial"/>
          <w:sz w:val="25"/>
        </w:rPr>
        <w:t>تذكر</w:t>
      </w:r>
      <w:proofErr w:type="spellEnd"/>
      <w:r>
        <w:rPr>
          <w:rFonts w:ascii="Arial" w:eastAsia="Arial" w:hAnsi="Arial" w:cs="Arial"/>
          <w:sz w:val="25"/>
        </w:rPr>
        <w:t xml:space="preserve"> </w:t>
      </w:r>
      <w:proofErr w:type="spellStart"/>
      <w:r>
        <w:rPr>
          <w:rFonts w:ascii="Arial" w:eastAsia="Arial" w:hAnsi="Arial" w:cs="Arial"/>
          <w:sz w:val="25"/>
        </w:rPr>
        <w:t>أن</w:t>
      </w:r>
      <w:proofErr w:type="spellEnd"/>
      <w:r>
        <w:rPr>
          <w:rFonts w:ascii="Arial" w:eastAsia="Arial" w:hAnsi="Arial" w:cs="Arial"/>
          <w:sz w:val="25"/>
        </w:rPr>
        <w:t xml:space="preserve"> </w:t>
      </w:r>
      <w:proofErr w:type="spellStart"/>
      <w:r>
        <w:rPr>
          <w:rFonts w:ascii="Arial" w:eastAsia="Arial" w:hAnsi="Arial" w:cs="Arial"/>
          <w:sz w:val="25"/>
        </w:rPr>
        <w:t>المثنوي</w:t>
      </w:r>
      <w:proofErr w:type="spellEnd"/>
      <w:r>
        <w:rPr>
          <w:rFonts w:ascii="Arial" w:eastAsia="Arial" w:hAnsi="Arial" w:cs="Arial"/>
          <w:sz w:val="25"/>
        </w:rPr>
        <w:t xml:space="preserve"> </w:t>
      </w:r>
      <w:proofErr w:type="spellStart"/>
      <w:r>
        <w:rPr>
          <w:rFonts w:ascii="Arial" w:eastAsia="Arial" w:hAnsi="Arial" w:cs="Arial"/>
          <w:sz w:val="25"/>
        </w:rPr>
        <w:t>كان</w:t>
      </w:r>
      <w:proofErr w:type="spellEnd"/>
      <w:r>
        <w:rPr>
          <w:rFonts w:ascii="Arial" w:eastAsia="Arial" w:hAnsi="Arial" w:cs="Arial"/>
          <w:sz w:val="25"/>
        </w:rPr>
        <w:t xml:space="preserve"> من أهم أشكال الأدب العثماني، وأن أهميته لم تقتصر على البدايات، بل ظهرت أيضًا في أعمال كبرى متأخرة مثل حسن وعشق لشيخ غالب سنة 1782. كما تشير إلى ليلى ومجنون لفُضولي بوصفه استثناءً لافتًا داخل قانون المثنوي العثماني. ومن هنا يتبين أن الأدب العثماني حافظ على صلة وثيقة بالتقاليد العربية والفارسية معًا، لكنه صاغها باللغة التركية وفي سياقات ثقافية جديدة.</w:t>
      </w:r>
    </w:p>
    <w:p w14:paraId="000978BD" w14:textId="77777777" w:rsidR="00A529D3" w:rsidRDefault="00000000" w:rsidP="003069CB">
      <w:pPr>
        <w:bidi/>
        <w:spacing w:before="200" w:after="80"/>
      </w:pPr>
      <w:r>
        <w:rPr>
          <w:rFonts w:ascii="Arial" w:eastAsia="Arial" w:hAnsi="Arial" w:cs="Arial"/>
          <w:b/>
          <w:color w:val="1B5E20"/>
          <w:sz w:val="28"/>
        </w:rPr>
        <w:t>رابعًا: الشعر البلاطي والأسلوب الحضري</w:t>
      </w:r>
    </w:p>
    <w:p w14:paraId="066988DC" w14:textId="0162A1C6" w:rsidR="00A529D3" w:rsidRDefault="00000000" w:rsidP="003069CB">
      <w:pPr>
        <w:bidi/>
        <w:spacing w:after="120" w:line="300" w:lineRule="auto"/>
        <w:ind w:firstLine="340"/>
      </w:pPr>
      <w:r>
        <w:rPr>
          <w:rFonts w:ascii="Arial" w:eastAsia="Arial" w:hAnsi="Arial" w:cs="Arial"/>
          <w:sz w:val="25"/>
        </w:rPr>
        <w:t xml:space="preserve">في القرن </w:t>
      </w:r>
      <w:proofErr w:type="spellStart"/>
      <w:r>
        <w:rPr>
          <w:rFonts w:ascii="Arial" w:eastAsia="Arial" w:hAnsi="Arial" w:cs="Arial"/>
          <w:sz w:val="25"/>
        </w:rPr>
        <w:t>السادس</w:t>
      </w:r>
      <w:proofErr w:type="spellEnd"/>
      <w:r>
        <w:rPr>
          <w:rFonts w:ascii="Arial" w:eastAsia="Arial" w:hAnsi="Arial" w:cs="Arial"/>
          <w:sz w:val="25"/>
        </w:rPr>
        <w:t xml:space="preserve"> </w:t>
      </w:r>
      <w:proofErr w:type="spellStart"/>
      <w:r>
        <w:rPr>
          <w:rFonts w:ascii="Arial" w:eastAsia="Arial" w:hAnsi="Arial" w:cs="Arial"/>
          <w:sz w:val="25"/>
        </w:rPr>
        <w:t>عشر</w:t>
      </w:r>
      <w:proofErr w:type="spellEnd"/>
      <w:r>
        <w:rPr>
          <w:rFonts w:ascii="Arial" w:eastAsia="Arial" w:hAnsi="Arial" w:cs="Arial"/>
          <w:sz w:val="25"/>
        </w:rPr>
        <w:t xml:space="preserve">، </w:t>
      </w:r>
      <w:proofErr w:type="spellStart"/>
      <w:r>
        <w:rPr>
          <w:rFonts w:ascii="Arial" w:eastAsia="Arial" w:hAnsi="Arial" w:cs="Arial"/>
          <w:sz w:val="25"/>
        </w:rPr>
        <w:t>وفق</w:t>
      </w:r>
      <w:proofErr w:type="spellEnd"/>
      <w:r>
        <w:rPr>
          <w:rFonts w:ascii="Arial" w:eastAsia="Arial" w:hAnsi="Arial" w:cs="Arial"/>
          <w:sz w:val="25"/>
        </w:rPr>
        <w:t xml:space="preserve"> ، </w:t>
      </w:r>
      <w:proofErr w:type="spellStart"/>
      <w:r>
        <w:rPr>
          <w:rFonts w:ascii="Arial" w:eastAsia="Arial" w:hAnsi="Arial" w:cs="Arial"/>
          <w:sz w:val="25"/>
        </w:rPr>
        <w:t>برز</w:t>
      </w:r>
      <w:proofErr w:type="spellEnd"/>
      <w:r>
        <w:rPr>
          <w:rFonts w:ascii="Arial" w:eastAsia="Arial" w:hAnsi="Arial" w:cs="Arial"/>
          <w:sz w:val="25"/>
        </w:rPr>
        <w:t xml:space="preserve"> </w:t>
      </w:r>
      <w:proofErr w:type="spellStart"/>
      <w:r>
        <w:rPr>
          <w:rFonts w:ascii="Arial" w:eastAsia="Arial" w:hAnsi="Arial" w:cs="Arial"/>
          <w:sz w:val="25"/>
        </w:rPr>
        <w:t>باقِي</w:t>
      </w:r>
      <w:proofErr w:type="spellEnd"/>
      <w:r>
        <w:rPr>
          <w:rFonts w:ascii="Arial" w:eastAsia="Arial" w:hAnsi="Arial" w:cs="Arial"/>
          <w:sz w:val="25"/>
        </w:rPr>
        <w:t xml:space="preserve"> </w:t>
      </w:r>
      <w:proofErr w:type="spellStart"/>
      <w:r>
        <w:rPr>
          <w:rFonts w:ascii="Arial" w:eastAsia="Arial" w:hAnsi="Arial" w:cs="Arial"/>
          <w:sz w:val="25"/>
        </w:rPr>
        <w:t>بوصفه</w:t>
      </w:r>
      <w:proofErr w:type="spellEnd"/>
      <w:r>
        <w:rPr>
          <w:rFonts w:ascii="Arial" w:eastAsia="Arial" w:hAnsi="Arial" w:cs="Arial"/>
          <w:sz w:val="25"/>
        </w:rPr>
        <w:t xml:space="preserve"> الممثل الأبرز للأسلوب الحضري الدنيوي الراقي داخل شعر البلاط. فهو صقل أسلوبًا علماني النبرة، مركزي المكانة، مثّل الذوق العثماني الرفيع في أقوى صوره. ثم جاء في القرن السابع عشر نفعي، الذي برع في القصيدة والهجاء، واعتمد ملامح من الأسلوب الهندي-الفارسي الجديد، مما فتح اتجاهًا أسلوبيًا مهمًا في الشعر العثماني. وهكذا يظهر البلاط العثماني </w:t>
      </w:r>
      <w:proofErr w:type="gramStart"/>
      <w:r>
        <w:rPr>
          <w:rFonts w:ascii="Arial" w:eastAsia="Arial" w:hAnsi="Arial" w:cs="Arial"/>
          <w:sz w:val="25"/>
        </w:rPr>
        <w:t>في  بوصفه</w:t>
      </w:r>
      <w:proofErr w:type="gramEnd"/>
      <w:r>
        <w:rPr>
          <w:rFonts w:ascii="Arial" w:eastAsia="Arial" w:hAnsi="Arial" w:cs="Arial"/>
          <w:sz w:val="25"/>
        </w:rPr>
        <w:t xml:space="preserve"> مختبرًا للصنعة والرقي والابتكار، لا مجرد فضاء تقليدي جامد.</w:t>
      </w:r>
    </w:p>
    <w:p w14:paraId="19B41B1F" w14:textId="77777777" w:rsidR="00A529D3" w:rsidRDefault="00000000" w:rsidP="003069CB">
      <w:pPr>
        <w:bidi/>
        <w:spacing w:before="200" w:after="80"/>
      </w:pPr>
      <w:r>
        <w:rPr>
          <w:rFonts w:ascii="Arial" w:eastAsia="Arial" w:hAnsi="Arial" w:cs="Arial"/>
          <w:b/>
          <w:color w:val="1B5E20"/>
          <w:sz w:val="28"/>
        </w:rPr>
        <w:t>خامسًا: الأدب الصوفي والشعبي</w:t>
      </w:r>
    </w:p>
    <w:p w14:paraId="2D812210" w14:textId="3FE4C76D" w:rsidR="00A529D3" w:rsidRDefault="00000000" w:rsidP="003069CB">
      <w:pPr>
        <w:bidi/>
        <w:spacing w:after="120" w:line="300" w:lineRule="auto"/>
        <w:ind w:firstLine="340"/>
      </w:pPr>
      <w:proofErr w:type="gramStart"/>
      <w:r>
        <w:rPr>
          <w:rFonts w:ascii="Arial" w:eastAsia="Arial" w:hAnsi="Arial" w:cs="Arial"/>
          <w:sz w:val="25"/>
        </w:rPr>
        <w:t>لكن  لا</w:t>
      </w:r>
      <w:proofErr w:type="gramEnd"/>
      <w:r>
        <w:rPr>
          <w:rFonts w:ascii="Arial" w:eastAsia="Arial" w:hAnsi="Arial" w:cs="Arial"/>
          <w:sz w:val="25"/>
        </w:rPr>
        <w:t xml:space="preserve"> تختزل العثماني في شعر البلاط. فهي تمنح يونس أمره مكانة تأسيسية بوصفه أول وأهم اسم في سلسلة الشعراء الشعبيين المتصوفة. وتوضح أنه، على الرغم من علمه، كتب بلغة وأسلوب يصلان إلى الذوق الشعبي. وبذلك تشكل العثمانية أدبيًا على مستويين متوازيين: مستوى البلاط المتأثر بالفارسية والعروض والصنعة، ومستوى صوفي شعبي أقرب إلى الجمهور والذكر والإنشاد. ومن هذه الزاوية يبدو الأدب العثماني فضاءً واسعًا يضم الرسمي والروحي والجماهيري معًا.</w:t>
      </w:r>
    </w:p>
    <w:p w14:paraId="4E049121" w14:textId="77777777" w:rsidR="00A529D3" w:rsidRDefault="00000000" w:rsidP="003069CB">
      <w:pPr>
        <w:bidi/>
        <w:spacing w:before="200" w:after="80"/>
      </w:pPr>
      <w:r>
        <w:rPr>
          <w:rFonts w:ascii="Arial" w:eastAsia="Arial" w:hAnsi="Arial" w:cs="Arial"/>
          <w:b/>
          <w:color w:val="1B5E20"/>
          <w:sz w:val="28"/>
        </w:rPr>
        <w:lastRenderedPageBreak/>
        <w:t>سادسًا: الرعاية والهيبة الاجتماعية للشاعر</w:t>
      </w:r>
    </w:p>
    <w:p w14:paraId="20407409" w14:textId="46C377AA" w:rsidR="00A529D3" w:rsidRDefault="00000000" w:rsidP="003069CB">
      <w:pPr>
        <w:bidi/>
        <w:spacing w:after="120" w:line="300" w:lineRule="auto"/>
        <w:ind w:firstLine="340"/>
      </w:pPr>
      <w:proofErr w:type="gramStart"/>
      <w:r>
        <w:rPr>
          <w:rFonts w:ascii="Arial" w:eastAsia="Arial" w:hAnsi="Arial" w:cs="Arial"/>
          <w:sz w:val="25"/>
        </w:rPr>
        <w:t>تفهم  الحياة</w:t>
      </w:r>
      <w:proofErr w:type="gramEnd"/>
      <w:r>
        <w:rPr>
          <w:rFonts w:ascii="Arial" w:eastAsia="Arial" w:hAnsi="Arial" w:cs="Arial"/>
          <w:sz w:val="25"/>
        </w:rPr>
        <w:t xml:space="preserve"> الأدبية العثمانية أيضًا عبر نظام الرعاية. فالشاعر كان يشغل مكانة اجتماعية مهمة، وكانت التراجم الشعرية والتذكرات والدوائر البلاطية تحفظ الأسماء والأعمال والمكانات. وهذا يعني أن الأدب لم يكن نشاطًا هامشيًا، بل جزءًا من بنية الثقافة العليا في الإمبراطورية، وله شبكات اعتراف ومؤسسات ووسائط تداول.</w:t>
      </w:r>
    </w:p>
    <w:p w14:paraId="63B036F6" w14:textId="77777777" w:rsidR="00A529D3" w:rsidRDefault="00000000" w:rsidP="003069CB">
      <w:pPr>
        <w:bidi/>
        <w:spacing w:before="200" w:after="80"/>
      </w:pPr>
      <w:r>
        <w:rPr>
          <w:rFonts w:ascii="Arial" w:eastAsia="Arial" w:hAnsi="Arial" w:cs="Arial"/>
          <w:b/>
          <w:color w:val="1B5E20"/>
          <w:sz w:val="28"/>
        </w:rPr>
        <w:t>سابعًا: التنظيمات وبداية الأدب العثماني الجديد</w:t>
      </w:r>
    </w:p>
    <w:p w14:paraId="7A397652" w14:textId="53D29C9C" w:rsidR="00A529D3" w:rsidRDefault="00000000" w:rsidP="003069CB">
      <w:pPr>
        <w:bidi/>
        <w:spacing w:after="120" w:line="300" w:lineRule="auto"/>
        <w:ind w:firstLine="340"/>
      </w:pPr>
      <w:proofErr w:type="gramStart"/>
      <w:r>
        <w:rPr>
          <w:rFonts w:ascii="Arial" w:eastAsia="Arial" w:hAnsi="Arial" w:cs="Arial"/>
          <w:sz w:val="25"/>
        </w:rPr>
        <w:t>تذكر  أن</w:t>
      </w:r>
      <w:proofErr w:type="gramEnd"/>
      <w:r>
        <w:rPr>
          <w:rFonts w:ascii="Arial" w:eastAsia="Arial" w:hAnsi="Arial" w:cs="Arial"/>
          <w:sz w:val="25"/>
        </w:rPr>
        <w:t xml:space="preserve"> أزمة الثقة في النماذج التقليدية في أواخر القرن الثامن عشر اتخذت منعطفًا حادًا مع جيل التنظيمات بعد 1839. فالإصلاحات الهادفة إلى تحديث الدولة تحت تأثير الأفكار الأوروبية دفعت الأدب إلى مراجعة نفسه. وفي هذا السياق يظهر إبراهيم شِنَاسي بوصفه الصوت الأكثر راديكالية؛ إذ اشتغل بالصحافة والترجمة وكتب أول مسرحية عثمانية حديثة. ثم انضم زيا باشا ونامق كمال إلى مشروع التحديث، وصار الأدب أكثر التصاقًا بالصحافة والسجال العام والأفكار السياسية.</w:t>
      </w:r>
    </w:p>
    <w:p w14:paraId="097D2AC4" w14:textId="77777777" w:rsidR="00A529D3" w:rsidRDefault="00000000" w:rsidP="003069CB">
      <w:pPr>
        <w:bidi/>
        <w:spacing w:before="200" w:after="80"/>
      </w:pPr>
      <w:r>
        <w:rPr>
          <w:rFonts w:ascii="Arial" w:eastAsia="Arial" w:hAnsi="Arial" w:cs="Arial"/>
          <w:b/>
          <w:color w:val="1B5E20"/>
          <w:sz w:val="28"/>
        </w:rPr>
        <w:t>ثامنًا: المسرح والصحافة والوطنية</w:t>
      </w:r>
    </w:p>
    <w:p w14:paraId="21DE682A" w14:textId="51CEDD12" w:rsidR="00A529D3" w:rsidRDefault="00000000" w:rsidP="003069CB">
      <w:pPr>
        <w:bidi/>
        <w:spacing w:after="120" w:line="300" w:lineRule="auto"/>
        <w:ind w:firstLine="340"/>
      </w:pPr>
      <w:proofErr w:type="gramStart"/>
      <w:r>
        <w:rPr>
          <w:rFonts w:ascii="Arial" w:eastAsia="Arial" w:hAnsi="Arial" w:cs="Arial"/>
          <w:sz w:val="25"/>
        </w:rPr>
        <w:t>توضح  أن</w:t>
      </w:r>
      <w:proofErr w:type="gramEnd"/>
      <w:r>
        <w:rPr>
          <w:rFonts w:ascii="Arial" w:eastAsia="Arial" w:hAnsi="Arial" w:cs="Arial"/>
          <w:sz w:val="25"/>
        </w:rPr>
        <w:t xml:space="preserve"> نامق كمال انصرف إلى الشعر والمسرح ذي الرسالة الوطنية والتحديثية القوية، وأن زيا باشا حاول في الوقت نفسه إعادة تقييم التراث العثماني وصياغة قانون كلاسيكي له. وفي أواخر العهد العثماني برز توفيق فكرت بوصفه صوتًا أدبيًا كبيرًا من خلال تحريره مجلة Servet-i fünun وقيادته دائرتها الأدبية، مع انتقال شعره من الرومانسية إلى النقد الاجتماعي والسياسي. وبذلك دخل الأدب العثماني مرحلة جديدة لم يعد فيها هدفه الأساسي الإتقان الشكلي فقط، بل المشاركة في تشكيل الوعي العام.</w:t>
      </w:r>
    </w:p>
    <w:p w14:paraId="6C4EC741" w14:textId="77777777" w:rsidR="00A529D3" w:rsidRDefault="00000000" w:rsidP="003069CB">
      <w:pPr>
        <w:bidi/>
        <w:spacing w:before="200" w:after="80"/>
      </w:pPr>
      <w:r>
        <w:rPr>
          <w:rFonts w:ascii="Arial" w:eastAsia="Arial" w:hAnsi="Arial" w:cs="Arial"/>
          <w:b/>
          <w:color w:val="1B5E20"/>
          <w:sz w:val="28"/>
        </w:rPr>
        <w:t>تاسعًا: العربية داخل الفضاء العثماني الأوسع</w:t>
      </w:r>
    </w:p>
    <w:p w14:paraId="253F0B11" w14:textId="0803D18F" w:rsidR="00A529D3" w:rsidRDefault="00000000" w:rsidP="003069CB">
      <w:pPr>
        <w:bidi/>
        <w:spacing w:after="120" w:line="300" w:lineRule="auto"/>
        <w:ind w:firstLine="340"/>
      </w:pPr>
      <w:r>
        <w:rPr>
          <w:rFonts w:ascii="Arial" w:eastAsia="Arial" w:hAnsi="Arial" w:cs="Arial"/>
          <w:sz w:val="25"/>
        </w:rPr>
        <w:t xml:space="preserve">على الرغم من </w:t>
      </w:r>
      <w:proofErr w:type="gramStart"/>
      <w:r>
        <w:rPr>
          <w:rFonts w:ascii="Arial" w:eastAsia="Arial" w:hAnsi="Arial" w:cs="Arial"/>
          <w:sz w:val="25"/>
        </w:rPr>
        <w:t>تركيز  على</w:t>
      </w:r>
      <w:proofErr w:type="gramEnd"/>
      <w:r>
        <w:rPr>
          <w:rFonts w:ascii="Arial" w:eastAsia="Arial" w:hAnsi="Arial" w:cs="Arial"/>
          <w:sz w:val="25"/>
        </w:rPr>
        <w:t xml:space="preserve"> التركية في الحديث عن الأدب العثماني، فإن مدخل Decentralization of Islamic literatures يبيّن أن المدائح وكتابات الأدب بالعربية ظلت حية في بعض البيئات الإسلامية حتى أوائل القرن التاسع عشر. وهذا يعني أن العهد العثماني لم يشهد اختفاء العربية بوصفها لغة أدب ومعرفة، بل شهد تعددًا لغويًا داخل الحضارة الإسلامية، كانت التركية العثمانية إحدى قممه، مع استمرار العربية في ميادين البلاغة والفقه والعلوم والأدب.</w:t>
      </w:r>
    </w:p>
    <w:p w14:paraId="7E9847CA" w14:textId="77777777" w:rsidR="00A529D3" w:rsidRDefault="00000000" w:rsidP="003069CB">
      <w:pPr>
        <w:bidi/>
        <w:spacing w:before="200" w:after="80"/>
      </w:pPr>
      <w:r>
        <w:rPr>
          <w:rFonts w:ascii="Arial" w:eastAsia="Arial" w:hAnsi="Arial" w:cs="Arial"/>
          <w:b/>
          <w:color w:val="1B5E20"/>
          <w:sz w:val="28"/>
        </w:rPr>
        <w:t>عاشرًا: الخلاصة</w:t>
      </w:r>
    </w:p>
    <w:p w14:paraId="33070E90" w14:textId="158B2282" w:rsidR="00A529D3" w:rsidRDefault="00000000" w:rsidP="003069CB">
      <w:pPr>
        <w:bidi/>
        <w:spacing w:after="120" w:line="300" w:lineRule="auto"/>
        <w:ind w:firstLine="340"/>
        <w:rPr>
          <w:rtl/>
        </w:rPr>
      </w:pPr>
      <w:r>
        <w:rPr>
          <w:rFonts w:ascii="Arial" w:eastAsia="Arial" w:hAnsi="Arial" w:cs="Arial"/>
          <w:sz w:val="25"/>
        </w:rPr>
        <w:t xml:space="preserve">الأدب العثماني </w:t>
      </w:r>
      <w:proofErr w:type="gramStart"/>
      <w:r>
        <w:rPr>
          <w:rFonts w:ascii="Arial" w:eastAsia="Arial" w:hAnsi="Arial" w:cs="Arial"/>
          <w:sz w:val="25"/>
        </w:rPr>
        <w:t>في  أدب</w:t>
      </w:r>
      <w:proofErr w:type="gramEnd"/>
      <w:r>
        <w:rPr>
          <w:rFonts w:ascii="Arial" w:eastAsia="Arial" w:hAnsi="Arial" w:cs="Arial"/>
          <w:sz w:val="25"/>
        </w:rPr>
        <w:t xml:space="preserve"> متشعب لا يُختزل في صورة واحدة. فهو من جهة أدب تركي كلاسيكي شديد الوعي بالأشكال كالقصيدة والغزل والمثنوي، ومن جهة أخرى أدب صوفي شعبي، ثم يتحول في القرن التاسع عشر إلى أدب صحافة ومسرح ووطنية وإصلاح. كما أنه يظل جزءًا من منظومة أدبية إسلامية أوسع لم تغب عنها العربية. ولهذا فإن العصر العثماني يمثل في تاريخ الأدب الإسلامي مرحلة تنوع لغوي وفني وانتقال تدريجي من التقليد </w:t>
      </w:r>
      <w:proofErr w:type="spellStart"/>
      <w:r>
        <w:rPr>
          <w:rFonts w:ascii="Arial" w:eastAsia="Arial" w:hAnsi="Arial" w:cs="Arial"/>
          <w:sz w:val="25"/>
        </w:rPr>
        <w:t>الإمبراطوري</w:t>
      </w:r>
      <w:proofErr w:type="spellEnd"/>
      <w:r>
        <w:rPr>
          <w:rFonts w:ascii="Arial" w:eastAsia="Arial" w:hAnsi="Arial" w:cs="Arial"/>
          <w:sz w:val="25"/>
        </w:rPr>
        <w:t xml:space="preserve"> </w:t>
      </w:r>
      <w:proofErr w:type="spellStart"/>
      <w:r>
        <w:rPr>
          <w:rFonts w:ascii="Arial" w:eastAsia="Arial" w:hAnsi="Arial" w:cs="Arial"/>
          <w:sz w:val="25"/>
        </w:rPr>
        <w:t>إلى</w:t>
      </w:r>
      <w:proofErr w:type="spellEnd"/>
      <w:r>
        <w:rPr>
          <w:rFonts w:ascii="Arial" w:eastAsia="Arial" w:hAnsi="Arial" w:cs="Arial"/>
          <w:sz w:val="25"/>
        </w:rPr>
        <w:t xml:space="preserve"> </w:t>
      </w:r>
      <w:proofErr w:type="spellStart"/>
      <w:r>
        <w:rPr>
          <w:rFonts w:ascii="Arial" w:eastAsia="Arial" w:hAnsi="Arial" w:cs="Arial"/>
          <w:sz w:val="25"/>
        </w:rPr>
        <w:t>الأدب</w:t>
      </w:r>
      <w:proofErr w:type="spellEnd"/>
      <w:r>
        <w:rPr>
          <w:rFonts w:ascii="Arial" w:eastAsia="Arial" w:hAnsi="Arial" w:cs="Arial"/>
          <w:sz w:val="25"/>
        </w:rPr>
        <w:t xml:space="preserve"> </w:t>
      </w:r>
      <w:proofErr w:type="spellStart"/>
      <w:r>
        <w:rPr>
          <w:rFonts w:ascii="Arial" w:eastAsia="Arial" w:hAnsi="Arial" w:cs="Arial"/>
          <w:sz w:val="25"/>
        </w:rPr>
        <w:t>الحديث</w:t>
      </w:r>
      <w:proofErr w:type="spellEnd"/>
      <w:r>
        <w:rPr>
          <w:rFonts w:ascii="Arial" w:eastAsia="Arial" w:hAnsi="Arial" w:cs="Arial"/>
          <w:sz w:val="25"/>
        </w:rPr>
        <w:t>.</w:t>
      </w:r>
    </w:p>
    <w:p w14:paraId="69460718" w14:textId="77777777" w:rsidR="004E27D6" w:rsidRDefault="004E27D6" w:rsidP="004E27D6">
      <w:pPr>
        <w:bidi/>
        <w:spacing w:after="120" w:line="300" w:lineRule="auto"/>
        <w:ind w:firstLine="340"/>
        <w:rPr>
          <w:rtl/>
        </w:rPr>
      </w:pPr>
    </w:p>
    <w:p w14:paraId="785E83E4" w14:textId="77777777" w:rsidR="004E27D6" w:rsidRDefault="004E27D6" w:rsidP="004E27D6">
      <w:pPr>
        <w:bidi/>
        <w:spacing w:after="120" w:line="300" w:lineRule="auto"/>
        <w:ind w:firstLine="340"/>
        <w:rPr>
          <w:rtl/>
        </w:rPr>
      </w:pPr>
    </w:p>
    <w:p w14:paraId="7E81E10D" w14:textId="77777777" w:rsidR="004E27D6" w:rsidRDefault="004E27D6" w:rsidP="004E27D6">
      <w:pPr>
        <w:bidi/>
        <w:spacing w:after="120" w:line="300" w:lineRule="auto"/>
        <w:ind w:firstLine="340"/>
        <w:rPr>
          <w:rtl/>
        </w:rPr>
      </w:pPr>
    </w:p>
    <w:p w14:paraId="3C2859B6" w14:textId="77777777" w:rsidR="004E27D6" w:rsidRDefault="004E27D6" w:rsidP="004E27D6">
      <w:pPr>
        <w:bidi/>
        <w:spacing w:after="120" w:line="300" w:lineRule="auto"/>
        <w:ind w:firstLine="340"/>
        <w:rPr>
          <w:rtl/>
        </w:rPr>
      </w:pPr>
    </w:p>
    <w:p w14:paraId="5A1AC8AA" w14:textId="77777777" w:rsidR="004E27D6" w:rsidRDefault="004E27D6" w:rsidP="004E27D6">
      <w:pPr>
        <w:bidi/>
        <w:spacing w:after="120" w:line="300" w:lineRule="auto"/>
        <w:ind w:firstLine="340"/>
        <w:rPr>
          <w:rtl/>
        </w:rPr>
      </w:pPr>
    </w:p>
    <w:p w14:paraId="68DC828A" w14:textId="77777777" w:rsidR="004E27D6" w:rsidRDefault="004E27D6" w:rsidP="004E27D6">
      <w:pPr>
        <w:bidi/>
        <w:spacing w:after="120" w:line="300" w:lineRule="auto"/>
        <w:ind w:firstLine="340"/>
        <w:rPr>
          <w:rtl/>
        </w:rPr>
      </w:pPr>
    </w:p>
    <w:p w14:paraId="136E9220" w14:textId="77777777" w:rsidR="004E27D6" w:rsidRDefault="004E27D6" w:rsidP="004E27D6">
      <w:pPr>
        <w:bidi/>
        <w:spacing w:after="120" w:line="300" w:lineRule="auto"/>
        <w:ind w:firstLine="340"/>
      </w:pPr>
    </w:p>
    <w:p w14:paraId="30C67FA8" w14:textId="77777777" w:rsidR="00A529D3" w:rsidRDefault="00000000" w:rsidP="003069CB">
      <w:pPr>
        <w:bidi/>
        <w:spacing w:before="200" w:after="80"/>
      </w:pPr>
      <w:r>
        <w:rPr>
          <w:rFonts w:ascii="Arial" w:eastAsia="Arial" w:hAnsi="Arial" w:cs="Arial"/>
          <w:b/>
          <w:color w:val="1B5E20"/>
          <w:sz w:val="28"/>
        </w:rPr>
        <w:lastRenderedPageBreak/>
        <w:t>المصادر البريطانية المستخدمة</w:t>
      </w:r>
    </w:p>
    <w:p w14:paraId="4A1C2599" w14:textId="15B79A9D" w:rsidR="00A529D3" w:rsidRDefault="00000000" w:rsidP="003069CB">
      <w:pPr>
        <w:bidi/>
        <w:spacing w:after="120" w:line="300" w:lineRule="auto"/>
      </w:pPr>
      <w:r>
        <w:rPr>
          <w:rFonts w:ascii="Arial" w:eastAsia="Arial" w:hAnsi="Arial" w:cs="Arial"/>
          <w:color w:val="505050"/>
          <w:sz w:val="23"/>
        </w:rPr>
        <w:t xml:space="preserve">جميع الروابط </w:t>
      </w:r>
      <w:proofErr w:type="spellStart"/>
      <w:r>
        <w:rPr>
          <w:rFonts w:ascii="Arial" w:eastAsia="Arial" w:hAnsi="Arial" w:cs="Arial"/>
          <w:color w:val="505050"/>
          <w:sz w:val="23"/>
        </w:rPr>
        <w:t>التالية</w:t>
      </w:r>
      <w:proofErr w:type="spellEnd"/>
      <w:r>
        <w:rPr>
          <w:rFonts w:ascii="Arial" w:eastAsia="Arial" w:hAnsi="Arial" w:cs="Arial"/>
          <w:color w:val="505050"/>
          <w:sz w:val="23"/>
        </w:rPr>
        <w:t xml:space="preserve"> </w:t>
      </w:r>
      <w:proofErr w:type="spellStart"/>
      <w:r>
        <w:rPr>
          <w:rFonts w:ascii="Arial" w:eastAsia="Arial" w:hAnsi="Arial" w:cs="Arial"/>
          <w:color w:val="505050"/>
          <w:sz w:val="23"/>
        </w:rPr>
        <w:t>من</w:t>
      </w:r>
      <w:proofErr w:type="spellEnd"/>
      <w:r>
        <w:rPr>
          <w:rFonts w:ascii="Arial" w:eastAsia="Arial" w:hAnsi="Arial" w:cs="Arial"/>
          <w:color w:val="505050"/>
          <w:sz w:val="23"/>
        </w:rPr>
        <w:t xml:space="preserve"> </w:t>
      </w:r>
      <w:proofErr w:type="spellStart"/>
      <w:r>
        <w:rPr>
          <w:rFonts w:ascii="Arial" w:eastAsia="Arial" w:hAnsi="Arial" w:cs="Arial"/>
          <w:color w:val="505050"/>
          <w:sz w:val="23"/>
        </w:rPr>
        <w:t>Encyclopaedia</w:t>
      </w:r>
      <w:proofErr w:type="spellEnd"/>
      <w:r>
        <w:rPr>
          <w:rFonts w:ascii="Arial" w:eastAsia="Arial" w:hAnsi="Arial" w:cs="Arial"/>
          <w:color w:val="505050"/>
          <w:sz w:val="23"/>
        </w:rPr>
        <w:t xml:space="preserve"> ، </w:t>
      </w:r>
      <w:proofErr w:type="spellStart"/>
      <w:r>
        <w:rPr>
          <w:rFonts w:ascii="Arial" w:eastAsia="Arial" w:hAnsi="Arial" w:cs="Arial"/>
          <w:color w:val="505050"/>
          <w:sz w:val="23"/>
        </w:rPr>
        <w:t>وهي</w:t>
      </w:r>
      <w:proofErr w:type="spellEnd"/>
      <w:r>
        <w:rPr>
          <w:rFonts w:ascii="Arial" w:eastAsia="Arial" w:hAnsi="Arial" w:cs="Arial"/>
          <w:color w:val="505050"/>
          <w:sz w:val="23"/>
        </w:rPr>
        <w:t xml:space="preserve"> </w:t>
      </w:r>
      <w:proofErr w:type="spellStart"/>
      <w:r>
        <w:rPr>
          <w:rFonts w:ascii="Arial" w:eastAsia="Arial" w:hAnsi="Arial" w:cs="Arial"/>
          <w:color w:val="505050"/>
          <w:sz w:val="23"/>
        </w:rPr>
        <w:t>الأساس</w:t>
      </w:r>
      <w:proofErr w:type="spellEnd"/>
      <w:r>
        <w:rPr>
          <w:rFonts w:ascii="Arial" w:eastAsia="Arial" w:hAnsi="Arial" w:cs="Arial"/>
          <w:color w:val="505050"/>
          <w:sz w:val="23"/>
        </w:rPr>
        <w:t xml:space="preserve"> </w:t>
      </w:r>
      <w:proofErr w:type="spellStart"/>
      <w:r>
        <w:rPr>
          <w:rFonts w:ascii="Arial" w:eastAsia="Arial" w:hAnsi="Arial" w:cs="Arial"/>
          <w:color w:val="505050"/>
          <w:sz w:val="23"/>
        </w:rPr>
        <w:t>الوحيد</w:t>
      </w:r>
      <w:proofErr w:type="spellEnd"/>
      <w:r>
        <w:rPr>
          <w:rFonts w:ascii="Arial" w:eastAsia="Arial" w:hAnsi="Arial" w:cs="Arial"/>
          <w:color w:val="505050"/>
          <w:sz w:val="23"/>
        </w:rPr>
        <w:t xml:space="preserve"> الذي بُني عليه هذا الملف. تم إدراجها بصيغتها المباشرة لتسهيل الرجوع إلى المادة الأصلية.</w:t>
      </w:r>
    </w:p>
    <w:p w14:paraId="34DB490E" w14:textId="77777777" w:rsidR="00A529D3" w:rsidRDefault="00000000" w:rsidP="003069CB">
      <w:pPr>
        <w:bidi/>
        <w:spacing w:after="40" w:line="264" w:lineRule="auto"/>
      </w:pPr>
      <w:r>
        <w:rPr>
          <w:rFonts w:ascii="Arial" w:eastAsia="Arial" w:hAnsi="Arial" w:cs="Arial"/>
          <w:b/>
          <w:sz w:val="24"/>
        </w:rPr>
        <w:t>1. Turkish literature</w:t>
      </w:r>
    </w:p>
    <w:p w14:paraId="5B8E7C32" w14:textId="3FB33427" w:rsidR="00A529D3" w:rsidRDefault="00000000" w:rsidP="003069CB">
      <w:pPr>
        <w:bidi/>
        <w:spacing w:after="120" w:line="240" w:lineRule="auto"/>
      </w:pPr>
      <w:proofErr w:type="gramStart"/>
      <w:r>
        <w:rPr>
          <w:rFonts w:ascii="Arial" w:eastAsia="Arial" w:hAnsi="Arial" w:cs="Arial"/>
          <w:color w:val="0563C1"/>
          <w:sz w:val="21"/>
        </w:rPr>
        <w:t>https://www..</w:t>
      </w:r>
      <w:proofErr w:type="gramEnd"/>
      <w:r>
        <w:rPr>
          <w:rFonts w:ascii="Arial" w:eastAsia="Arial" w:hAnsi="Arial" w:cs="Arial"/>
          <w:color w:val="0563C1"/>
          <w:sz w:val="21"/>
        </w:rPr>
        <w:t>com/art/Turkish-literature</w:t>
      </w:r>
    </w:p>
    <w:p w14:paraId="043F6967" w14:textId="77777777" w:rsidR="00A529D3" w:rsidRDefault="00000000" w:rsidP="003069CB">
      <w:pPr>
        <w:bidi/>
        <w:spacing w:after="40" w:line="264" w:lineRule="auto"/>
      </w:pPr>
      <w:r>
        <w:rPr>
          <w:rFonts w:ascii="Arial" w:eastAsia="Arial" w:hAnsi="Arial" w:cs="Arial"/>
          <w:b/>
          <w:sz w:val="24"/>
        </w:rPr>
        <w:t>2. Turkish literature - Forms and genres</w:t>
      </w:r>
    </w:p>
    <w:p w14:paraId="0FBB42BA" w14:textId="58E4A212" w:rsidR="00A529D3" w:rsidRDefault="00000000" w:rsidP="003069CB">
      <w:pPr>
        <w:bidi/>
        <w:spacing w:after="120" w:line="240" w:lineRule="auto"/>
      </w:pPr>
      <w:proofErr w:type="gramStart"/>
      <w:r>
        <w:rPr>
          <w:rFonts w:ascii="Arial" w:eastAsia="Arial" w:hAnsi="Arial" w:cs="Arial"/>
          <w:color w:val="0563C1"/>
          <w:sz w:val="21"/>
        </w:rPr>
        <w:t>https://www..</w:t>
      </w:r>
      <w:proofErr w:type="gramEnd"/>
      <w:r>
        <w:rPr>
          <w:rFonts w:ascii="Arial" w:eastAsia="Arial" w:hAnsi="Arial" w:cs="Arial"/>
          <w:color w:val="0563C1"/>
          <w:sz w:val="21"/>
        </w:rPr>
        <w:t>com/art/Turkish-literature/Forms-and-genres</w:t>
      </w:r>
    </w:p>
    <w:p w14:paraId="1DFB96CA" w14:textId="77777777" w:rsidR="00A529D3" w:rsidRDefault="00000000" w:rsidP="003069CB">
      <w:pPr>
        <w:bidi/>
        <w:spacing w:after="40" w:line="264" w:lineRule="auto"/>
      </w:pPr>
      <w:r>
        <w:rPr>
          <w:rFonts w:ascii="Arial" w:eastAsia="Arial" w:hAnsi="Arial" w:cs="Arial"/>
          <w:b/>
          <w:sz w:val="24"/>
        </w:rPr>
        <w:t>3. Turkish literature - New Ottoman literature (1839-1918)</w:t>
      </w:r>
    </w:p>
    <w:p w14:paraId="57D48638" w14:textId="562A6793" w:rsidR="00A529D3" w:rsidRDefault="00000000" w:rsidP="003069CB">
      <w:pPr>
        <w:bidi/>
        <w:spacing w:after="120" w:line="240" w:lineRule="auto"/>
      </w:pPr>
      <w:proofErr w:type="gramStart"/>
      <w:r>
        <w:rPr>
          <w:rFonts w:ascii="Arial" w:eastAsia="Arial" w:hAnsi="Arial" w:cs="Arial"/>
          <w:color w:val="0563C1"/>
          <w:sz w:val="21"/>
        </w:rPr>
        <w:t>https://www..</w:t>
      </w:r>
      <w:proofErr w:type="gramEnd"/>
      <w:r>
        <w:rPr>
          <w:rFonts w:ascii="Arial" w:eastAsia="Arial" w:hAnsi="Arial" w:cs="Arial"/>
          <w:color w:val="0563C1"/>
          <w:sz w:val="21"/>
        </w:rPr>
        <w:t>com/art/Turkish-literature/New-Ottoman-literature-1839-1918</w:t>
      </w:r>
    </w:p>
    <w:p w14:paraId="0F2DED16" w14:textId="77777777" w:rsidR="00A529D3" w:rsidRDefault="00000000" w:rsidP="003069CB">
      <w:pPr>
        <w:bidi/>
        <w:spacing w:after="40" w:line="264" w:lineRule="auto"/>
      </w:pPr>
      <w:r>
        <w:rPr>
          <w:rFonts w:ascii="Arial" w:eastAsia="Arial" w:hAnsi="Arial" w:cs="Arial"/>
          <w:b/>
          <w:sz w:val="24"/>
        </w:rPr>
        <w:t>4. Islamic arts - Turkish literature</w:t>
      </w:r>
    </w:p>
    <w:p w14:paraId="6FED1731" w14:textId="33D466D8" w:rsidR="00A529D3" w:rsidRDefault="00000000" w:rsidP="003069CB">
      <w:pPr>
        <w:bidi/>
        <w:spacing w:after="120" w:line="240" w:lineRule="auto"/>
      </w:pPr>
      <w:proofErr w:type="gramStart"/>
      <w:r>
        <w:rPr>
          <w:rFonts w:ascii="Arial" w:eastAsia="Arial" w:hAnsi="Arial" w:cs="Arial"/>
          <w:color w:val="0563C1"/>
          <w:sz w:val="21"/>
        </w:rPr>
        <w:t>https://www..</w:t>
      </w:r>
      <w:proofErr w:type="gramEnd"/>
      <w:r>
        <w:rPr>
          <w:rFonts w:ascii="Arial" w:eastAsia="Arial" w:hAnsi="Arial" w:cs="Arial"/>
          <w:color w:val="0563C1"/>
          <w:sz w:val="21"/>
        </w:rPr>
        <w:t>com/topic/Islamic-arts/Turkish-literature</w:t>
      </w:r>
    </w:p>
    <w:p w14:paraId="759FA776" w14:textId="77777777" w:rsidR="00A529D3" w:rsidRDefault="00000000" w:rsidP="003069CB">
      <w:pPr>
        <w:bidi/>
        <w:spacing w:after="40" w:line="264" w:lineRule="auto"/>
      </w:pPr>
      <w:r>
        <w:rPr>
          <w:rFonts w:ascii="Arial" w:eastAsia="Arial" w:hAnsi="Arial" w:cs="Arial"/>
          <w:b/>
          <w:sz w:val="24"/>
        </w:rPr>
        <w:t>5. Islamic arts - Decentralization of Islamic literatures</w:t>
      </w:r>
    </w:p>
    <w:p w14:paraId="08E85308" w14:textId="767A2A48" w:rsidR="00A529D3" w:rsidRDefault="00000000" w:rsidP="003069CB">
      <w:pPr>
        <w:bidi/>
        <w:spacing w:after="120" w:line="240" w:lineRule="auto"/>
      </w:pPr>
      <w:proofErr w:type="gramStart"/>
      <w:r>
        <w:rPr>
          <w:rFonts w:ascii="Arial" w:eastAsia="Arial" w:hAnsi="Arial" w:cs="Arial"/>
          <w:color w:val="0563C1"/>
          <w:sz w:val="21"/>
        </w:rPr>
        <w:t>https://www..</w:t>
      </w:r>
      <w:proofErr w:type="gramEnd"/>
      <w:r>
        <w:rPr>
          <w:rFonts w:ascii="Arial" w:eastAsia="Arial" w:hAnsi="Arial" w:cs="Arial"/>
          <w:color w:val="0563C1"/>
          <w:sz w:val="21"/>
        </w:rPr>
        <w:t>com/topic/Islamic-arts/Decentralization-of-Islamic-literatures</w:t>
      </w:r>
    </w:p>
    <w:sectPr w:rsidR="00A529D3" w:rsidSect="00034616">
      <w:footerReference w:type="default" r:id="rId8"/>
      <w:pgSz w:w="12240" w:h="15840"/>
      <w:pgMar w:top="1247" w:right="1247" w:bottom="1134"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F4B8C3" w14:textId="77777777" w:rsidR="00F40BCE" w:rsidRDefault="00F40BCE">
      <w:pPr>
        <w:spacing w:after="0" w:line="240" w:lineRule="auto"/>
      </w:pPr>
      <w:r>
        <w:separator/>
      </w:r>
    </w:p>
  </w:endnote>
  <w:endnote w:type="continuationSeparator" w:id="0">
    <w:p w14:paraId="4C539620" w14:textId="77777777" w:rsidR="00F40BCE" w:rsidRDefault="00F40B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09991B" w14:textId="11B5FA3A" w:rsidR="00A529D3" w:rsidRDefault="00A529D3">
    <w:pPr>
      <w:pStyle w:val="Footer"/>
      <w:bidi/>
      <w:jc w:val="center"/>
      <w:rPr>
        <w:rFonts w:hint="cs"/>
        <w:rtl/>
        <w:lang w:bidi="ar-EG"/>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90012E" w14:textId="77777777" w:rsidR="00F40BCE" w:rsidRDefault="00F40BCE">
      <w:pPr>
        <w:spacing w:after="0" w:line="240" w:lineRule="auto"/>
      </w:pPr>
      <w:r>
        <w:separator/>
      </w:r>
    </w:p>
  </w:footnote>
  <w:footnote w:type="continuationSeparator" w:id="0">
    <w:p w14:paraId="3F99FC01" w14:textId="77777777" w:rsidR="00F40BCE" w:rsidRDefault="00F40BC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4033617">
    <w:abstractNumId w:val="8"/>
  </w:num>
  <w:num w:numId="2" w16cid:durableId="1329208797">
    <w:abstractNumId w:val="6"/>
  </w:num>
  <w:num w:numId="3" w16cid:durableId="844436703">
    <w:abstractNumId w:val="5"/>
  </w:num>
  <w:num w:numId="4" w16cid:durableId="216279248">
    <w:abstractNumId w:val="4"/>
  </w:num>
  <w:num w:numId="5" w16cid:durableId="757748828">
    <w:abstractNumId w:val="7"/>
  </w:num>
  <w:num w:numId="6" w16cid:durableId="2019388325">
    <w:abstractNumId w:val="3"/>
  </w:num>
  <w:num w:numId="7" w16cid:durableId="1242180338">
    <w:abstractNumId w:val="2"/>
  </w:num>
  <w:num w:numId="8" w16cid:durableId="292054701">
    <w:abstractNumId w:val="1"/>
  </w:num>
  <w:num w:numId="9" w16cid:durableId="9142420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069CB"/>
    <w:rsid w:val="00326F90"/>
    <w:rsid w:val="004E27D6"/>
    <w:rsid w:val="00A529D3"/>
    <w:rsid w:val="00AA1D8D"/>
    <w:rsid w:val="00B47730"/>
    <w:rsid w:val="00C21F08"/>
    <w:rsid w:val="00CB0664"/>
    <w:rsid w:val="00F40BC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C5A776"/>
  <w14:defaultImageDpi w14:val="300"/>
  <w15:docId w15:val="{5D623201-B409-4C1C-AB0B-61B0A68007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840</Words>
  <Characters>4791</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pc</cp:lastModifiedBy>
  <cp:revision>3</cp:revision>
  <dcterms:created xsi:type="dcterms:W3CDTF">2013-12-23T23:15:00Z</dcterms:created>
  <dcterms:modified xsi:type="dcterms:W3CDTF">2026-04-07T14:21:00Z</dcterms:modified>
  <cp:category/>
</cp:coreProperties>
</file>