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64315" w14:textId="77777777" w:rsidR="00C46718" w:rsidRDefault="00C46718">
      <w:pPr>
        <w:spacing w:after="400"/>
      </w:pPr>
    </w:p>
    <w:p w14:paraId="35386C46" w14:textId="77777777" w:rsidR="00C46718" w:rsidRDefault="006966BB">
      <w:pPr>
        <w:bidi/>
        <w:spacing w:after="160"/>
        <w:jc w:val="center"/>
      </w:pPr>
      <w:r>
        <w:rPr>
          <w:i/>
          <w:iCs/>
          <w:color w:val="5A5A5A"/>
        </w:rPr>
        <w:t>بحث أكاديمي</w:t>
      </w:r>
    </w:p>
    <w:p w14:paraId="509E85A2" w14:textId="77777777" w:rsidR="00C46718" w:rsidRDefault="006966BB">
      <w:pPr>
        <w:bidi/>
        <w:spacing w:after="240"/>
        <w:jc w:val="center"/>
      </w:pPr>
      <w:r>
        <w:rPr>
          <w:b/>
          <w:bCs/>
          <w:color w:val="1F3864"/>
          <w:sz w:val="48"/>
          <w:szCs w:val="48"/>
        </w:rPr>
        <w:t>تاريخ أوروبا القديم والحديث</w:t>
      </w:r>
    </w:p>
    <w:p w14:paraId="6C796746" w14:textId="77777777" w:rsidR="00C46718" w:rsidRDefault="00C46718">
      <w:pPr>
        <w:pBdr>
          <w:bottom w:val="single" w:sz="6" w:space="1" w:color="C0C0C0"/>
        </w:pBdr>
        <w:spacing w:before="200" w:after="200"/>
      </w:pPr>
    </w:p>
    <w:p w14:paraId="087BD6F4" w14:textId="77777777" w:rsidR="00C46718" w:rsidRDefault="006966BB">
      <w:pPr>
        <w:bidi/>
        <w:spacing w:before="300" w:after="120"/>
        <w:jc w:val="center"/>
      </w:pPr>
      <w:r>
        <w:rPr>
          <w:b/>
          <w:bCs/>
          <w:color w:val="2E75B6"/>
          <w:sz w:val="32"/>
          <w:szCs w:val="32"/>
        </w:rPr>
        <w:t>الفصل الثاني</w:t>
      </w:r>
    </w:p>
    <w:p w14:paraId="11F1FF1F" w14:textId="77777777" w:rsidR="00C46718" w:rsidRDefault="006966BB">
      <w:pPr>
        <w:bidi/>
        <w:spacing w:after="600"/>
        <w:jc w:val="center"/>
      </w:pPr>
      <w:r>
        <w:rPr>
          <w:b/>
          <w:bCs/>
          <w:color w:val="1F3864"/>
          <w:sz w:val="40"/>
          <w:szCs w:val="40"/>
        </w:rPr>
        <w:t>أوروبا في العصر المعدني القديم</w:t>
      </w:r>
    </w:p>
    <w:p w14:paraId="0BD50FBF" w14:textId="77777777" w:rsidR="00C46718" w:rsidRDefault="00C46718">
      <w:pPr>
        <w:spacing w:after="800"/>
      </w:pPr>
    </w:p>
    <w:p w14:paraId="07C9D0CE" w14:textId="77777777" w:rsidR="00C46718" w:rsidRPr="007850D2" w:rsidRDefault="006966BB" w:rsidP="007850D2">
      <w:pPr>
        <w:pStyle w:val="Heading1"/>
        <w:bidi w:val="0"/>
      </w:pPr>
      <w:r w:rsidRPr="007850D2">
        <w:t>مقدمة الفصل</w:t>
      </w:r>
    </w:p>
    <w:p w14:paraId="645C2E13" w14:textId="77777777" w:rsidR="00C46718" w:rsidRPr="007850D2" w:rsidRDefault="006966BB" w:rsidP="007850D2">
      <w:pPr>
        <w:spacing w:after="200" w:line="360" w:lineRule="auto"/>
        <w:jc w:val="right"/>
        <w:rPr>
          <w:b/>
          <w:bCs/>
        </w:rPr>
      </w:pPr>
      <w:r w:rsidRPr="007850D2">
        <w:rPr>
          <w:b/>
          <w:bCs/>
          <w:color w:val="000000"/>
        </w:rPr>
        <w:t>إذا كان الفصل الأول قد أخذنا في رحلة عميقة إلى أعماق الزمن الأوروبي السحيق، حيث كانت أدوات الصوّان وجدران الكهوف الموشومة بالرسوم شواهدَ التحضّر الأولى، فإن هذا الفصل الثاني يُفتح على عالم جديد كليًا: عالم يلمع فيه النحاس في الأيدي البشرية للمرة الأولى، ويدوّي فيه الطرق على السندان، وتنشأ فيه تراتبيات اجتماعية لم تعرفها القرى الحجرية في مرحلتها السابقة. إنه عصر المعادن، الحقبة التي حوّلت أوروبا من قارة قرى نيوليتية متناثرة إلى قارة شبكات تجارية وقوى سياسية وثقافات حضرية آخذة في التشكّل.</w:t>
      </w:r>
    </w:p>
    <w:p w14:paraId="3F60746E" w14:textId="77777777" w:rsidR="00C46718" w:rsidRPr="007850D2" w:rsidRDefault="006966BB" w:rsidP="007850D2">
      <w:pPr>
        <w:spacing w:after="200" w:line="360" w:lineRule="auto"/>
        <w:jc w:val="right"/>
        <w:rPr>
          <w:b/>
          <w:bCs/>
        </w:rPr>
      </w:pPr>
      <w:r w:rsidRPr="007850D2">
        <w:rPr>
          <w:b/>
          <w:bCs/>
          <w:color w:val="000000"/>
        </w:rPr>
        <w:t>تبدأ قصة المعادن في أوروبا قبل نحو 4,500 سنة قبل الميلاد بأولى تجارب تشغيل النحاس في منطقة البلقان وشبه الجزيرة الأيبيرية، مرورًا بعصر البرونز الذهبي (نحو 3,300 - 1,200 ق.م) الذي شهد ذروة الثراء والتبادل والفن والبنية الاجتماعية المعقّدة، وصولًا إلى عصر الحديد (نحو 1,200 ق.م - الفتح الروماني) الذي أعاد توزيع القوة والثروة على نطاق قاري واسع. وتتقاطع خلال هذه الألفيات الثلاث خيوط متعددة: فن الحرب، وتطوّر الأدوات الزراعية، ونشأة المدن والتجمعات الكبرى، والهجرات والغزوات، والتبادل التجاري بين حضارات البحر الأب</w:t>
      </w:r>
      <w:r w:rsidRPr="007850D2">
        <w:rPr>
          <w:b/>
          <w:bCs/>
          <w:color w:val="000000"/>
        </w:rPr>
        <w:t>يض المتوسط وأوروبا الداخلية.</w:t>
      </w:r>
    </w:p>
    <w:p w14:paraId="725F7E85" w14:textId="77777777" w:rsidR="00C46718" w:rsidRPr="007850D2" w:rsidRDefault="006966BB" w:rsidP="007850D2">
      <w:pPr>
        <w:spacing w:after="200" w:line="360" w:lineRule="auto"/>
        <w:jc w:val="right"/>
        <w:rPr>
          <w:b/>
          <w:bCs/>
        </w:rPr>
      </w:pPr>
      <w:r w:rsidRPr="007850D2">
        <w:rPr>
          <w:b/>
          <w:bCs/>
          <w:color w:val="000000"/>
        </w:rPr>
        <w:t>ويتصدّى هذا الفصل لمهمة استعراض هذه المراحل في سياقها الزمني والجغرافي، مع التركيز على أثر المعادن في إعادة تشكيل المجتمعات الأوروبية على الأصعدة الاقتصادية والسياسية والعسكرية والثقافية كافة. وتُشكّل الحقبة المعدنية الأوروبية الجسرَ الأساسي الذي عبرت عليه هذه القارة من دنيا ما قبل التاريخ إلى رحاب التاريخ المكتوب والحضارة الكلاسيكية التي ستُناولها الفصول اللاحقة.</w:t>
      </w:r>
    </w:p>
    <w:p w14:paraId="548596FF" w14:textId="77777777" w:rsidR="00C46718" w:rsidRPr="007850D2" w:rsidRDefault="00C46718" w:rsidP="007850D2">
      <w:pPr>
        <w:spacing w:after="200"/>
        <w:rPr>
          <w:b/>
          <w:bCs/>
        </w:rPr>
      </w:pPr>
    </w:p>
    <w:p w14:paraId="23FE9705" w14:textId="77777777" w:rsidR="00C46718" w:rsidRPr="007850D2" w:rsidRDefault="006966BB" w:rsidP="007850D2">
      <w:pPr>
        <w:pStyle w:val="Heading2"/>
        <w:pBdr>
          <w:bottom w:val="single" w:sz="4" w:space="1" w:color="2E75B6"/>
        </w:pBdr>
        <w:bidi w:val="0"/>
      </w:pPr>
      <w:r w:rsidRPr="007850D2">
        <w:t>أولًا: عصر النحاس - فجر المعادن في أوروبا (4,500 - 3,300 ق.م)</w:t>
      </w:r>
    </w:p>
    <w:p w14:paraId="78F4613F" w14:textId="77777777" w:rsidR="00C46718" w:rsidRPr="007850D2" w:rsidRDefault="006966BB" w:rsidP="007850D2">
      <w:pPr>
        <w:pStyle w:val="Heading3"/>
        <w:bidi w:val="0"/>
      </w:pPr>
      <w:r w:rsidRPr="007850D2">
        <w:lastRenderedPageBreak/>
        <w:t>1. أصول معرفة المعادن الأوروبية</w:t>
      </w:r>
    </w:p>
    <w:p w14:paraId="5243A433" w14:textId="77777777" w:rsidR="00C46718" w:rsidRPr="007850D2" w:rsidRDefault="006966BB" w:rsidP="007850D2">
      <w:pPr>
        <w:spacing w:after="200" w:line="360" w:lineRule="auto"/>
        <w:jc w:val="right"/>
        <w:rPr>
          <w:b/>
          <w:bCs/>
        </w:rPr>
      </w:pPr>
      <w:r w:rsidRPr="007850D2">
        <w:rPr>
          <w:b/>
          <w:bCs/>
          <w:color w:val="000000"/>
        </w:rPr>
        <w:t>قبل أن يعرف الإنسان الأوروبي البرونز أو الحديد، كانت ثمة مرحلة انتقالية طويلة يُطلق عليها علماء الآثار عصر النحاس أو الكالكوليتيك (Chalcolithic)، وأحيانًا العصر الحجري النحاسي (Copper-Stone Age). وتمتد هذه الحقبة من نحو 4,500 ق.م إلى بداية عصر البرونز حول 3,300 ق.م، وهي تُمثّل اللحظة التي شرع فيها الإنسان الأوروبي لأول مرة في استخراج معدن طبيعي وتشكيله بالتسخين والطرق.</w:t>
      </w:r>
    </w:p>
    <w:p w14:paraId="07FF0B2D" w14:textId="77777777" w:rsidR="00C46718" w:rsidRPr="007850D2" w:rsidRDefault="006966BB" w:rsidP="007850D2">
      <w:pPr>
        <w:spacing w:after="200" w:line="360" w:lineRule="auto"/>
        <w:jc w:val="right"/>
        <w:rPr>
          <w:b/>
          <w:bCs/>
        </w:rPr>
      </w:pPr>
      <w:r w:rsidRPr="007850D2">
        <w:rPr>
          <w:b/>
          <w:bCs/>
          <w:color w:val="000000"/>
        </w:rPr>
        <w:t>كانت أولى تجارب التعدين في أوروبا تقوم على نحاس "الطبيعة" أي الصخور النحاسية الطبيعية التي يمكن طرقها على البارد لتشكيلها دون حاجة إلى صهر. ومع تطوّر المعرفة، اكتشف البشر أن تسخين خام النحاس إلى درجات حرارة عالية يُتيح صبّه في قوالب وتشكيله بمرونة لم تتح فيها الأحجار. وتُعدّ منطقة البلقان، ولا سيّما المناطق التي تشكّل اليوم صربيا وبلغاريا ورومانيا، من أقدم مراكز تعدين النحاس الموثّقة في أوروبا وربما في العالم.</w:t>
      </w:r>
    </w:p>
    <w:p w14:paraId="5E5C7E3C" w14:textId="77777777" w:rsidR="00C46718" w:rsidRPr="007850D2" w:rsidRDefault="006966BB" w:rsidP="007850D2">
      <w:pPr>
        <w:pStyle w:val="Heading3"/>
        <w:bidi w:val="0"/>
      </w:pPr>
      <w:r w:rsidRPr="007850D2">
        <w:t>2. موقع فينشا ومناجم رودنا وجبل غوبنيك</w:t>
      </w:r>
    </w:p>
    <w:p w14:paraId="1D63A92D" w14:textId="77777777" w:rsidR="00C46718" w:rsidRPr="007850D2" w:rsidRDefault="006966BB" w:rsidP="007850D2">
      <w:pPr>
        <w:spacing w:after="200" w:line="360" w:lineRule="auto"/>
        <w:jc w:val="right"/>
        <w:rPr>
          <w:b/>
          <w:bCs/>
        </w:rPr>
      </w:pPr>
      <w:r w:rsidRPr="007850D2">
        <w:rPr>
          <w:b/>
          <w:bCs/>
          <w:color w:val="000000"/>
        </w:rPr>
        <w:t>يحتلّ موقع فينشا (Vinča) قرب بلغراد مكانةً استثنائية في دراسة فجر عصر المعادن الأوروبي؛ فقد كشفت حفريات هذا الموقع الذي ازدهر بين 5,400 و4,500 ق.م عن إرهاصات مبكّرة جدًا لمعرفة المعادن، وعن ختم طيني به رموز تُعدّ من بين أقدم الكتابات الرمزية في العالم، رغم أنها لا تزال محلّ جدل أكاديمي حول طبيعتها الكتابية الحقيقية. وقد تميّزت ثقافة فينشا بتماثيل خزفية بشرية أنثوية دقيقة الصنعة تُعبّر عن حساسية فنية رفيعة.</w:t>
      </w:r>
    </w:p>
    <w:p w14:paraId="135DF3F9" w14:textId="77777777" w:rsidR="00C46718" w:rsidRPr="007850D2" w:rsidRDefault="006966BB" w:rsidP="007850D2">
      <w:pPr>
        <w:spacing w:after="200" w:line="360" w:lineRule="auto"/>
        <w:jc w:val="right"/>
        <w:rPr>
          <w:b/>
          <w:bCs/>
        </w:rPr>
      </w:pPr>
      <w:r w:rsidRPr="007850D2">
        <w:rPr>
          <w:b/>
          <w:bCs/>
          <w:color w:val="000000"/>
        </w:rPr>
        <w:t xml:space="preserve">على بُعد نحو ستة وعشرين كيلومترًا من بلدة بور الصربية، تقع مناجم رودنا (Rudna Glava) التي يُرجَّح أنها من أقدم مناجم النحاس التجارية في العالم، إذ تعود شواهدها الأثرية إلى نحو 4,500 ق.م. واكتُشفت في هذه المناجم أنفاق محفورة بأدوات حجرية ووعاء فخاري مليء بالأصداف المحلية كانت ربما تُستخدم هدايا أو طقوسًا للحصول على بركة الأرض قبل الحفر. أما في بلغاريا، فيُمثّل موقع Ai Bunar للمناجم النحاسية نموذجًا لاستخراج منظّم للنحاس قبل 4,000 ق.م، كما تكشف مقبرة Varna (نحو 4,600 - 4,200 ق.م) في بلغاريا عن أقدم ذهب مشغول </w:t>
      </w:r>
      <w:r w:rsidRPr="007850D2">
        <w:rPr>
          <w:b/>
          <w:bCs/>
          <w:color w:val="000000"/>
        </w:rPr>
        <w:t>في التاريخ مع تراتبية اجتماعية صارخة في توزيع الثروة المدفونة.</w:t>
      </w:r>
    </w:p>
    <w:p w14:paraId="16655C05" w14:textId="77777777" w:rsidR="00C46718" w:rsidRPr="007850D2" w:rsidRDefault="006966BB" w:rsidP="007850D2">
      <w:pPr>
        <w:pStyle w:val="Heading3"/>
        <w:bidi w:val="0"/>
      </w:pPr>
      <w:r w:rsidRPr="007850D2">
        <w:t>3. عصر النحاس في أيبيريا ووسط أوروبا</w:t>
      </w:r>
    </w:p>
    <w:p w14:paraId="4987E702" w14:textId="77777777" w:rsidR="00C46718" w:rsidRPr="007850D2" w:rsidRDefault="006966BB" w:rsidP="007850D2">
      <w:pPr>
        <w:spacing w:after="200" w:line="360" w:lineRule="auto"/>
        <w:jc w:val="right"/>
        <w:rPr>
          <w:b/>
          <w:bCs/>
        </w:rPr>
      </w:pPr>
      <w:r w:rsidRPr="007850D2">
        <w:rPr>
          <w:b/>
          <w:bCs/>
          <w:color w:val="000000"/>
        </w:rPr>
        <w:t>في شبه الجزيرة الأيبيرية، شهدت الفترة بين 3,200 و2,300 ق.م ازدهار ثقافة Los Millares في جنوب شرق إسبانيا، المسمّاة بموقعها الأثري الرئيسي قرب ألميريا الذي يضمّ تحصينات حجرية مُدهشة ومقابر جماعية دائرية (tholoi). وقد كانت هذه المجتمعات تُشغّل النحاس على نطاق واسع وتُصدّره عبر شبكات تجارية أيبيرية - متوسطية. ويشير وجود ألواح خزفية بزخارف عيون غريبة في مقابرها إلى أيديولوجيا دينية متطوّرة ربما ارتبطت بحماية الموتى في عالم الآخرة.</w:t>
      </w:r>
    </w:p>
    <w:p w14:paraId="7DB62498" w14:textId="77777777" w:rsidR="00C46718" w:rsidRPr="007850D2" w:rsidRDefault="006966BB" w:rsidP="007850D2">
      <w:pPr>
        <w:spacing w:after="200" w:line="360" w:lineRule="auto"/>
        <w:jc w:val="right"/>
        <w:rPr>
          <w:b/>
          <w:bCs/>
        </w:rPr>
      </w:pPr>
      <w:r w:rsidRPr="007850D2">
        <w:rPr>
          <w:b/>
          <w:bCs/>
          <w:color w:val="000000"/>
        </w:rPr>
        <w:t xml:space="preserve">وفي وسط أوروبا، ارتبطت ثقافة Funnel Beaker المتأخرة وثقافة Baden (3,600 - 2,800 ق.م) في منطقة حوض الدانوب بإنتاج نحاسي متنامٍ، في حين دخلت شعوب السهوب البونطية-القزوينية (ثقافة Yamnaya) من الشرق بين 3,500 و2,500 ق.م حاملةً معها تقنيات جديدة وخيول تحوّل مفهوم التنقّل والحرب إلى الأبد. وسيظهر </w:t>
      </w:r>
      <w:r w:rsidRPr="007850D2">
        <w:rPr>
          <w:b/>
          <w:bCs/>
          <w:color w:val="000000"/>
        </w:rPr>
        <w:lastRenderedPageBreak/>
        <w:t>لاحقًا أن هذه الهجرة الياميا غيّرت التركيبة الجينية لسكان أوروبا الغربية بشكل جذري وفق ما تكشفه دراسات الحمض النووي القديم الحديثة.</w:t>
      </w:r>
    </w:p>
    <w:p w14:paraId="4FA6D880" w14:textId="77777777" w:rsidR="00C46718" w:rsidRPr="007850D2" w:rsidRDefault="00C46718" w:rsidP="007850D2">
      <w:pPr>
        <w:spacing w:after="200"/>
        <w:rPr>
          <w:b/>
          <w:bCs/>
        </w:rPr>
      </w:pPr>
    </w:p>
    <w:p w14:paraId="4ECC74F3" w14:textId="77777777" w:rsidR="00C46718" w:rsidRPr="007850D2" w:rsidRDefault="006966BB" w:rsidP="007850D2">
      <w:pPr>
        <w:pStyle w:val="Heading2"/>
        <w:pBdr>
          <w:bottom w:val="single" w:sz="4" w:space="1" w:color="2E75B6"/>
        </w:pBdr>
        <w:bidi w:val="0"/>
      </w:pPr>
      <w:r w:rsidRPr="007850D2">
        <w:t>ثانيًا: العصر البرونزي الأوروبي - الذهب والسيوف والتجارة (3,300 - 1,200 ق.م)</w:t>
      </w:r>
    </w:p>
    <w:p w14:paraId="14AF6EF0" w14:textId="77777777" w:rsidR="00C46718" w:rsidRPr="007850D2" w:rsidRDefault="006966BB" w:rsidP="007850D2">
      <w:pPr>
        <w:pStyle w:val="Heading3"/>
        <w:bidi w:val="0"/>
      </w:pPr>
      <w:r w:rsidRPr="007850D2">
        <w:t>1. نشأة البرونز وأسراره التقنية</w:t>
      </w:r>
    </w:p>
    <w:p w14:paraId="293FACCE" w14:textId="77777777" w:rsidR="00C46718" w:rsidRPr="007850D2" w:rsidRDefault="006966BB" w:rsidP="007850D2">
      <w:pPr>
        <w:spacing w:after="200" w:line="360" w:lineRule="auto"/>
        <w:jc w:val="right"/>
        <w:rPr>
          <w:b/>
          <w:bCs/>
        </w:rPr>
      </w:pPr>
      <w:r w:rsidRPr="007850D2">
        <w:rPr>
          <w:b/>
          <w:bCs/>
          <w:color w:val="000000"/>
        </w:rPr>
        <w:t>البرونز سبيكة من النحاس والقصدير بنسبة تتراوح عادةً بين 10% و12% من القصدير، وهي سبيكة تتفوّق على النحاس الخالص في الصلابة والحدّة وسهولة الصبّ. غير أن ما يجعل البرونز مثيرًا للاهتمام من منظور تاريخي ليس تركيبته الكيميائية فحسب، بل الحقيقة أن المواد اللازمة لصنعه نادرًا ما توجد معًا في موقع جغرافي واحد: فخام النحاس متوفّر في قبرص والبلقان وإسبانيا وبريطانيا، في حين يوجد خام القصدير بصورة رئيسية في كورنوال البريطانية وبريتاني الفرنسية وشبه جزيرة أيبيريا. وهذا التباين الجغرافي هو الذي دفع إلى نشأة شبكات تجارة</w:t>
      </w:r>
      <w:r w:rsidRPr="007850D2">
        <w:rPr>
          <w:b/>
          <w:bCs/>
          <w:color w:val="000000"/>
        </w:rPr>
        <w:t xml:space="preserve"> بعيدة المدى غير مسبوقة في تاريخ البشرية.</w:t>
      </w:r>
    </w:p>
    <w:p w14:paraId="0AD5167C" w14:textId="77777777" w:rsidR="00C46718" w:rsidRPr="007850D2" w:rsidRDefault="006966BB" w:rsidP="007850D2">
      <w:pPr>
        <w:spacing w:after="200" w:line="360" w:lineRule="auto"/>
        <w:jc w:val="right"/>
        <w:rPr>
          <w:b/>
          <w:bCs/>
        </w:rPr>
      </w:pPr>
      <w:r w:rsidRPr="007850D2">
        <w:rPr>
          <w:b/>
          <w:bCs/>
          <w:color w:val="000000"/>
        </w:rPr>
        <w:t>ترتبط أولى شواهد البرونز الأوروبي الموثّقة بمنطقة بحر إيجة والأناضول حول 3,300 ق.م، ومنها انتشرت المعرفة تدريجيًا نحو الغرب والشمال. وقد ميّز علماء الآثار بين ثلاث مراحل رئيسية للعصر البرونزي الأوروبي: المبكّر (3,300 - 2,000 ق.م)، والوسيط (2,000 - 1,500 ق.م)، والمتأخر (1,500 - 1,200 ق.م). ولكلٍّ من هذه المراحل سماتها الثقافية والأثرية الخاصة، وإن كانت تشترك جميعها في حضور البرونز أداةً للقوة والثروة والهيبة الاجتماعية.</w:t>
      </w:r>
    </w:p>
    <w:p w14:paraId="2BCC36A4" w14:textId="77777777" w:rsidR="00C46718" w:rsidRPr="007850D2" w:rsidRDefault="006966BB" w:rsidP="007850D2">
      <w:pPr>
        <w:pStyle w:val="Heading3"/>
        <w:bidi w:val="0"/>
      </w:pPr>
      <w:r w:rsidRPr="007850D2">
        <w:t>2. ثقافات العصر البرونزي الكبرى</w:t>
      </w:r>
    </w:p>
    <w:p w14:paraId="5458EFC5" w14:textId="77777777" w:rsidR="00C46718" w:rsidRPr="007850D2" w:rsidRDefault="006966BB" w:rsidP="007850D2">
      <w:pPr>
        <w:spacing w:after="200" w:line="360" w:lineRule="auto"/>
        <w:jc w:val="right"/>
        <w:rPr>
          <w:b/>
          <w:bCs/>
        </w:rPr>
      </w:pPr>
      <w:r w:rsidRPr="007850D2">
        <w:rPr>
          <w:b/>
          <w:bCs/>
          <w:color w:val="000000"/>
        </w:rPr>
        <w:t>تُعدّ ثقافة الأواني الجرسية (Bell Beaker Culture) من أكثر ظواهر العصر البرونزي المبكّر إثارةً للتساؤل، إذ انتشرت بين 2,800 و1,800 ق.م عبر مساحة قارية شاسعة من جزر البريطانية غربًا حتى سهول بولندا شرقًا. وتتميّز هذه الثقافة بأواني فخارية جرسية الشكل ذات زخارف شريطية أفقية، دُفنت مع موتاها في مقابر فردية تحتوي على عدة عناصر ثابتة: الوعاء الجرسي وقوس ومنجل ويارق معدني وأحيانًا ألواح حجرية دقيقة يُعتقد أنها شافطات للسهم. ويرى بعض الباحثين أنها تُعبّر عن حزمة ثقافية - ربما ارتبطت بممارسات شرب الجعة الطقسية - انت</w:t>
      </w:r>
      <w:r w:rsidRPr="007850D2">
        <w:rPr>
          <w:b/>
          <w:bCs/>
          <w:color w:val="000000"/>
        </w:rPr>
        <w:t>شرت عبر التقليد لا الغزو.</w:t>
      </w:r>
    </w:p>
    <w:p w14:paraId="72F32943" w14:textId="77777777" w:rsidR="00C46718" w:rsidRPr="007850D2" w:rsidRDefault="006966BB" w:rsidP="007850D2">
      <w:pPr>
        <w:spacing w:after="200" w:line="360" w:lineRule="auto"/>
        <w:jc w:val="right"/>
        <w:rPr>
          <w:b/>
          <w:bCs/>
        </w:rPr>
      </w:pPr>
      <w:r w:rsidRPr="007850D2">
        <w:rPr>
          <w:b/>
          <w:bCs/>
          <w:color w:val="000000"/>
        </w:rPr>
        <w:t>ومن أبرز ثقافات العصر البرونزي الأوروبي ثقافة أونيتيتسه (Únětice) التي ازدهرت في وسط أوروبا بين 2,300 و1,600 ق.م في منطقة بوهيميا وألمانيا الحالية. وقد أنتجت هذه الثقافة أسلحة وأدوات برونزية راقية التصنيع، وكنوز معدنية ضخمة كـ"كنز نيبرا" الذي يتضمّن قرص السماء الشهير المرصّع بالذهب والذي يعود إلى نحو 1,600 ق.م، وهو أقدم تمثيل فلكي موثّق في العالم يُصوّر قرصًا شمسيًا وهلالًا ومجموعة الثريا. ويُظهر هذا الكنز مستوى من التفكير الفلكي الزراعي بالغ التطور.</w:t>
      </w:r>
    </w:p>
    <w:p w14:paraId="7582E13A" w14:textId="77777777" w:rsidR="00C46718" w:rsidRPr="007850D2" w:rsidRDefault="006966BB" w:rsidP="007850D2">
      <w:pPr>
        <w:spacing w:after="200" w:line="360" w:lineRule="auto"/>
        <w:jc w:val="right"/>
        <w:rPr>
          <w:b/>
          <w:bCs/>
        </w:rPr>
      </w:pPr>
      <w:r w:rsidRPr="007850D2">
        <w:rPr>
          <w:b/>
          <w:bCs/>
          <w:color w:val="000000"/>
        </w:rPr>
        <w:t xml:space="preserve">في جنوب شرق أوروبا وجزيرة قبرص وشبه جزيرة اليونان، أفرزت حضارة الأيجيه - ولا سيما حضارة كريت الميناوية (2,700 - 1,450 ق.م) والحضارة الميسينية (1,600 - 1,100 ق.م) - أكثر تجليات العصر البرونزي </w:t>
      </w:r>
      <w:r w:rsidRPr="007850D2">
        <w:rPr>
          <w:b/>
          <w:bCs/>
          <w:color w:val="000000"/>
        </w:rPr>
        <w:lastRenderedPageBreak/>
        <w:t>الأوروبي إبهارًا. فكريت الميناوية بقصورها المتاهية كقصر كنوسوس الذي يمتد على مساحة 22,000 متر مربع وبه خمسة طوابق، وبلوحاتها الجدارية الملوّنة وتجارتها البحرية المتوسطية الواسعة، كانت مركزًا حضاريًا لا نظير له في أوروبا عصرها. وقد خلّفت الكتابة الخطية أ (Linear A) التي لا يزال فكّ رموزها يُعجز الباحثين حتى اليوم.</w:t>
      </w:r>
    </w:p>
    <w:p w14:paraId="390771DF" w14:textId="77777777" w:rsidR="00C46718" w:rsidRPr="007850D2" w:rsidRDefault="006966BB" w:rsidP="007850D2">
      <w:pPr>
        <w:pStyle w:val="Heading3"/>
        <w:bidi w:val="0"/>
      </w:pPr>
      <w:r w:rsidRPr="007850D2">
        <w:t>3. شبكات التجارة البرونزية الكبرى</w:t>
      </w:r>
    </w:p>
    <w:p w14:paraId="6DA83EF7" w14:textId="77777777" w:rsidR="00C46718" w:rsidRPr="007850D2" w:rsidRDefault="006966BB" w:rsidP="007850D2">
      <w:pPr>
        <w:spacing w:after="200" w:line="360" w:lineRule="auto"/>
        <w:jc w:val="right"/>
        <w:rPr>
          <w:b/>
          <w:bCs/>
        </w:rPr>
      </w:pPr>
      <w:r w:rsidRPr="007850D2">
        <w:rPr>
          <w:b/>
          <w:bCs/>
          <w:color w:val="000000"/>
        </w:rPr>
        <w:t>يُعدّ العصر البرونزي الأوروبي أول عصر في التاريخ الأوروبي تنشأ فيه شبكات تجارة بعيدة المدى تربط مناطق متباعدة جغرافيًا في بنية اقتصادية متكاملة. وقد أثبتت الدراسات التحليلية الحديثة لأصول المعادن في القطع الأثرية أن القصدير البريطاني كان يُشحن إلى الساحل الفرنسي وشمال إسبانيا، وأن النحاس القبرصي كان يصل إلى مصر وبلاد الشام، وأن العنبر البلطيقي كان يُتداول عبر شبكة وصلت حتى البحر الأبيض المتوسط واليونان.</w:t>
      </w:r>
    </w:p>
    <w:p w14:paraId="6A848A74" w14:textId="77777777" w:rsidR="00C46718" w:rsidRPr="007850D2" w:rsidRDefault="006966BB" w:rsidP="007850D2">
      <w:pPr>
        <w:spacing w:after="200" w:line="360" w:lineRule="auto"/>
        <w:jc w:val="right"/>
        <w:rPr>
          <w:b/>
          <w:bCs/>
        </w:rPr>
      </w:pPr>
      <w:r w:rsidRPr="007850D2">
        <w:rPr>
          <w:b/>
          <w:bCs/>
          <w:color w:val="000000"/>
        </w:rPr>
        <w:t>وتُقدّم مدينة أورودروبيس (Uluburun) في تركيا نموذجًا لافتًا على هذا الاندماج التجاري: فالسفينة التجارية المغرقة قرب جنوب غرب الأناضول والتي تعود إلى نحو 1,300 ق.م أحتضنت حمولة استثنائية من عشر جنسيات مختلفة: نحاسًا قبرصيًا وقصديرًا أفغانيًا وأبنوسًا أفريقيًا وبضائع مصرية وكنعانية ومواد يونانية وأخرى من منطقة البحر الأسود، كلّها في سفينة واحدة. إنه صورة مصغّرة لعولمة عصر البرونز المتأخر التي كانت تُشبه في تعقيدها وترابطها الشبكات التجارية الحديثة.</w:t>
      </w:r>
    </w:p>
    <w:p w14:paraId="79C086BD" w14:textId="77777777" w:rsidR="00C46718" w:rsidRPr="007850D2" w:rsidRDefault="006966BB" w:rsidP="007850D2">
      <w:pPr>
        <w:pStyle w:val="Heading3"/>
        <w:bidi w:val="0"/>
      </w:pPr>
      <w:r w:rsidRPr="007850D2">
        <w:t>4. انهيار عصر البرونز المتأخر (1,200 - 1,150 ق.م)</w:t>
      </w:r>
    </w:p>
    <w:p w14:paraId="69FDF180" w14:textId="77777777" w:rsidR="00C46718" w:rsidRPr="007850D2" w:rsidRDefault="006966BB" w:rsidP="007850D2">
      <w:pPr>
        <w:spacing w:after="200" w:line="360" w:lineRule="auto"/>
        <w:jc w:val="right"/>
        <w:rPr>
          <w:b/>
          <w:bCs/>
        </w:rPr>
      </w:pPr>
      <w:r w:rsidRPr="007850D2">
        <w:rPr>
          <w:b/>
          <w:bCs/>
          <w:color w:val="000000"/>
        </w:rPr>
        <w:t>في نحو 1,200 ق.م وخلال فترة لا تتجاوز جيلًا أو جيلين من الزمن، انهارت معظم الحضارات الكبرى لعصر البرونز المتأخر في شرق البحر المتوسط وتدهورت تدهورًا حادًا: فسقطت ميسيناي واليونان الميسينية، ودُمّرت أوغاريت على الساحل السوري، وتراجعت مصر الرمسيسية، وانتهت دولة الحيثيين. وقد عرّف العلماء هذه الكارثة الحضارية الجماعية بـ"انهيار عصر البرونز" أو "كارثة نهاية العصر البرونزي" (Late Bronze Age Collapse).</w:t>
      </w:r>
    </w:p>
    <w:p w14:paraId="4E26AA9E" w14:textId="77777777" w:rsidR="00C46718" w:rsidRPr="007850D2" w:rsidRDefault="006966BB" w:rsidP="007850D2">
      <w:pPr>
        <w:spacing w:after="200" w:line="360" w:lineRule="auto"/>
        <w:jc w:val="right"/>
        <w:rPr>
          <w:b/>
          <w:bCs/>
        </w:rPr>
      </w:pPr>
      <w:r w:rsidRPr="007850D2">
        <w:rPr>
          <w:b/>
          <w:bCs/>
          <w:color w:val="000000"/>
        </w:rPr>
        <w:t>تتعدّد تفسيرات هذا الانهيار ولا يزال المؤرخون يتجادلون حوله: فثمة نظرية الشعوب البحرية (Sea Peoples) المجهولة الأصل التي وُثّقت في نقوش مصرية وكانت تُشنّ غارات على السواحل، وثمة نظرية الجفاف والمجاعة التي تدعمها الأدلة المناخية، ونظرية الانهيار السيستيمي المتسلسل للشبكات التجارية المترابطة، إضافةً إلى الاضطرابات الداخلية والتمرّدات الاجتماعية. والأرجح علميًا أن مجموعة من هذه العوامل تضافرت معًا في تداعيات متسلسلة لم تستطع حضارات تلك الحقبة التعامل معها.</w:t>
      </w:r>
    </w:p>
    <w:p w14:paraId="3C6C578D" w14:textId="77777777" w:rsidR="00C46718" w:rsidRPr="007850D2" w:rsidRDefault="00C46718" w:rsidP="007850D2">
      <w:pPr>
        <w:spacing w:after="200"/>
        <w:rPr>
          <w:b/>
          <w:bC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6718" w:rsidRPr="007850D2" w14:paraId="0B141CC8"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BF3FB"/>
            <w:tcMar>
              <w:top w:w="120" w:type="dxa"/>
              <w:left w:w="200" w:type="dxa"/>
              <w:bottom w:w="120" w:type="dxa"/>
              <w:right w:w="200" w:type="dxa"/>
            </w:tcMar>
          </w:tcPr>
          <w:p w14:paraId="23678222" w14:textId="77777777" w:rsidR="00C46718" w:rsidRPr="007850D2" w:rsidRDefault="006966BB" w:rsidP="007850D2">
            <w:pPr>
              <w:spacing w:after="200" w:line="360" w:lineRule="auto"/>
              <w:jc w:val="right"/>
              <w:rPr>
                <w:b/>
                <w:bCs/>
              </w:rPr>
            </w:pPr>
            <w:r w:rsidRPr="007850D2">
              <w:rPr>
                <w:b/>
                <w:bCs/>
                <w:color w:val="1F3864"/>
                <w:sz w:val="22"/>
                <w:szCs w:val="22"/>
              </w:rPr>
              <w:t>◆ أبرز كنوز العصر البرونزي الأوروبي</w:t>
            </w:r>
          </w:p>
          <w:p w14:paraId="54F817E2" w14:textId="77777777" w:rsidR="00C46718" w:rsidRPr="007850D2" w:rsidRDefault="006966BB" w:rsidP="007850D2">
            <w:pPr>
              <w:spacing w:after="200" w:line="360" w:lineRule="auto"/>
              <w:jc w:val="right"/>
              <w:rPr>
                <w:b/>
                <w:bCs/>
              </w:rPr>
            </w:pPr>
            <w:r w:rsidRPr="007850D2">
              <w:rPr>
                <w:b/>
                <w:bCs/>
                <w:color w:val="000000"/>
                <w:sz w:val="22"/>
                <w:szCs w:val="22"/>
              </w:rPr>
              <w:t>▸ قرص نيبرا السماوي (ألمانيا، نحو 1,600 ق.م): أقدم تمثيل فلكي في التاريخ</w:t>
            </w:r>
          </w:p>
          <w:p w14:paraId="4CB92885" w14:textId="77777777" w:rsidR="00C46718" w:rsidRPr="007850D2" w:rsidRDefault="006966BB" w:rsidP="007850D2">
            <w:pPr>
              <w:spacing w:after="200" w:line="360" w:lineRule="auto"/>
              <w:jc w:val="right"/>
              <w:rPr>
                <w:b/>
                <w:bCs/>
              </w:rPr>
            </w:pPr>
            <w:r w:rsidRPr="007850D2">
              <w:rPr>
                <w:b/>
                <w:bCs/>
                <w:color w:val="000000"/>
                <w:sz w:val="22"/>
                <w:szCs w:val="22"/>
              </w:rPr>
              <w:lastRenderedPageBreak/>
              <w:t>▸ كنز ميدياس (رومانيا، نحو 1,500 ق.م): أكبر كنز برونزي اكتُشف في جنوب شرق أوروبا</w:t>
            </w:r>
          </w:p>
          <w:p w14:paraId="765453F9" w14:textId="77777777" w:rsidR="00C46718" w:rsidRPr="007850D2" w:rsidRDefault="006966BB" w:rsidP="007850D2">
            <w:pPr>
              <w:spacing w:after="200" w:line="360" w:lineRule="auto"/>
              <w:jc w:val="right"/>
              <w:rPr>
                <w:b/>
                <w:bCs/>
              </w:rPr>
            </w:pPr>
            <w:r w:rsidRPr="007850D2">
              <w:rPr>
                <w:b/>
                <w:bCs/>
                <w:color w:val="000000"/>
                <w:sz w:val="22"/>
                <w:szCs w:val="22"/>
              </w:rPr>
              <w:t>▸ قارب دوفر (إنجلترا، نحو 1,550 ق.م): أقدم زورق بحري معروف في أوروبا الغربية</w:t>
            </w:r>
          </w:p>
          <w:p w14:paraId="1C26799C" w14:textId="77777777" w:rsidR="00C46718" w:rsidRPr="007850D2" w:rsidRDefault="006966BB" w:rsidP="007850D2">
            <w:pPr>
              <w:spacing w:after="200" w:line="360" w:lineRule="auto"/>
              <w:jc w:val="right"/>
              <w:rPr>
                <w:b/>
                <w:bCs/>
              </w:rPr>
            </w:pPr>
            <w:r w:rsidRPr="007850D2">
              <w:rPr>
                <w:b/>
                <w:bCs/>
                <w:color w:val="000000"/>
                <w:sz w:val="22"/>
                <w:szCs w:val="22"/>
              </w:rPr>
              <w:t>▸ خوذة فيكسو الذهبية (الدنمارك، نحو 900 ق.م): تُجسّد ثروات التجارة البرونزية الشمالية</w:t>
            </w:r>
          </w:p>
        </w:tc>
      </w:tr>
    </w:tbl>
    <w:p w14:paraId="1DA0E698" w14:textId="77777777" w:rsidR="00C46718" w:rsidRPr="007850D2" w:rsidRDefault="00C46718" w:rsidP="007850D2">
      <w:pPr>
        <w:spacing w:after="300"/>
        <w:rPr>
          <w:b/>
          <w:bCs/>
        </w:rPr>
      </w:pPr>
    </w:p>
    <w:p w14:paraId="40BB2910" w14:textId="77777777" w:rsidR="00C46718" w:rsidRPr="007850D2" w:rsidRDefault="006966BB" w:rsidP="007850D2">
      <w:pPr>
        <w:pStyle w:val="Heading2"/>
        <w:pBdr>
          <w:bottom w:val="single" w:sz="4" w:space="1" w:color="2E75B6"/>
        </w:pBdr>
        <w:bidi w:val="0"/>
      </w:pPr>
      <w:r w:rsidRPr="007850D2">
        <w:t>ثالثًا: العصر الحديدي الأوروبي - إعادة رسم القارة (1,200 - 1 ق.م)</w:t>
      </w:r>
    </w:p>
    <w:p w14:paraId="67232E77" w14:textId="77777777" w:rsidR="00C46718" w:rsidRPr="007850D2" w:rsidRDefault="006966BB" w:rsidP="007850D2">
      <w:pPr>
        <w:pStyle w:val="Heading3"/>
        <w:bidi w:val="0"/>
      </w:pPr>
      <w:r w:rsidRPr="007850D2">
        <w:t>1. ثورة الحديد وأثرها الاجتماعي</w:t>
      </w:r>
    </w:p>
    <w:p w14:paraId="4BBA7B66" w14:textId="77777777" w:rsidR="00C46718" w:rsidRPr="007850D2" w:rsidRDefault="006966BB" w:rsidP="007850D2">
      <w:pPr>
        <w:spacing w:after="200" w:line="360" w:lineRule="auto"/>
        <w:jc w:val="right"/>
        <w:rPr>
          <w:b/>
          <w:bCs/>
        </w:rPr>
      </w:pPr>
      <w:r w:rsidRPr="007850D2">
        <w:rPr>
          <w:b/>
          <w:bCs/>
          <w:color w:val="000000"/>
        </w:rPr>
        <w:t>كان الحديد معروفًا قبل عصره الحقيقي بقرون، إذ عثر الإنسان أحيانًا على حديد نيزكي استخدمه للزينة أو لصنع أدوات ثمينة نادرة. غير أن ما أحدث الثورة كان اكتشاف أن تسخين خام الحديد مع الفحم النباتي في أفران متطوّرة ينتج حديدًا مطاوعًا قابلًا للتشكيل. ويختلف الحديد عن البرونز في جانب جوهري: فخامه متوفّر في كل مكان تقريبًا في أوروبا على خلاف القصدير النادر والنحاس المحدود المصادر، مما يعني أن من يملك تقنية الحديد ليس مضطرًا للانخراط في شبكات التجارة البعيدة للحصول على مواده الخام.</w:t>
      </w:r>
    </w:p>
    <w:p w14:paraId="4C1CCEAC" w14:textId="77777777" w:rsidR="00C46718" w:rsidRPr="007850D2" w:rsidRDefault="006966BB" w:rsidP="007850D2">
      <w:pPr>
        <w:spacing w:after="200" w:line="360" w:lineRule="auto"/>
        <w:jc w:val="right"/>
        <w:rPr>
          <w:b/>
          <w:bCs/>
        </w:rPr>
      </w:pPr>
      <w:r w:rsidRPr="007850D2">
        <w:rPr>
          <w:b/>
          <w:bCs/>
          <w:color w:val="000000"/>
        </w:rPr>
        <w:t>وقد كانت للتحوّل من البرونز إلى الحديد آثار اجتماعية وعسكرية بالغة؛ فبينما كان البرونز مادةً باهظة تحتكرها النخب، أصبح الحديد في متناول الجميع تقريبًا بسبب وفرة خامه. وهذا يعني أن المزارع البسيط بات يمتلك معولًا حديديًا أكثر فعالية بكثير من أي أداة برونزية، وأن المحارب من الطبقات الدنيا أصبح بإمكانه الحصول على سيف حديدي لم يعد امتيازًا أرستقراطيًا خالصًا. وهكذا فتح الحديد الباب أمام إعادة توزيع للقوى الاجتماعية والعسكرية بدرجة لم يسبق لها نظير.</w:t>
      </w:r>
    </w:p>
    <w:p w14:paraId="0831756E" w14:textId="77777777" w:rsidR="00C46718" w:rsidRPr="007850D2" w:rsidRDefault="006966BB" w:rsidP="007850D2">
      <w:pPr>
        <w:pStyle w:val="Heading3"/>
        <w:bidi w:val="0"/>
      </w:pPr>
      <w:r w:rsidRPr="007850D2">
        <w:t>2. ثقافة هالشتات: الكلت الأوائل</w:t>
      </w:r>
    </w:p>
    <w:p w14:paraId="6C72A160" w14:textId="77777777" w:rsidR="00C46718" w:rsidRPr="007850D2" w:rsidRDefault="006966BB" w:rsidP="007850D2">
      <w:pPr>
        <w:spacing w:after="200" w:line="360" w:lineRule="auto"/>
        <w:jc w:val="right"/>
        <w:rPr>
          <w:b/>
          <w:bCs/>
        </w:rPr>
      </w:pPr>
      <w:r w:rsidRPr="007850D2">
        <w:rPr>
          <w:b/>
          <w:bCs/>
          <w:color w:val="000000"/>
        </w:rPr>
        <w:t>تُمثّل ثقافة هالشتات (Hallstatt Culture) المرحلة الأولى من العصر الحديدي الأوروبي، وهي تمتد من نحو 1,200 إلى 450 ق.م وتأخذ اسمها من موقع قرب قرية هالشتات في النمسا حيث اكتُشفت عام 1846 أكثر من ألف مقبرة غنية. وكانت هالشتات في الأصل موقعًا لاستخراج الملح (وكلمة Hall في الألمانية القديمة تعني الملح)، وقد كان الملح في تلك الحقبة ثروةً حقيقية تُعادل أهميته أهمية النفط في عصرنا، إذ كان وسيلة لحفظ الطعام لا غنى عنها.</w:t>
      </w:r>
    </w:p>
    <w:p w14:paraId="04A5C45C" w14:textId="77777777" w:rsidR="00C46718" w:rsidRPr="007850D2" w:rsidRDefault="006966BB" w:rsidP="007850D2">
      <w:pPr>
        <w:spacing w:after="200" w:line="360" w:lineRule="auto"/>
        <w:jc w:val="right"/>
        <w:rPr>
          <w:b/>
          <w:bCs/>
        </w:rPr>
      </w:pPr>
      <w:r w:rsidRPr="007850D2">
        <w:rPr>
          <w:b/>
          <w:bCs/>
          <w:color w:val="000000"/>
        </w:rPr>
        <w:t>امتدّ نفوذ ثقافة هالشتات من النمسا والتشيك وجنوب ألمانيا وصولًا إلى الجزر البريطانية وفرنسا وجزء من شبه الجزيرة الأيبيرية، وتُعدّ اليوم الإرهاص الأول للحضارة الكلتية التي ستُهيمن على أوروبا الوسطى والغربية لألفية كاملة. تميّزت مقابر النخبة في هالشتات بعربات ذات عجلتين أو أربع عجلات تُدفن مع صاحبها إلى جانب أسلحته وزينته وأواني وليمته، مما يكشف عن اعتقاد راسخ في استمرار الحياة بعد الموت وفي أهمية المكانة الاجتماعية حتى في العالم الآخر.</w:t>
      </w:r>
    </w:p>
    <w:p w14:paraId="054270AC" w14:textId="77777777" w:rsidR="00764C01" w:rsidRDefault="00764C01" w:rsidP="00764C01">
      <w:pPr>
        <w:pStyle w:val="Heading3"/>
        <w:bidi w:val="0"/>
        <w:jc w:val="center"/>
      </w:pPr>
    </w:p>
    <w:p w14:paraId="279A4797" w14:textId="77777777" w:rsidR="00764C01" w:rsidRDefault="00764C01" w:rsidP="00764C01">
      <w:pPr>
        <w:pStyle w:val="Heading3"/>
        <w:bidi w:val="0"/>
      </w:pPr>
      <w:r w:rsidRPr="007850D2">
        <w:lastRenderedPageBreak/>
        <w:t>3. ثقافة لاتين: ذروة الكلت</w:t>
      </w:r>
    </w:p>
    <w:p w14:paraId="1FF225A1" w14:textId="77777777" w:rsidR="00764C01" w:rsidRPr="007850D2" w:rsidRDefault="00764C01" w:rsidP="00764C01">
      <w:pPr>
        <w:pStyle w:val="Heading3"/>
        <w:bidi w:val="0"/>
        <w:jc w:val="center"/>
      </w:pPr>
    </w:p>
    <w:p w14:paraId="23AA14E8" w14:textId="77777777" w:rsidR="00C46718" w:rsidRPr="007850D2" w:rsidRDefault="006966BB" w:rsidP="007850D2">
      <w:pPr>
        <w:spacing w:after="200" w:line="360" w:lineRule="auto"/>
        <w:jc w:val="right"/>
        <w:rPr>
          <w:b/>
          <w:bCs/>
        </w:rPr>
      </w:pPr>
      <w:r w:rsidRPr="007850D2">
        <w:rPr>
          <w:b/>
          <w:bCs/>
          <w:color w:val="000000"/>
        </w:rPr>
        <w:t>في نحو 450 ق.م تحوّل المحور الثقافي نحو منطقة بحيرة نوشاتيل في سويسرا الحالية، حيث ازدهرت ثقافة لاتين (La Tène) التي أخذت اسمها من موقع أثري على ضفاف البحيرة. وتُمثّل هذه الثقافة الكلتية الكلاسيكية التي يربطها الباحثون بالجماعات الناطقة بلغات كلتية، والتي امتد تأثيرها عبر موجات توسّع وهجرة من حوض الراين والدانوب حتى إيطاليا واليونان والأناضول وبريطانيا وجزيرة إيرلندا.</w:t>
      </w:r>
    </w:p>
    <w:p w14:paraId="4EF0BADB" w14:textId="77777777" w:rsidR="00C46718" w:rsidRPr="007850D2" w:rsidRDefault="006966BB" w:rsidP="007850D2">
      <w:pPr>
        <w:spacing w:after="200" w:line="360" w:lineRule="auto"/>
        <w:jc w:val="right"/>
        <w:rPr>
          <w:b/>
          <w:bCs/>
        </w:rPr>
      </w:pPr>
      <w:r w:rsidRPr="007850D2">
        <w:rPr>
          <w:b/>
          <w:bCs/>
          <w:color w:val="000000"/>
        </w:rPr>
        <w:t>ما يُميّز الفن الكلتي في مرحلة لاتين هو أسلوبه الزخرفي الفريد: خطوط منحنية سيّالة وأشكال تجريدية متشابكة تُعرف بالزخرفة الدوّامية والإسليمية، ومخلوقات خيالية تحوّلية، واستخدام بارع للمينا الملوّنة. وتكشف الأسلحة والدروع والخوذات والطوق المعدني (Torc) - وهو قلادة من البرونز أو الذهب الملفوف - عن مستوى فني يقترن بمعنى طقسي وديني عميق. ويرى كثير من الباحثين أن الفن الكلتي يُعبّر عن رؤية كونية مخصوصة ترى الحياة في تحوّل دائم ولا تُفرّق تفريقًا حادًا بين العالم المرئي والعالم الروحي.</w:t>
      </w:r>
    </w:p>
    <w:p w14:paraId="043D54B4" w14:textId="77777777" w:rsidR="00C46718" w:rsidRPr="007850D2" w:rsidRDefault="006966BB" w:rsidP="007850D2">
      <w:pPr>
        <w:pStyle w:val="Heading3"/>
        <w:bidi w:val="0"/>
      </w:pPr>
      <w:r w:rsidRPr="007850D2">
        <w:t>4. الغاليون والغرماني: التمايزات الإثنية-اللغوية</w:t>
      </w:r>
    </w:p>
    <w:p w14:paraId="3FE73B82" w14:textId="77777777" w:rsidR="00C46718" w:rsidRPr="007850D2" w:rsidRDefault="006966BB" w:rsidP="007850D2">
      <w:pPr>
        <w:spacing w:after="200" w:line="360" w:lineRule="auto"/>
        <w:jc w:val="right"/>
        <w:rPr>
          <w:b/>
          <w:bCs/>
        </w:rPr>
      </w:pPr>
      <w:r w:rsidRPr="007850D2">
        <w:rPr>
          <w:b/>
          <w:bCs/>
          <w:color w:val="000000"/>
        </w:rPr>
        <w:t>مع تقدّم العصر الحديدي، تبرز في المصادر الكلاسيكية اليونانية والرومانية تمييزات إثنية-لغوية واسعة بين شعوب أوروبا: الغاليون (Gauls) أو الكلت في غرب القارة وإيرلندا وبريطانيا، والغرماني أو الجرمان في وسط أوروبا وشمالها، والسلاف في شرقها، والإيليريون في البلقان الغربي، والثراقيون في البلقان الشرقي. وتجدر الإشارة إلى أن هذه التسميات تعكس في الغالب نظرة مراقبين خارجيين أكثر مما تعكس هويات قاطعة وصارمة شعر بها السكان أنفسهم.</w:t>
      </w:r>
    </w:p>
    <w:p w14:paraId="24E2B3F5" w14:textId="77777777" w:rsidR="00C46718" w:rsidRPr="007850D2" w:rsidRDefault="006966BB" w:rsidP="007850D2">
      <w:pPr>
        <w:spacing w:after="200" w:line="360" w:lineRule="auto"/>
        <w:jc w:val="right"/>
        <w:rPr>
          <w:b/>
          <w:bCs/>
        </w:rPr>
      </w:pPr>
      <w:r w:rsidRPr="007850D2">
        <w:rPr>
          <w:b/>
          <w:bCs/>
          <w:color w:val="000000"/>
        </w:rPr>
        <w:t>ويُمثّل الاحتكاك بين هذه الشعوب من جهة والحضارتين اليونانية والرومانية الصاعدتين من جهة أخرى أحد أكثر ديناميكيات العصر الحديدي تأثيرًا في مسار التاريخ الأوروبي: فالغزو الغالي لإيطاليا الشمالية ونهب روما عام 390 ق.م، والتوسّع الغالاطي نحو الأناضول في القرن الثالث ق.م، والمقاومة الغالية لفتوحات يوليوس قيصر بين 58 و51 ق.م - كلّها محطات تُعبّر عن توتر دائم بين العالم الكلتي وجاريه الجنوبي الروماني.</w:t>
      </w:r>
    </w:p>
    <w:p w14:paraId="281E8DA8" w14:textId="77777777" w:rsidR="00C46718" w:rsidRPr="007850D2" w:rsidRDefault="00C46718" w:rsidP="007850D2">
      <w:pPr>
        <w:spacing w:after="200"/>
        <w:rPr>
          <w:b/>
          <w:bCs/>
        </w:rPr>
      </w:pPr>
    </w:p>
    <w:p w14:paraId="372D1CBB" w14:textId="77777777" w:rsidR="00C46718" w:rsidRPr="007850D2" w:rsidRDefault="006966BB" w:rsidP="007850D2">
      <w:pPr>
        <w:pStyle w:val="Heading2"/>
        <w:pBdr>
          <w:bottom w:val="single" w:sz="4" w:space="1" w:color="2E75B6"/>
        </w:pBdr>
        <w:bidi w:val="0"/>
      </w:pPr>
      <w:r w:rsidRPr="007850D2">
        <w:t>رابعًا: التحوّلات الاجتماعية في العصر المعدني</w:t>
      </w:r>
    </w:p>
    <w:p w14:paraId="58B3FC56" w14:textId="77777777" w:rsidR="00C46718" w:rsidRPr="007850D2" w:rsidRDefault="006966BB" w:rsidP="007850D2">
      <w:pPr>
        <w:pStyle w:val="Heading3"/>
        <w:bidi w:val="0"/>
      </w:pPr>
      <w:r w:rsidRPr="007850D2">
        <w:t>1. نشأة التراتبية الاجتماعية</w:t>
      </w:r>
    </w:p>
    <w:p w14:paraId="0BE4573F" w14:textId="77777777" w:rsidR="00C46718" w:rsidRPr="007850D2" w:rsidRDefault="006966BB" w:rsidP="007850D2">
      <w:pPr>
        <w:spacing w:after="200" w:line="360" w:lineRule="auto"/>
        <w:jc w:val="right"/>
        <w:rPr>
          <w:b/>
          <w:bCs/>
        </w:rPr>
      </w:pPr>
      <w:r w:rsidRPr="007850D2">
        <w:rPr>
          <w:b/>
          <w:bCs/>
          <w:color w:val="000000"/>
        </w:rPr>
        <w:t>لعلّ أعمق أثر حفرته المعادن في بنية المجتمعات الأوروبية هو التراتبية الاجتماعية المتزايدة. فبينما كانت مجتمعات العصر الحجري الحديث - وإن عرفت بعض التفاوت - تُظهر في مقابرها توزيعًا نسبيًا للثروة، فإن مقابر عصر البرونز والحديد تُفصح بصراحة تامة عن تراتبية حادة: فمقبرة رئيس قبيلة أو ملك من العصر البرونزي تحتوي على كميات هائلة من المعادن الثمينة والأسلحة المصنوعة والأواني النفيسة والعربات المدفونة، في حين تُدفن الطبقة الدنيا بلا توابع أو بأدوات بسيطة جدًا.</w:t>
      </w:r>
    </w:p>
    <w:p w14:paraId="51F3C3DB" w14:textId="77777777" w:rsidR="00C46718" w:rsidRPr="007850D2" w:rsidRDefault="006966BB" w:rsidP="007850D2">
      <w:pPr>
        <w:spacing w:after="200" w:line="360" w:lineRule="auto"/>
        <w:jc w:val="right"/>
        <w:rPr>
          <w:b/>
          <w:bCs/>
        </w:rPr>
      </w:pPr>
      <w:r w:rsidRPr="007850D2">
        <w:rPr>
          <w:b/>
          <w:bCs/>
          <w:color w:val="000000"/>
        </w:rPr>
        <w:lastRenderedPageBreak/>
        <w:t>ومن الأدلة الأثرية الدالة على هذا التحوّل ظهور القصور والمراكز الإدارية في أوروبا لأول مرة خلال العصر البرونزي، كما في ميسيناي اليونانية التي كشفت عن أكروبوليس مسوّر بجدران ضخمة يُعرف بـ"جدران السيكلوب" يبلغ سمكها في بعض الأماكن ثمانية أمتار. وفي بريطانيا، تكشف عقارات فلاغ فين (Flag Fen) بشرق إنجلترا وقلاع التلال (Hillforts) عن مراكز قوى محلية مسوّرة تدلّ على نخب إقليمية تسيطر على الموارد والتجارة وإنتاج المعادن.</w:t>
      </w:r>
    </w:p>
    <w:p w14:paraId="0FAD9CB3" w14:textId="77777777" w:rsidR="00C46718" w:rsidRPr="007850D2" w:rsidRDefault="006966BB" w:rsidP="007850D2">
      <w:pPr>
        <w:pStyle w:val="Heading3"/>
        <w:bidi w:val="0"/>
      </w:pPr>
      <w:r w:rsidRPr="007850D2">
        <w:t>2. الدرويد والأقليم الروحي الكلتي</w:t>
      </w:r>
    </w:p>
    <w:p w14:paraId="12614756" w14:textId="77777777" w:rsidR="00C46718" w:rsidRPr="007850D2" w:rsidRDefault="006966BB" w:rsidP="007850D2">
      <w:pPr>
        <w:spacing w:after="200" w:line="360" w:lineRule="auto"/>
        <w:jc w:val="right"/>
        <w:rPr>
          <w:b/>
          <w:bCs/>
        </w:rPr>
      </w:pPr>
      <w:r w:rsidRPr="007850D2">
        <w:rPr>
          <w:b/>
          <w:bCs/>
          <w:color w:val="000000"/>
        </w:rPr>
        <w:t>لا تكتمل صورة التحوّلات الاجتماعية في العصر الحديدي الكلتي دون الإشارة إلى الدرويد (Druids)، وهم طبقة كهنوتية-فكرية متميّزة تُشكّل عنصرًا أساسيًا في البنية الاجتماعية الكلتية. كانوا يُضطلعون بمهام متعددة: الشعائر الدينية والتضحيات الطقسية، وتعليم النخب والشباب، والتحكيم في النزاعات، وحفظ التاريخ الشفهي والشعر الملحمي في عصر لم يكن الكلت يُدوّنون فيه معرفتهم.</w:t>
      </w:r>
    </w:p>
    <w:p w14:paraId="38FA6C95" w14:textId="77777777" w:rsidR="00C46718" w:rsidRPr="007850D2" w:rsidRDefault="006966BB" w:rsidP="007850D2">
      <w:pPr>
        <w:spacing w:after="200" w:line="360" w:lineRule="auto"/>
        <w:jc w:val="right"/>
        <w:rPr>
          <w:b/>
          <w:bCs/>
        </w:rPr>
      </w:pPr>
      <w:r w:rsidRPr="007850D2">
        <w:rPr>
          <w:b/>
          <w:bCs/>
          <w:color w:val="000000"/>
        </w:rPr>
        <w:t>وصف يوليوس قيصر في مذكراته الغالية (Commentarii de Bello Gallico) الدرويدَ وصفًا تفصيليًا، يُشير فيه إلى أنهم يقضون عشرين عامًا في التعلّم والحفظ، وأنهم يؤمنون بتناسخ الأرواح. وعلى الرغم من أن كثيرًا من المعلومات المتاحة عنهم جاءت من مصادر رومانية قد تكون مشبوبة بالتحيّز أو المبالغة لتبرير الفتح، فإن الأدلة الأثرية تُؤكد وجود طبقة دينية ذات مكانة رفيعة في المجتمع الكلتي تسيطر على الطقوس والمعرفة وتتحكّم في العلاقة بين العالمين المرئي والروحي.</w:t>
      </w:r>
    </w:p>
    <w:p w14:paraId="7A246EC3" w14:textId="77777777" w:rsidR="00C46718" w:rsidRPr="007850D2" w:rsidRDefault="006966BB" w:rsidP="007850D2">
      <w:pPr>
        <w:pStyle w:val="Heading3"/>
        <w:bidi w:val="0"/>
      </w:pPr>
      <w:r w:rsidRPr="007850D2">
        <w:t>3. المرأة في المجتمعات المعدنية</w:t>
      </w:r>
    </w:p>
    <w:p w14:paraId="62BA187D" w14:textId="77777777" w:rsidR="00C46718" w:rsidRPr="007850D2" w:rsidRDefault="006966BB" w:rsidP="007850D2">
      <w:pPr>
        <w:spacing w:after="200" w:line="360" w:lineRule="auto"/>
        <w:jc w:val="right"/>
        <w:rPr>
          <w:b/>
          <w:bCs/>
        </w:rPr>
      </w:pPr>
      <w:r w:rsidRPr="007850D2">
        <w:rPr>
          <w:b/>
          <w:bCs/>
          <w:color w:val="000000"/>
        </w:rPr>
        <w:t>تكشف الأدلة الأثرية عن وضع المرأة في المجتمعات المعدنية الأوروبية عن صورة أكثر تعقيدًا مما قد يبدو للوهلة الأولى. فمقابر بعض النساء في العصر البرونزي تحتوي على ثروات طائلة وأسلحة أحيانًا، مما يوحي بأن بعضهن وصلن إلى مكانة اجتماعية رفيعة. وفي عصر هالشتات وثقافة لاتين الكلتية، اكتُشفت مقابر نساء يُعتقد أنهن كنّ كاهنات أو ذوات نفوذ ديني واجتماعي كبير، كمقبرة "أميرة فيكس" (Vix Princess) في بورغون الفرنسية التي تعود إلى نحو 500 ق.م وتحتوي على أكبر مزهرية برونزية يونانية معروفة في التاريخ بارتفاع 1.64 متر ووزن 20</w:t>
      </w:r>
      <w:r w:rsidRPr="007850D2">
        <w:rPr>
          <w:b/>
          <w:bCs/>
          <w:color w:val="000000"/>
        </w:rPr>
        <w:t>8 كيلوغرامات.</w:t>
      </w:r>
    </w:p>
    <w:p w14:paraId="184A51BF" w14:textId="77777777" w:rsidR="00C46718" w:rsidRPr="007850D2" w:rsidRDefault="006966BB" w:rsidP="007850D2">
      <w:pPr>
        <w:spacing w:after="200" w:line="360" w:lineRule="auto"/>
        <w:jc w:val="right"/>
        <w:rPr>
          <w:b/>
          <w:bCs/>
        </w:rPr>
      </w:pPr>
      <w:r w:rsidRPr="007850D2">
        <w:rPr>
          <w:b/>
          <w:bCs/>
          <w:color w:val="000000"/>
        </w:rPr>
        <w:t>وقد لفتت الكاتبة اليونانية ديودوروس الصقلي والمؤرخ الروماني تاسيتوس إلى دور المرأة الكلتية والجرمانية في قيادة المعارك أحيانًا، مستشهدَين بملكة الإيسيني بوديكا (Boudicca) في بريطانيا التي قادت تمردًا ضد الحكم الروماني عام 60 م - وإن كان ذلك بعد الحقبة التي يُغطيها هذا الفصل - بوصفها نموذجًا على مكانة المرأة الكلتية النبيلة.</w:t>
      </w:r>
    </w:p>
    <w:p w14:paraId="762EDA29" w14:textId="77777777" w:rsidR="00C46718" w:rsidRPr="007850D2" w:rsidRDefault="00C46718" w:rsidP="007850D2">
      <w:pPr>
        <w:spacing w:after="200"/>
        <w:rPr>
          <w:b/>
          <w:bCs/>
        </w:rPr>
      </w:pPr>
    </w:p>
    <w:p w14:paraId="7E74458F" w14:textId="77777777" w:rsidR="00C46718" w:rsidRPr="007850D2" w:rsidRDefault="006966BB" w:rsidP="007850D2">
      <w:pPr>
        <w:pStyle w:val="Heading2"/>
        <w:pBdr>
          <w:bottom w:val="single" w:sz="4" w:space="1" w:color="2E75B6"/>
        </w:pBdr>
        <w:bidi w:val="0"/>
      </w:pPr>
      <w:r w:rsidRPr="007850D2">
        <w:t>خامسًا: تطوّر أدوات الحرب والزراعة</w:t>
      </w:r>
    </w:p>
    <w:p w14:paraId="4D9D8A17" w14:textId="77777777" w:rsidR="00C46718" w:rsidRPr="007850D2" w:rsidRDefault="006966BB" w:rsidP="007850D2">
      <w:pPr>
        <w:pStyle w:val="Heading3"/>
        <w:bidi w:val="0"/>
      </w:pPr>
      <w:r w:rsidRPr="007850D2">
        <w:t>1. ثورة أسلحة البرونز والحديد</w:t>
      </w:r>
    </w:p>
    <w:p w14:paraId="2FC77A09" w14:textId="77777777" w:rsidR="00C46718" w:rsidRPr="007850D2" w:rsidRDefault="006966BB" w:rsidP="007850D2">
      <w:pPr>
        <w:spacing w:after="200" w:line="360" w:lineRule="auto"/>
        <w:jc w:val="right"/>
        <w:rPr>
          <w:b/>
          <w:bCs/>
        </w:rPr>
      </w:pPr>
      <w:r w:rsidRPr="007850D2">
        <w:rPr>
          <w:b/>
          <w:bCs/>
          <w:color w:val="000000"/>
        </w:rPr>
        <w:lastRenderedPageBreak/>
        <w:t>شكّل البرونز ثورةً حقيقية في صناعة الأسلحة لا تضاهيها أي أداة حجرية؛ فالسيف البرونزي الذي ظهر لأول مرة في نحو 1,700 ق.م أتاح قتالًا معتمدًا على المبارزة عن قرب بدلًا من الرمح والقذيفة، مما غيّر بشكل جذري تكتيكات المعارك وأشكال البطولة الفردية. وتكشف دراسة السيوف البرونزية أنها تطوّرت عبر مراحل متعددة: من السيف الطعني ذي النصل الضيق، إلى السيف الضارب ذي النصل العريض في العصر البرونزي المتأخر.</w:t>
      </w:r>
    </w:p>
    <w:p w14:paraId="12A17168" w14:textId="77777777" w:rsidR="00C46718" w:rsidRPr="007850D2" w:rsidRDefault="006966BB" w:rsidP="007850D2">
      <w:pPr>
        <w:spacing w:after="200" w:line="360" w:lineRule="auto"/>
        <w:jc w:val="right"/>
        <w:rPr>
          <w:b/>
          <w:bCs/>
        </w:rPr>
      </w:pPr>
      <w:r w:rsidRPr="007850D2">
        <w:rPr>
          <w:b/>
          <w:bCs/>
          <w:color w:val="000000"/>
        </w:rPr>
        <w:t>بلغت صناعة الأسلحة ذروتها الأولى في ما يُعرف بـ"صناعة أتلانتيك البرونزية" (Atlantic Bronze Age)، التي تضم مجموعة كاملة موحّدة من الأسلحة والأدوات - سيوف ورماح وخناجر ودروع ومدافع - انتشرت من البرتغال حتى إنجلترا وتشير إلى تبادل تقني منظّم عبر سواحل المحيط الأطلسي. وبانتقال العصر إلى الحديد، انقلبت موازين القوى: فالسيف الحديدي أطول وأمتن ويمكن شحذه بسهولة، وكانت القبائل التي تملك حديدًا تتفوّق على خصومها البرونزيين تفوّقًا عسكريًا واضحًا.</w:t>
      </w:r>
    </w:p>
    <w:p w14:paraId="568856DB" w14:textId="77777777" w:rsidR="00C46718" w:rsidRPr="007850D2" w:rsidRDefault="006966BB" w:rsidP="007850D2">
      <w:pPr>
        <w:spacing w:after="200" w:line="360" w:lineRule="auto"/>
        <w:jc w:val="right"/>
        <w:rPr>
          <w:b/>
          <w:bCs/>
        </w:rPr>
      </w:pPr>
      <w:r w:rsidRPr="007850D2">
        <w:rPr>
          <w:b/>
          <w:bCs/>
          <w:color w:val="000000"/>
        </w:rPr>
        <w:t>وقد انعكس التطوّر العسكري على البنية الاجتماعية بشكل مباشر: فظهور المحارب المحترف والأرستقراطية المحاربة أحد أبرز سمات العصر البرونزي والحديدي. وتُصوّر الملاحم الهوميرية (الإلياذة والأوديسة) التي دُوّنت حول القرن الثامن ق.م لكنها تُجسّد ذاكرة العصر البرونزي المتأخر، نمطًا من بطولة الفرد المقاتل النبيل الذي يُحدّد هويته وشرفه بمقدرته في القتال وثروته في الأسلحة.</w:t>
      </w:r>
    </w:p>
    <w:p w14:paraId="4778F29D" w14:textId="77777777" w:rsidR="00C46718" w:rsidRPr="007850D2" w:rsidRDefault="006966BB" w:rsidP="007850D2">
      <w:pPr>
        <w:pStyle w:val="Heading3"/>
        <w:bidi w:val="0"/>
      </w:pPr>
      <w:r w:rsidRPr="007850D2">
        <w:t>2. ثورة الأدوات الزراعية</w:t>
      </w:r>
    </w:p>
    <w:p w14:paraId="06004FD3" w14:textId="77777777" w:rsidR="00C46718" w:rsidRPr="007850D2" w:rsidRDefault="006966BB" w:rsidP="007850D2">
      <w:pPr>
        <w:spacing w:after="200" w:line="360" w:lineRule="auto"/>
        <w:jc w:val="right"/>
        <w:rPr>
          <w:b/>
          <w:bCs/>
        </w:rPr>
      </w:pPr>
      <w:r w:rsidRPr="007850D2">
        <w:rPr>
          <w:b/>
          <w:bCs/>
          <w:color w:val="000000"/>
        </w:rPr>
        <w:t>لم تقتصر آثار المعادن على الحرب؛ فالمحراث الحديدي الذي ظهر في القرون الأخيرة قبل الميلاد حوّل الزراعة الأوروبية تحويلًا جذريًا. فبينما كان المحراث الخشبي يخدش السطح فحسب، مكّن المحراث الحديدي من قلب التربة قلبًا عميقًا وفلاحة أراضٍ أثقل وأكثر جدوى، فاتحًا أمام الإنسان الأوروبي مساحات زراعية شاسعة لم تكن تصلح للزراعة من قبل، كالسهول الطينية الثقيلة في شمال أوروبا.</w:t>
      </w:r>
    </w:p>
    <w:p w14:paraId="5502FC83" w14:textId="77777777" w:rsidR="00C46718" w:rsidRPr="007850D2" w:rsidRDefault="006966BB" w:rsidP="007850D2">
      <w:pPr>
        <w:spacing w:after="200" w:line="360" w:lineRule="auto"/>
        <w:jc w:val="right"/>
        <w:rPr>
          <w:b/>
          <w:bCs/>
        </w:rPr>
      </w:pPr>
      <w:r w:rsidRPr="007850D2">
        <w:rPr>
          <w:b/>
          <w:bCs/>
          <w:color w:val="000000"/>
        </w:rPr>
        <w:t>وإلى جانب المحراث، شهد العصر البرونزي والحديدي تطوّر منجل البرونز ثم منجل الحديد، والمعول، والفأس الحديدية ذات الكفاءة العالية في قطع الأشجار واستصلاح الأراضي. وقد أدّى تحسّن الأدوات الزراعية إلى زيادة الإنتاج الغذائي الكلي، وهو ما غذّى بدوره النمو السكاني المتسارع الذي أفضى إلى ضغوط هجرات وتوسّع وصراع على الموارد في حلقة من الفعل ورد الفعل لا تنقطع.</w:t>
      </w:r>
    </w:p>
    <w:p w14:paraId="6E9E0388" w14:textId="77777777" w:rsidR="00C46718" w:rsidRPr="007850D2" w:rsidRDefault="006966BB" w:rsidP="007850D2">
      <w:pPr>
        <w:pStyle w:val="Heading3"/>
        <w:bidi w:val="0"/>
      </w:pPr>
      <w:r w:rsidRPr="007850D2">
        <w:t>3. الخيل وعربات الحرب: ثورة الحركة</w:t>
      </w:r>
    </w:p>
    <w:p w14:paraId="3EFA5F5C" w14:textId="77777777" w:rsidR="00C46718" w:rsidRPr="007850D2" w:rsidRDefault="006966BB" w:rsidP="007850D2">
      <w:pPr>
        <w:spacing w:after="200" w:line="360" w:lineRule="auto"/>
        <w:jc w:val="right"/>
        <w:rPr>
          <w:b/>
          <w:bCs/>
        </w:rPr>
      </w:pPr>
      <w:r w:rsidRPr="007850D2">
        <w:rPr>
          <w:b/>
          <w:bCs/>
          <w:color w:val="000000"/>
        </w:rPr>
        <w:t>لا يُمكن الحديث عن تطوّر أدوات الحرب في العصر المعدني دون الإشارة إلى الخيل وعربة الحرب. فقد كان ترويض الخيل في سهول أوراسيا قبل نحو 3,500 ق.م، وانتشار عربة الحرب الخفيفة ذات العجلتين والمجرورة بحصانين في نحو 2,000 ق.م، من أكثر التطوّرات العسكرية أثرًا في تاريخ البشرية. فالمحارب على عربته كان يمتلك سرعةً وحركيةً وارتفاعًا استراتيجيًا لا يستطيع المقاتل الراجل منافستها.</w:t>
      </w:r>
    </w:p>
    <w:p w14:paraId="26291614" w14:textId="77777777" w:rsidR="00C46718" w:rsidRPr="007850D2" w:rsidRDefault="006966BB" w:rsidP="007850D2">
      <w:pPr>
        <w:spacing w:after="200" w:line="360" w:lineRule="auto"/>
        <w:jc w:val="right"/>
        <w:rPr>
          <w:b/>
          <w:bCs/>
        </w:rPr>
      </w:pPr>
      <w:r w:rsidRPr="007850D2">
        <w:rPr>
          <w:b/>
          <w:bCs/>
          <w:color w:val="000000"/>
        </w:rPr>
        <w:t xml:space="preserve">وصلت عربة الحرب إلى أوروبا عبر سهول أوراسيا في نحو 2,000 ق.م، وسرعان ما غدت رمزًا للقوة والمكانة الملكية؛ فمقابر عربات الحرب (Chariot burials) انتشرت من منطقة أورال حتى بريطانيا، ودُفن أصحابها </w:t>
      </w:r>
      <w:r w:rsidRPr="007850D2">
        <w:rPr>
          <w:b/>
          <w:bCs/>
          <w:color w:val="000000"/>
        </w:rPr>
        <w:lastRenderedPageBreak/>
        <w:t>معها في احتفالية تُعبّر عن مكانتهم الحربية والدينية. ثم تطوّر المحاربون لاحقًا في العصر الحديدي إلى فرسان يمتطون الخيل مباشرةً، وظهر الاستخدام الفعّال للسلاح الراكب الذي غيّر معادلة الحرب مرة أخرى.</w:t>
      </w:r>
    </w:p>
    <w:p w14:paraId="1140C5F3" w14:textId="77777777" w:rsidR="00C46718" w:rsidRPr="007850D2" w:rsidRDefault="00C46718" w:rsidP="007850D2">
      <w:pPr>
        <w:spacing w:after="200"/>
        <w:rPr>
          <w:b/>
          <w:bCs/>
        </w:rPr>
      </w:pPr>
    </w:p>
    <w:p w14:paraId="7CF6B618" w14:textId="77777777" w:rsidR="00C46718" w:rsidRPr="007850D2" w:rsidRDefault="006966BB" w:rsidP="007850D2">
      <w:pPr>
        <w:pStyle w:val="Heading2"/>
        <w:pBdr>
          <w:bottom w:val="single" w:sz="4" w:space="1" w:color="2E75B6"/>
        </w:pBdr>
        <w:bidi w:val="0"/>
      </w:pPr>
      <w:r w:rsidRPr="007850D2">
        <w:t>سادسًا: نشأة التجمّعات البشرية الكبرى في العصر المعدني</w:t>
      </w:r>
    </w:p>
    <w:p w14:paraId="1FB4A71D" w14:textId="77777777" w:rsidR="00C46718" w:rsidRPr="007850D2" w:rsidRDefault="006966BB" w:rsidP="007850D2">
      <w:pPr>
        <w:pStyle w:val="Heading3"/>
        <w:bidi w:val="0"/>
      </w:pPr>
      <w:r w:rsidRPr="007850D2">
        <w:t>1. القرى الكبيرة والمخيّمات المحصّنة</w:t>
      </w:r>
    </w:p>
    <w:p w14:paraId="707BC8B1" w14:textId="77777777" w:rsidR="00C46718" w:rsidRPr="007850D2" w:rsidRDefault="006966BB" w:rsidP="007850D2">
      <w:pPr>
        <w:spacing w:after="200" w:line="360" w:lineRule="auto"/>
        <w:jc w:val="right"/>
        <w:rPr>
          <w:b/>
          <w:bCs/>
        </w:rPr>
      </w:pPr>
      <w:r w:rsidRPr="007850D2">
        <w:rPr>
          <w:b/>
          <w:bCs/>
          <w:color w:val="000000"/>
        </w:rPr>
        <w:t>أتاحت وفرة الغذاء الناجمة عن تحسّن الأدوات الزراعية وتراكم الثروة المعدنية قدرةً متزايدة على إعالة تجمّعات بشرية أكبر حجمًا مما كان ممكنًا في العصر الحجري الحديث. فانتقل الحجم الوسطى للتجمّعات من عشرات الأفراد إلى مئات وأحيانًا آلاف الأفراد. وتكشف مواقع العصر البرونزي كـ Százhalombatta في المجر وLobositz في بوهيميا عن قرى كبيرة بها هياكل متعددة الاستخدام وشبكات من المخازن والحفر الاستراتيجية.</w:t>
      </w:r>
    </w:p>
    <w:p w14:paraId="57CF213D" w14:textId="77777777" w:rsidR="00C46718" w:rsidRPr="007850D2" w:rsidRDefault="006966BB" w:rsidP="007850D2">
      <w:pPr>
        <w:spacing w:after="200" w:line="360" w:lineRule="auto"/>
        <w:jc w:val="right"/>
        <w:rPr>
          <w:b/>
          <w:bCs/>
        </w:rPr>
      </w:pPr>
      <w:r w:rsidRPr="007850D2">
        <w:rPr>
          <w:b/>
          <w:bCs/>
          <w:color w:val="000000"/>
        </w:rPr>
        <w:t>وفي العصر الحديدي، ظهرت قلاع التلال (Hillforts) كنموذج معماري دفاعي وسياسي في آنٍ واحد؛ فهي مناطق مرتفعة محاطة بأسوار ترابية وخنادق، تأوي في داخلها مجتمعات مكتفية ذاتيًا وأسواقًا ومخازن وورش حرفية. وتُعدّ قلعة مايدن (Maiden Castle) في دورست البريطانية من أبرز هذه القلاع، إذ تمتد على مساحة تسعة وأربعين فدّانًا وكانت تأوي مجتمعًا كاملًا. وفي ألمانيا، يُمثّل موقع Heuneburg على نهر الدانوب مثالًا استثنائيًا لتجمّع هالشتاتي وُثّق فيه استخدام الطوب اللبن المُجفَّف بأسلوب متوسطي في بناء أسواره - مما يدلّ على تأثير</w:t>
      </w:r>
      <w:r w:rsidRPr="007850D2">
        <w:rPr>
          <w:b/>
          <w:bCs/>
          <w:color w:val="000000"/>
        </w:rPr>
        <w:t xml:space="preserve"> يوناني مباشر في القرن السابع ق.م.</w:t>
      </w:r>
    </w:p>
    <w:p w14:paraId="403B1393" w14:textId="77777777" w:rsidR="00C46718" w:rsidRPr="007850D2" w:rsidRDefault="006966BB" w:rsidP="007850D2">
      <w:pPr>
        <w:pStyle w:val="Heading3"/>
        <w:bidi w:val="0"/>
      </w:pPr>
      <w:r w:rsidRPr="007850D2">
        <w:t>2. الأوبيدا: المدن الكلتية</w:t>
      </w:r>
    </w:p>
    <w:p w14:paraId="356AD641" w14:textId="77777777" w:rsidR="00C46718" w:rsidRPr="007850D2" w:rsidRDefault="006966BB" w:rsidP="007850D2">
      <w:pPr>
        <w:spacing w:after="200" w:line="360" w:lineRule="auto"/>
        <w:jc w:val="right"/>
        <w:rPr>
          <w:b/>
          <w:bCs/>
        </w:rPr>
      </w:pPr>
      <w:r w:rsidRPr="007850D2">
        <w:rPr>
          <w:b/>
          <w:bCs/>
          <w:color w:val="000000"/>
        </w:rPr>
        <w:t>بلغت ظاهرة التجمّعات الكبرى ذروتها في ما بات يُعرف بـ"الأوبيدا" (Oppida) في العصر الحديدي المتأخر (نحو 150 - 50 ق.م)؛ وهي تجمّعات حضرية كبيرة ذات أسوار ضخمة بُنيت بتقنية خاصة تُعرف بـ Murus gallicus وصفها يوليوس قيصر بعينه، وهي تجمع بين الأعمدة الخشبية المتشابكة والحجارة والتراب في بنية دفاعية شديدة المرونة.</w:t>
      </w:r>
    </w:p>
    <w:p w14:paraId="5EAA4C03" w14:textId="77777777" w:rsidR="00C46718" w:rsidRPr="007850D2" w:rsidRDefault="006966BB" w:rsidP="007850D2">
      <w:pPr>
        <w:spacing w:after="200" w:line="360" w:lineRule="auto"/>
        <w:jc w:val="right"/>
        <w:rPr>
          <w:b/>
          <w:bCs/>
        </w:rPr>
      </w:pPr>
      <w:r w:rsidRPr="007850D2">
        <w:rPr>
          <w:b/>
          <w:bCs/>
          <w:color w:val="000000"/>
        </w:rPr>
        <w:t>اكتُشفت أوبيدا في كل أرجاء أوروبا المركزية والغربية: Manching في بافاريا التي تُقدَّر مساحتها بأربعمائة هكتار، وBibrakte في بورغون الفرنسية التي كانت عاصمة الإيدوي الكلتية وبلغت مساحتها مائة وثلاثة وثلاثين هكتارًا، وZavist في بوهيميا، وBrataslava في سلوفاكيا. وكانت هذه الأوبيدا ليست مجرد معاقل دفاعية، بل مراكز تجارية وصناعية وسياسية حقيقية تضمّ أسواقًا دائمة وورش لصبّ المعادن وتشغيل الجلود والعظم ونسج الأقمشة، بل وسُكّت فيها بعضها عملات معدنية تُعبّر عن درجة متقدّمة من التنظيم الاقتصادي.</w:t>
      </w:r>
    </w:p>
    <w:p w14:paraId="4632E51C" w14:textId="77777777" w:rsidR="00C46718" w:rsidRPr="007850D2" w:rsidRDefault="006966BB" w:rsidP="007850D2">
      <w:pPr>
        <w:pStyle w:val="Heading3"/>
        <w:bidi w:val="0"/>
      </w:pPr>
      <w:r w:rsidRPr="007850D2">
        <w:t>3. الموانئ التجارية ومراكز المبادلة</w:t>
      </w:r>
    </w:p>
    <w:p w14:paraId="298C2ABB" w14:textId="77777777" w:rsidR="00C46718" w:rsidRPr="007850D2" w:rsidRDefault="006966BB" w:rsidP="007850D2">
      <w:pPr>
        <w:spacing w:after="200" w:line="360" w:lineRule="auto"/>
        <w:jc w:val="right"/>
        <w:rPr>
          <w:b/>
          <w:bCs/>
        </w:rPr>
      </w:pPr>
      <w:r w:rsidRPr="007850D2">
        <w:rPr>
          <w:b/>
          <w:bCs/>
          <w:color w:val="000000"/>
        </w:rPr>
        <w:t xml:space="preserve">على امتداد سواحل أوروبا، نشأت خلال العصر المعدني محطات تجارية وموانئ مبادلة كانت نقاط التقاء بين الشبكات التجارية القارية والشبكات البحرية المتوسطية أو الأطلسية. ويُمثّل موقع Al Mina على الساحل </w:t>
      </w:r>
      <w:r w:rsidRPr="007850D2">
        <w:rPr>
          <w:b/>
          <w:bCs/>
          <w:color w:val="000000"/>
        </w:rPr>
        <w:lastRenderedPageBreak/>
        <w:t>السوري والمستعمرات اليونانية في جنوب فرنسا كماساليا (Marseille الحالية، أُسّست نحو 600 ق.م) نقطة اتصال حضارية بالغة الأهمية بين عالم الكلت الأوروبي وعالم يونان المتوسط.</w:t>
      </w:r>
    </w:p>
    <w:p w14:paraId="01500D52" w14:textId="77777777" w:rsidR="00C46718" w:rsidRPr="007850D2" w:rsidRDefault="006966BB" w:rsidP="007850D2">
      <w:pPr>
        <w:spacing w:after="200" w:line="360" w:lineRule="auto"/>
        <w:jc w:val="right"/>
        <w:rPr>
          <w:b/>
          <w:bCs/>
        </w:rPr>
      </w:pPr>
      <w:r w:rsidRPr="007850D2">
        <w:rPr>
          <w:b/>
          <w:bCs/>
          <w:color w:val="000000"/>
        </w:rPr>
        <w:t>وعبر هذه المراكز التجارية تدفّقت ليس فقط البضائع المادية كالخمر اليوناني والأواني الرفيعة والمعادن والزيوت العطرية، بل أيضًا الأفكار والتقنيات والأيديولوجيات السياسية. وتُبيّن المقابر الأرستقراطية الكلتية والإيليرية والثراقية المتاخمة لمناطق النفوذ اليوناني كيف استوعبت النخب المحلية عناصر من الثقافة المادية اليونانية وأعادت توظيفها في سياق محلي للتعبير عن مكانتها ورهافة ذوقها ورسوخ اتصالاتها.</w:t>
      </w:r>
    </w:p>
    <w:p w14:paraId="771BBDE8" w14:textId="77777777" w:rsidR="00C46718" w:rsidRPr="007850D2" w:rsidRDefault="00C46718" w:rsidP="007850D2">
      <w:pPr>
        <w:spacing w:after="200"/>
        <w:rPr>
          <w:b/>
          <w:bCs/>
        </w:rPr>
      </w:pPr>
    </w:p>
    <w:p w14:paraId="7E51532E" w14:textId="77777777" w:rsidR="00C46718" w:rsidRPr="007850D2" w:rsidRDefault="006966BB" w:rsidP="007850D2">
      <w:pPr>
        <w:pStyle w:val="Heading2"/>
        <w:pBdr>
          <w:bottom w:val="single" w:sz="4" w:space="1" w:color="2E75B6"/>
        </w:pBdr>
        <w:bidi w:val="0"/>
      </w:pPr>
      <w:r w:rsidRPr="007850D2">
        <w:t>سابعًا: أثر المعادن في تطوّر المجتمعات الأوروبية القديمة</w:t>
      </w:r>
    </w:p>
    <w:p w14:paraId="10F118A7" w14:textId="77777777" w:rsidR="00C46718" w:rsidRPr="007850D2" w:rsidRDefault="006966BB" w:rsidP="007850D2">
      <w:pPr>
        <w:pStyle w:val="Heading3"/>
        <w:bidi w:val="0"/>
      </w:pPr>
      <w:r w:rsidRPr="007850D2">
        <w:t>1. التحوّل الاقتصادي: من اكتفاء ذاتي إلى اقتصاد معولم</w:t>
      </w:r>
    </w:p>
    <w:p w14:paraId="0C4B8BC6" w14:textId="77777777" w:rsidR="00C46718" w:rsidRPr="007850D2" w:rsidRDefault="006966BB" w:rsidP="007850D2">
      <w:pPr>
        <w:spacing w:after="200" w:line="360" w:lineRule="auto"/>
        <w:jc w:val="right"/>
        <w:rPr>
          <w:b/>
          <w:bCs/>
        </w:rPr>
      </w:pPr>
      <w:r w:rsidRPr="007850D2">
        <w:rPr>
          <w:b/>
          <w:bCs/>
          <w:color w:val="000000"/>
        </w:rPr>
        <w:t>يُمثّل العصر المعدني لحظة التحوّل من اقتصادات محلية مكتفية ذاتيًا إلى شبكات تبادل قاري تقوم على التخصّص والفائض والتداول. فلم تكن جميع المجتمعات تمتلك موارد خاميّة لإنتاج المعادن، وهذا الواقع دفع إلى نشوء تخصّصات مناطقية واضحة: منطقة تُنتج النحاس، وأخرى القصدير، وثالثة تشغيلهما معًا، ورابعة تُصدّر المنتجات النهائية. وأفرز هذا الواقع ضرورة التفاوض والتبادل والعقود الضمنية بين المجتمعات، وهي اللبنة الأولى لما سيُصبح لاحقًا اقتصادًا سياسيًا بالمعنى الحديث.</w:t>
      </w:r>
    </w:p>
    <w:p w14:paraId="493DDAE2" w14:textId="77777777" w:rsidR="00C46718" w:rsidRPr="007850D2" w:rsidRDefault="006966BB" w:rsidP="007850D2">
      <w:pPr>
        <w:spacing w:after="200" w:line="360" w:lineRule="auto"/>
        <w:jc w:val="right"/>
        <w:rPr>
          <w:b/>
          <w:bCs/>
        </w:rPr>
      </w:pPr>
      <w:r w:rsidRPr="007850D2">
        <w:rPr>
          <w:b/>
          <w:bCs/>
          <w:color w:val="000000"/>
        </w:rPr>
        <w:t>وقد ظهرت في هذا السياق أولى بوادر تخصيص قيمة معيارية للمعادن كوسيط للتبادل؛ فالفؤوس البرونزية الصغيرة غير العملية في الاستخدام الفعلي، والحلقات المعدنية ذات الأحجام الثابتة، تُعدّ في رأي كثير من الباحثين شكلًا من أشكال ما قبل النقود وتسبق العملات المسكوكة الرسمية بقرون عدة. وفي العصر الحديدي الكلتي، أفرزت الأوبيدا الكبرى عملات برونزية وذهبية حقيقية تحمل رموزًا ووجوهًا إنسانية، مؤسّسةً بذلك لاقتصاد نقدي حقيقي.</w:t>
      </w:r>
    </w:p>
    <w:p w14:paraId="6502F388" w14:textId="77777777" w:rsidR="00C46718" w:rsidRPr="007850D2" w:rsidRDefault="006966BB" w:rsidP="007850D2">
      <w:pPr>
        <w:pStyle w:val="Heading3"/>
        <w:bidi w:val="0"/>
      </w:pPr>
      <w:r w:rsidRPr="007850D2">
        <w:t>2. التحوّل الديني: المعادن في حقل المقدّس</w:t>
      </w:r>
    </w:p>
    <w:p w14:paraId="3D4583AB" w14:textId="77777777" w:rsidR="00C46718" w:rsidRPr="007850D2" w:rsidRDefault="006966BB" w:rsidP="007850D2">
      <w:pPr>
        <w:spacing w:after="200" w:line="360" w:lineRule="auto"/>
        <w:jc w:val="right"/>
        <w:rPr>
          <w:b/>
          <w:bCs/>
        </w:rPr>
      </w:pPr>
      <w:r w:rsidRPr="007850D2">
        <w:rPr>
          <w:b/>
          <w:bCs/>
          <w:color w:val="000000"/>
        </w:rPr>
        <w:t>لم تكن المعادن في أوروبا القديمة مجرّد أدوات مادية، بل كانت تحتلّ مكانةً روحية ورمزية بالغة. فالحدّاد (Blacksmith) في كثير من الثقافات الأوروبية القديمة كان يتمتّع بمكانة مزدوجة تجمع بين التهيّب والتقديس: فهو يُهيمن على سرّ النار، ويحوّل الصخر إلى معدن، ويُغيّر شكل المادة وطبيعتها - وهي أفعال تتقاطع مع الفعل الإلهي في وعي تلك المجتمعات.</w:t>
      </w:r>
    </w:p>
    <w:p w14:paraId="2ED91A1A" w14:textId="77777777" w:rsidR="00C46718" w:rsidRPr="007850D2" w:rsidRDefault="006966BB" w:rsidP="007850D2">
      <w:pPr>
        <w:spacing w:after="200" w:line="360" w:lineRule="auto"/>
        <w:jc w:val="right"/>
        <w:rPr>
          <w:b/>
          <w:bCs/>
        </w:rPr>
      </w:pPr>
      <w:r w:rsidRPr="007850D2">
        <w:rPr>
          <w:b/>
          <w:bCs/>
          <w:color w:val="000000"/>
        </w:rPr>
        <w:t>وتُجسّد ظاهرة إلقاء الأسلحة والأدوات المعدنية القيّمة في الأنهار والبحيرات والمستنقعات هذا البُعد الديني للمعادن بشكل لافت؛ فموقع Flag Fen في إنجلترا وبحيرة نوشاتيل في سويسرا (التي أعطت اسمها لثقافة لاتين) كشفا عن كميات ضخمة من الأسلحة والزينة المعدنية أُلقيت كقرابين لأرواح الماء أو آلهة العالم السفلي. وهذا يُشير إلى دورة اقتصادية-دينية مدهشة: الثروة المعدنية التي تُستخرج بجهود جبّارة تُعاد في النهاية إلى الأرض والماء في طقوس شكرٍ وتضرّع، مما يُجسّد علاقة حوارية بين الإنسان والمقدّس.</w:t>
      </w:r>
    </w:p>
    <w:p w14:paraId="5066B5D5" w14:textId="77777777" w:rsidR="00764C01" w:rsidRDefault="00764C01" w:rsidP="007850D2">
      <w:pPr>
        <w:spacing w:after="200" w:line="360" w:lineRule="auto"/>
        <w:jc w:val="right"/>
        <w:rPr>
          <w:b/>
          <w:bCs/>
          <w:color w:val="000000"/>
        </w:rPr>
      </w:pPr>
    </w:p>
    <w:p w14:paraId="533AFEB0" w14:textId="77777777" w:rsidR="00764C01" w:rsidRPr="007850D2" w:rsidRDefault="00764C01" w:rsidP="00764C01">
      <w:pPr>
        <w:pStyle w:val="Heading3"/>
        <w:bidi w:val="0"/>
      </w:pPr>
      <w:r w:rsidRPr="007850D2">
        <w:lastRenderedPageBreak/>
        <w:t>.</w:t>
      </w:r>
      <w:r>
        <w:rPr>
          <w:rFonts w:hint="cs"/>
        </w:rPr>
        <w:t>3</w:t>
      </w:r>
      <w:r w:rsidRPr="007850D2">
        <w:t xml:space="preserve"> التحوّل السياسي: نشأة الزعامة والملكية</w:t>
      </w:r>
    </w:p>
    <w:p w14:paraId="1F491F1B" w14:textId="77777777" w:rsidR="00764C01" w:rsidRDefault="00764C01" w:rsidP="007850D2">
      <w:pPr>
        <w:spacing w:after="200" w:line="360" w:lineRule="auto"/>
        <w:jc w:val="right"/>
        <w:rPr>
          <w:b/>
          <w:bCs/>
          <w:color w:val="000000"/>
        </w:rPr>
      </w:pPr>
    </w:p>
    <w:p w14:paraId="62E0F2AE" w14:textId="0F5A8912" w:rsidR="00C46718" w:rsidRPr="007850D2" w:rsidRDefault="006966BB" w:rsidP="007850D2">
      <w:pPr>
        <w:spacing w:after="200" w:line="360" w:lineRule="auto"/>
        <w:jc w:val="right"/>
        <w:rPr>
          <w:b/>
          <w:bCs/>
        </w:rPr>
      </w:pPr>
      <w:r w:rsidRPr="007850D2">
        <w:rPr>
          <w:b/>
          <w:bCs/>
          <w:color w:val="000000"/>
        </w:rPr>
        <w:t>أتاح تراكم الثروة المعدنية في أيدي أفراد أو عائلات بعينها الشرطَ الاقتصادي الأساسي لنشوء الزعامة السياسية القائمة على الثروة الموروثة والقوة العسكرية. ففي العصر البرونزي، برزت زعامات إقليمية تستولي على الفائض الزراعي وتُهيمن على شبكات التبادل المعدني وتُوزّعه على المرتبطين بها من المحاربين والحرفيين المهرة، مما يُمثّل النموذج الأوّلي لما سيُعرف لاحقًا بالدولة القبلية.</w:t>
      </w:r>
    </w:p>
    <w:p w14:paraId="6ACAF924" w14:textId="77777777" w:rsidR="00C46718" w:rsidRPr="007850D2" w:rsidRDefault="006966BB" w:rsidP="007850D2">
      <w:pPr>
        <w:spacing w:after="200" w:line="360" w:lineRule="auto"/>
        <w:jc w:val="right"/>
        <w:rPr>
          <w:b/>
          <w:bCs/>
        </w:rPr>
      </w:pPr>
      <w:r w:rsidRPr="007850D2">
        <w:rPr>
          <w:b/>
          <w:bCs/>
          <w:color w:val="000000"/>
        </w:rPr>
        <w:t>وتُقدّم مقابر النخبة في العصر البرونزي والحديدي المبكّر كـ"مقبرة أمير هوخدورف" (Hochdorf Chieftain Burial) في ألمانيا (نحو 530 ق.م) نموذجًا باهرًا لهذا الزعيم-الملك: دُفن على أريكة برونزية معلّقة تُشبه السرير الإغريقي، ومعه مركبة دفن وأوانٍ بللورية يونانية وزينة ذهبية فاخرة وإكليل ذهبي على رأسه. وكل هذا الثراء المدفون يُعبّر عن ثروة حقيقية وادّعاء بمكانة ملكية مُقنَّنة تستمدّ شرعيتها من التراكم المادي والنسب الموروث والتحالفات التجارية.</w:t>
      </w:r>
    </w:p>
    <w:p w14:paraId="07C4C48E" w14:textId="77777777" w:rsidR="00C46718" w:rsidRPr="007850D2" w:rsidRDefault="00C46718" w:rsidP="007850D2">
      <w:pPr>
        <w:spacing w:after="300"/>
        <w:rPr>
          <w:b/>
          <w:bCs/>
        </w:rPr>
      </w:pPr>
    </w:p>
    <w:p w14:paraId="22B53369" w14:textId="77777777" w:rsidR="00C46718" w:rsidRPr="007850D2" w:rsidRDefault="006966BB" w:rsidP="007850D2">
      <w:pPr>
        <w:pStyle w:val="Heading2"/>
        <w:pBdr>
          <w:bottom w:val="single" w:sz="4" w:space="1" w:color="2E75B6"/>
        </w:pBdr>
        <w:bidi w:val="0"/>
      </w:pPr>
      <w:r w:rsidRPr="007850D2">
        <w:t>خاتمة الفصل: العصر المعدني جسر إلى الحضارة الكلاسيكية</w:t>
      </w:r>
    </w:p>
    <w:p w14:paraId="1C8202FC" w14:textId="77777777" w:rsidR="00C46718" w:rsidRPr="007850D2" w:rsidRDefault="006966BB" w:rsidP="007850D2">
      <w:pPr>
        <w:spacing w:after="200" w:line="360" w:lineRule="auto"/>
        <w:jc w:val="right"/>
        <w:rPr>
          <w:b/>
          <w:bCs/>
        </w:rPr>
      </w:pPr>
      <w:r w:rsidRPr="007850D2">
        <w:rPr>
          <w:b/>
          <w:bCs/>
          <w:color w:val="000000"/>
        </w:rPr>
        <w:t>يخرج القارئ من هذا الفصل بصورة مختلفة جذريًا عن أوروبا ما قبل التاريخ المتأخر: فبدلًا من مجتمعات قرى صغيرة متناثرة تعيش على ما تُنتجه وما تصطاده، نجد قارةً تنتظم فيها شبكات تجارية قارية واسعة، وتجمّعات حضرية كبيرة كالأوبيدا، وأرستقراطيات محاربة ذات طموحات سياسية واضحة، وطبقات كهنوتية-فكرية كالدرويد تحفظ تراثًا معرفيًا شفهيًا ضخمًا، وفنانين يصلون إلى مستوى من التجريد والإبداع الزخرفي لا يقلّ عن أي حضارة معاصرة لهم.</w:t>
      </w:r>
    </w:p>
    <w:p w14:paraId="42B94E18" w14:textId="77777777" w:rsidR="00C46718" w:rsidRPr="007850D2" w:rsidRDefault="006966BB" w:rsidP="007850D2">
      <w:pPr>
        <w:spacing w:after="200" w:line="360" w:lineRule="auto"/>
        <w:jc w:val="right"/>
        <w:rPr>
          <w:b/>
          <w:bCs/>
        </w:rPr>
      </w:pPr>
      <w:r w:rsidRPr="007850D2">
        <w:rPr>
          <w:b/>
          <w:bCs/>
          <w:color w:val="000000"/>
        </w:rPr>
        <w:t>ولعلّ أهم ما يُلاحظه المرء وهو يتأمّل العصر المعدني في أوروبا أن القارة لم تكن في انتظار الحضارتين اليونانية والرومانية لكي تنهض؛ بل كانت تنهض بشكل مستقلّ عبر ديناميكياتها الداخلية، وإن كان تأثير الحضارة المتوسطية قد أضاف زخمًا ودفعًا لا يُنكر. فحين بدأت روما توسّعها الشمالي في القرنين الثاني والأول ق.م، لم تجد قبائل متفرّقة من الصيادين الرُّحّل، بل وجدت مجتمعات راسخة بلغتها ودينها وفنّها وبنيتها الاجتماعية، وبمدن-قلاع قادرة على المقاومة العسكرية الفعلية.</w:t>
      </w:r>
    </w:p>
    <w:p w14:paraId="59F5D2AC" w14:textId="77777777" w:rsidR="00C46718" w:rsidRPr="007850D2" w:rsidRDefault="006966BB" w:rsidP="007850D2">
      <w:pPr>
        <w:spacing w:after="200" w:line="360" w:lineRule="auto"/>
        <w:jc w:val="right"/>
        <w:rPr>
          <w:b/>
          <w:bCs/>
        </w:rPr>
      </w:pPr>
      <w:r w:rsidRPr="007850D2">
        <w:rPr>
          <w:b/>
          <w:bCs/>
          <w:color w:val="000000"/>
        </w:rPr>
        <w:t>وهكذا فإن العصر المعدني يُشكّل تحديدًا الجسر الكبير الذي ستعبر عليه الفصول اللاحقة: من عالم الزعماء القبليين إلى عالم الممالك والجمهوريات، ومن الطقوس الكهنوتية الشفهية إلى الفلسفة المكتوبة، ومن التجارة القائمة على المقايضة إلى الاقتصاد النقدي، ومن القرى المحصّنة إلى المدن-الدول. إن أوروبا العصر الحديدي هي أوروبا تقف على عتبة عصر جديد، وهو العصر الكلاسيكي الذي سيُناوله الفصل الثالث بكلّ ما يحمله من إبداع يوناني ونظام روماني وتوتّر لا ينقطع بين الشمال الكلتي والجنوب المتوسطي.</w:t>
      </w:r>
    </w:p>
    <w:p w14:paraId="469FF629" w14:textId="77777777" w:rsidR="00C46718" w:rsidRPr="007850D2" w:rsidRDefault="00C46718" w:rsidP="007850D2">
      <w:pPr>
        <w:spacing w:after="400"/>
        <w:rPr>
          <w:b/>
          <w:bCs/>
        </w:rPr>
      </w:pPr>
    </w:p>
    <w:p w14:paraId="01B36F65" w14:textId="77777777" w:rsidR="00C46718" w:rsidRPr="007850D2" w:rsidRDefault="00C46718" w:rsidP="007850D2">
      <w:pPr>
        <w:pBdr>
          <w:bottom w:val="single" w:sz="6" w:space="1" w:color="C0C0C0"/>
        </w:pBdr>
        <w:spacing w:before="200" w:after="200"/>
        <w:rPr>
          <w:b/>
          <w:bCs/>
        </w:rPr>
      </w:pPr>
    </w:p>
    <w:p w14:paraId="5BC529C4" w14:textId="77777777" w:rsidR="00C46718" w:rsidRPr="007850D2" w:rsidRDefault="006966BB" w:rsidP="007850D2">
      <w:pPr>
        <w:spacing w:before="300" w:after="100"/>
        <w:jc w:val="center"/>
        <w:rPr>
          <w:b/>
          <w:bCs/>
        </w:rPr>
      </w:pPr>
      <w:r w:rsidRPr="007850D2">
        <w:rPr>
          <w:b/>
          <w:bCs/>
          <w:color w:val="1F3864"/>
          <w:sz w:val="26"/>
          <w:szCs w:val="26"/>
        </w:rPr>
        <w:t>المصادر والمراجع الأساسية للفصل الثاني</w:t>
      </w:r>
    </w:p>
    <w:p w14:paraId="35E02743" w14:textId="77777777" w:rsidR="00C46718" w:rsidRPr="007850D2" w:rsidRDefault="006966BB" w:rsidP="007850D2">
      <w:pPr>
        <w:spacing w:after="200" w:line="360" w:lineRule="auto"/>
        <w:jc w:val="right"/>
        <w:rPr>
          <w:b/>
          <w:bCs/>
        </w:rPr>
      </w:pPr>
      <w:r w:rsidRPr="007850D2">
        <w:rPr>
          <w:b/>
          <w:bCs/>
          <w:color w:val="000000"/>
        </w:rPr>
        <w:t>- Cunliffe, Barry. (2001). Facing the Ocean: The Atlantic and Its Peoples. Oxford University Press.</w:t>
      </w:r>
    </w:p>
    <w:p w14:paraId="734F04C3" w14:textId="77777777" w:rsidR="00C46718" w:rsidRPr="007850D2" w:rsidRDefault="006966BB" w:rsidP="007850D2">
      <w:pPr>
        <w:spacing w:after="200" w:line="360" w:lineRule="auto"/>
        <w:jc w:val="right"/>
        <w:rPr>
          <w:b/>
          <w:bCs/>
        </w:rPr>
      </w:pPr>
      <w:r w:rsidRPr="007850D2">
        <w:rPr>
          <w:b/>
          <w:bCs/>
          <w:color w:val="000000"/>
        </w:rPr>
        <w:t>- Kristiansen, Kristian &amp; Larsson, Thomas B. (2005). The Rise of Bronze Age Society: Travels, Transmissions and Transformations. Cambridge University Press.</w:t>
      </w:r>
    </w:p>
    <w:p w14:paraId="39769B5C" w14:textId="77777777" w:rsidR="00C46718" w:rsidRPr="007850D2" w:rsidRDefault="006966BB" w:rsidP="007850D2">
      <w:pPr>
        <w:spacing w:after="200" w:line="360" w:lineRule="auto"/>
        <w:jc w:val="right"/>
        <w:rPr>
          <w:b/>
          <w:bCs/>
        </w:rPr>
      </w:pPr>
      <w:r w:rsidRPr="007850D2">
        <w:rPr>
          <w:b/>
          <w:bCs/>
          <w:color w:val="000000"/>
        </w:rPr>
        <w:t>- Wells, Peter S. (2008). Barbarians to Angels: The Dark Ages Reconsidered. W. W. Norton &amp; Company.</w:t>
      </w:r>
    </w:p>
    <w:p w14:paraId="1632EF44" w14:textId="77777777" w:rsidR="00C46718" w:rsidRPr="007850D2" w:rsidRDefault="006966BB" w:rsidP="007850D2">
      <w:pPr>
        <w:spacing w:after="200" w:line="360" w:lineRule="auto"/>
        <w:jc w:val="right"/>
        <w:rPr>
          <w:b/>
          <w:bCs/>
        </w:rPr>
      </w:pPr>
      <w:r w:rsidRPr="007850D2">
        <w:rPr>
          <w:b/>
          <w:bCs/>
          <w:color w:val="000000"/>
        </w:rPr>
        <w:t>- Collis, John. (2003). The Celts: Origins, Myths, Inventions. Tempus Publishing.</w:t>
      </w:r>
    </w:p>
    <w:p w14:paraId="3B11CB2F" w14:textId="77777777" w:rsidR="00C46718" w:rsidRPr="007850D2" w:rsidRDefault="006966BB" w:rsidP="007850D2">
      <w:pPr>
        <w:spacing w:after="200" w:line="360" w:lineRule="auto"/>
        <w:jc w:val="right"/>
        <w:rPr>
          <w:b/>
          <w:bCs/>
        </w:rPr>
      </w:pPr>
      <w:r w:rsidRPr="007850D2">
        <w:rPr>
          <w:b/>
          <w:bCs/>
          <w:color w:val="000000"/>
        </w:rPr>
        <w:t>- Primas, Margarita. (2008). Bronzezeit zwischen Elbe und Po. Haupt Verlag.</w:t>
      </w:r>
    </w:p>
    <w:p w14:paraId="34ACAEDB" w14:textId="77777777" w:rsidR="00C46718" w:rsidRPr="007850D2" w:rsidRDefault="006966BB" w:rsidP="007850D2">
      <w:pPr>
        <w:spacing w:after="200" w:line="360" w:lineRule="auto"/>
        <w:jc w:val="right"/>
        <w:rPr>
          <w:b/>
          <w:bCs/>
        </w:rPr>
      </w:pPr>
      <w:r w:rsidRPr="007850D2">
        <w:rPr>
          <w:b/>
          <w:bCs/>
          <w:color w:val="000000"/>
        </w:rPr>
        <w:t>- Caesar, Julius. Commentarii de Bello Gallico (ترجمة أكاديمية). Loeb Classical Library.</w:t>
      </w:r>
    </w:p>
    <w:p w14:paraId="5FBCC6CC" w14:textId="77777777" w:rsidR="00C46718" w:rsidRPr="007850D2" w:rsidRDefault="006966BB" w:rsidP="007850D2">
      <w:pPr>
        <w:spacing w:after="200" w:line="360" w:lineRule="auto"/>
        <w:jc w:val="right"/>
        <w:rPr>
          <w:b/>
          <w:bCs/>
        </w:rPr>
      </w:pPr>
      <w:r w:rsidRPr="007850D2">
        <w:rPr>
          <w:b/>
          <w:bCs/>
          <w:color w:val="000000"/>
        </w:rPr>
        <w:t>- Coles, Bryony &amp; Coles, John. (1989). People of the Wetlands: Bogs, Bodies and Lake-Dwellers. Thames and Hudson.</w:t>
      </w:r>
    </w:p>
    <w:p w14:paraId="682365A3" w14:textId="77777777" w:rsidR="00C46718" w:rsidRPr="007850D2" w:rsidRDefault="006966BB" w:rsidP="007850D2">
      <w:pPr>
        <w:spacing w:after="200" w:line="360" w:lineRule="auto"/>
        <w:jc w:val="right"/>
        <w:rPr>
          <w:b/>
          <w:bCs/>
        </w:rPr>
      </w:pPr>
      <w:r w:rsidRPr="007850D2">
        <w:rPr>
          <w:b/>
          <w:bCs/>
          <w:color w:val="000000"/>
        </w:rPr>
        <w:t>- Fitton, J. Lesley. (1996). The Minoans. British Museum Press.</w:t>
      </w:r>
    </w:p>
    <w:p w14:paraId="30FEFCC7" w14:textId="77777777" w:rsidR="00C46718" w:rsidRPr="007850D2" w:rsidRDefault="006966BB" w:rsidP="007850D2">
      <w:pPr>
        <w:spacing w:after="200" w:line="360" w:lineRule="auto"/>
        <w:jc w:val="right"/>
        <w:rPr>
          <w:b/>
          <w:bCs/>
        </w:rPr>
      </w:pPr>
      <w:r w:rsidRPr="007850D2">
        <w:rPr>
          <w:b/>
          <w:bCs/>
          <w:color w:val="000000"/>
        </w:rPr>
        <w:t>- Champion, T. et al. (1984). Prehistoric Europe. Academic Press.</w:t>
      </w:r>
    </w:p>
    <w:p w14:paraId="41341A9C" w14:textId="77777777" w:rsidR="00C46718" w:rsidRPr="007850D2" w:rsidRDefault="00C46718" w:rsidP="007850D2">
      <w:pPr>
        <w:spacing w:after="600"/>
        <w:rPr>
          <w:b/>
          <w:bCs/>
        </w:rPr>
      </w:pPr>
    </w:p>
    <w:sectPr w:rsidR="00C46718" w:rsidRPr="007850D2">
      <w:headerReference w:type="default" r:id="rId7"/>
      <w:footerReference w:type="default" r:id="rId8"/>
      <w:pgSz w:w="11906" w:h="16838"/>
      <w:pgMar w:top="1440" w:right="18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92066" w14:textId="77777777" w:rsidR="006966BB" w:rsidRDefault="006966BB">
      <w:r>
        <w:separator/>
      </w:r>
    </w:p>
  </w:endnote>
  <w:endnote w:type="continuationSeparator" w:id="0">
    <w:p w14:paraId="6B168757" w14:textId="77777777" w:rsidR="006966BB" w:rsidRDefault="0069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3B31E" w14:textId="77777777" w:rsidR="00C46718" w:rsidRDefault="006966BB">
    <w:pPr>
      <w:jc w:val="center"/>
    </w:pPr>
    <w:r>
      <w:rPr>
        <w:sz w:val="20"/>
        <w:szCs w:val="20"/>
      </w:rPr>
      <w:t xml:space="preserve">- </w:t>
    </w:r>
    <w:r>
      <w:rPr>
        <w:sz w:val="20"/>
        <w:szCs w:val="20"/>
      </w:rPr>
      <w:fldChar w:fldCharType="begin"/>
    </w:r>
    <w:r>
      <w:rPr>
        <w:sz w:val="20"/>
        <w:szCs w:val="20"/>
      </w:rPr>
      <w:instrText>PAGE</w:instrText>
    </w:r>
    <w:r>
      <w:rPr>
        <w:sz w:val="20"/>
        <w:szCs w:val="20"/>
      </w:rPr>
      <w:fldChar w:fldCharType="separate"/>
    </w:r>
    <w:r w:rsidR="007850D2">
      <w:rPr>
        <w:noProof/>
        <w:sz w:val="20"/>
        <w:szCs w:val="20"/>
        <w:rtl w:val="0"/>
      </w:rPr>
      <w:t>1</w:t>
    </w:r>
    <w:r>
      <w:rPr>
        <w:sz w:val="20"/>
        <w:szCs w:val="20"/>
      </w:rPr>
      <w:fldChar w:fldCharType="end"/>
    </w:r>
    <w:r>
      <w:rPr>
        <w:sz w:val="20"/>
        <w:szCs w:val="20"/>
      </w:rPr>
      <w:t xml:space="preserve"> </w:t>
    </w:r>
    <w:r>
      <w:rPr>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4B879" w14:textId="77777777" w:rsidR="006966BB" w:rsidRDefault="006966BB">
      <w:r>
        <w:separator/>
      </w:r>
    </w:p>
  </w:footnote>
  <w:footnote w:type="continuationSeparator" w:id="0">
    <w:p w14:paraId="684E3B98" w14:textId="77777777" w:rsidR="006966BB" w:rsidRDefault="00696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EA90" w14:textId="77777777" w:rsidR="00C46718" w:rsidRDefault="006966BB">
    <w:pPr>
      <w:pBdr>
        <w:bottom w:val="single" w:sz="4" w:space="1" w:color="2E75B6"/>
      </w:pBdr>
      <w:bidi/>
      <w:jc w:val="center"/>
    </w:pPr>
    <w:r>
      <w:rPr>
        <w:color w:val="2E75B6"/>
        <w:sz w:val="20"/>
        <w:szCs w:val="20"/>
      </w:rPr>
      <w:t>تاريخ أوروبا القديم والحديث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BD410B"/>
    <w:multiLevelType w:val="hybridMultilevel"/>
    <w:tmpl w:val="2B6E7D64"/>
    <w:lvl w:ilvl="0" w:tplc="C8063C20">
      <w:start w:val="1"/>
      <w:numFmt w:val="bullet"/>
      <w:lvlText w:val="●"/>
      <w:lvlJc w:val="left"/>
      <w:pPr>
        <w:ind w:left="720" w:hanging="360"/>
      </w:pPr>
    </w:lvl>
    <w:lvl w:ilvl="1" w:tplc="0BEA684E">
      <w:start w:val="1"/>
      <w:numFmt w:val="bullet"/>
      <w:lvlText w:val="○"/>
      <w:lvlJc w:val="left"/>
      <w:pPr>
        <w:ind w:left="1440" w:hanging="360"/>
      </w:pPr>
    </w:lvl>
    <w:lvl w:ilvl="2" w:tplc="D84EE3E0">
      <w:start w:val="1"/>
      <w:numFmt w:val="bullet"/>
      <w:lvlText w:val="■"/>
      <w:lvlJc w:val="left"/>
      <w:pPr>
        <w:ind w:left="2160" w:hanging="360"/>
      </w:pPr>
    </w:lvl>
    <w:lvl w:ilvl="3" w:tplc="A820423A">
      <w:start w:val="1"/>
      <w:numFmt w:val="bullet"/>
      <w:lvlText w:val="●"/>
      <w:lvlJc w:val="left"/>
      <w:pPr>
        <w:ind w:left="2880" w:hanging="360"/>
      </w:pPr>
    </w:lvl>
    <w:lvl w:ilvl="4" w:tplc="1772CC64">
      <w:start w:val="1"/>
      <w:numFmt w:val="bullet"/>
      <w:lvlText w:val="○"/>
      <w:lvlJc w:val="left"/>
      <w:pPr>
        <w:ind w:left="3600" w:hanging="360"/>
      </w:pPr>
    </w:lvl>
    <w:lvl w:ilvl="5" w:tplc="B98CA578">
      <w:start w:val="1"/>
      <w:numFmt w:val="bullet"/>
      <w:lvlText w:val="■"/>
      <w:lvlJc w:val="left"/>
      <w:pPr>
        <w:ind w:left="4320" w:hanging="360"/>
      </w:pPr>
    </w:lvl>
    <w:lvl w:ilvl="6" w:tplc="6A9A35DC">
      <w:start w:val="1"/>
      <w:numFmt w:val="bullet"/>
      <w:lvlText w:val="●"/>
      <w:lvlJc w:val="left"/>
      <w:pPr>
        <w:ind w:left="5040" w:hanging="360"/>
      </w:pPr>
    </w:lvl>
    <w:lvl w:ilvl="7" w:tplc="AC221F6C">
      <w:start w:val="1"/>
      <w:numFmt w:val="bullet"/>
      <w:lvlText w:val="●"/>
      <w:lvlJc w:val="left"/>
      <w:pPr>
        <w:ind w:left="5760" w:hanging="360"/>
      </w:pPr>
    </w:lvl>
    <w:lvl w:ilvl="8" w:tplc="C27E0C92">
      <w:start w:val="1"/>
      <w:numFmt w:val="bullet"/>
      <w:lvlText w:val="●"/>
      <w:lvlJc w:val="left"/>
      <w:pPr>
        <w:ind w:left="6480" w:hanging="360"/>
      </w:pPr>
    </w:lvl>
  </w:abstractNum>
  <w:num w:numId="1" w16cid:durableId="1899976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18"/>
    <w:rsid w:val="006966BB"/>
    <w:rsid w:val="00764C01"/>
    <w:rsid w:val="007850D2"/>
    <w:rsid w:val="009E573D"/>
    <w:rsid w:val="00C467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3AC69"/>
  <w15:docId w15:val="{690D1967-6183-44BC-8F29-0672E7C07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bidi/>
      <w:spacing w:before="400" w:after="300"/>
      <w:jc w:val="center"/>
      <w:outlineLvl w:val="0"/>
    </w:pPr>
    <w:rPr>
      <w:b/>
      <w:bCs/>
      <w:color w:val="1F3864"/>
      <w:sz w:val="36"/>
      <w:szCs w:val="36"/>
    </w:rPr>
  </w:style>
  <w:style w:type="paragraph" w:styleId="Heading2">
    <w:name w:val="heading 2"/>
    <w:uiPriority w:val="9"/>
    <w:unhideWhenUsed/>
    <w:qFormat/>
    <w:pPr>
      <w:bidi/>
      <w:spacing w:before="360" w:after="200"/>
      <w:jc w:val="right"/>
      <w:outlineLvl w:val="1"/>
    </w:pPr>
    <w:rPr>
      <w:b/>
      <w:bCs/>
      <w:color w:val="2E75B6"/>
      <w:sz w:val="28"/>
      <w:szCs w:val="28"/>
    </w:rPr>
  </w:style>
  <w:style w:type="paragraph" w:styleId="Heading3">
    <w:name w:val="heading 3"/>
    <w:uiPriority w:val="9"/>
    <w:unhideWhenUsed/>
    <w:qFormat/>
    <w:pPr>
      <w:bidi/>
      <w:spacing w:before="280" w:after="160"/>
      <w:jc w:val="right"/>
      <w:outlineLvl w:val="2"/>
    </w:pPr>
    <w:rPr>
      <w:b/>
      <w:bCs/>
      <w:color w:val="1F497D"/>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3864</Words>
  <Characters>22030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Youssef Esmael</cp:lastModifiedBy>
  <cp:revision>2</cp:revision>
  <dcterms:created xsi:type="dcterms:W3CDTF">2026-04-05T11:44:00Z</dcterms:created>
  <dcterms:modified xsi:type="dcterms:W3CDTF">2026-04-05T11:44:00Z</dcterms:modified>
</cp:coreProperties>
</file>