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2D75" w14:textId="77777777" w:rsidR="0032192C" w:rsidRPr="0032192C" w:rsidRDefault="0032192C" w:rsidP="0032192C">
      <w:pPr>
        <w:pStyle w:val="Heading1"/>
        <w:bidi/>
        <w:jc w:val="center"/>
        <w:rPr>
          <w:b/>
          <w:bCs/>
        </w:rPr>
      </w:pPr>
      <w:r w:rsidRPr="0032192C">
        <w:rPr>
          <w:b/>
          <w:bCs/>
          <w:rtl/>
        </w:rPr>
        <w:t>الفصل الثالث: الحضارات الأولى في أوروبا</w:t>
      </w:r>
    </w:p>
    <w:p w14:paraId="1C09CA7B" w14:textId="77777777" w:rsidR="0032192C" w:rsidRPr="0032192C" w:rsidRDefault="0032192C" w:rsidP="0032192C">
      <w:pPr>
        <w:bidi/>
        <w:rPr>
          <w:b/>
          <w:bCs/>
        </w:rPr>
      </w:pPr>
      <w:r w:rsidRPr="0032192C">
        <w:rPr>
          <w:b/>
          <w:bCs/>
          <w:rtl/>
        </w:rPr>
        <w:t>مقدمة</w:t>
      </w:r>
    </w:p>
    <w:p w14:paraId="3EA99684" w14:textId="77777777" w:rsidR="0032192C" w:rsidRPr="0032192C" w:rsidRDefault="0032192C" w:rsidP="0032192C">
      <w:pPr>
        <w:bidi/>
        <w:rPr>
          <w:b/>
          <w:bCs/>
        </w:rPr>
      </w:pPr>
      <w:r w:rsidRPr="0032192C">
        <w:rPr>
          <w:b/>
          <w:bCs/>
          <w:rtl/>
        </w:rPr>
        <w:t>يُقصد بالحضارات الأولى في أوروبا، في الإطار الأكاديمي الدقيق، مجمل التشكّلات الحضارية التي ظهرت في عالم بحر إيجة خلال العصر البرونزي، ولا سيما في كريت، وجزر الكيكلاد، والبرّ اليوناني، قبل تبلور الحضارة اليونانية الكلاسيكية المعروفة لاحقًا. وتمثل هذه الحضارات أولى المجتمعات الحضرية المعقدة في أوروبا، وهي التي وضعت الأسس المبكرة للكتابة والإدارة المركزية والعمارة القصرية والشبكات البحرية الواسعة. وتنبع أهميتها البحثية من كونها تمثل نقطة الانطلاق الفعلية لفهم التكوين العميق للتاريخ الأوروبي القديم، لا بوصفها مجرد مرحلة تمهيدية لليونان الكلاسيكية، بل باعتبارها عالمًا حضاريًا قائمًا بذاته، له منطقُه الاجتماعي والسياسي والديني والفني الخاص</w:t>
      </w:r>
      <w:r w:rsidRPr="0032192C">
        <w:rPr>
          <w:b/>
          <w:bCs/>
        </w:rPr>
        <w:t xml:space="preserve">. </w:t>
      </w:r>
    </w:p>
    <w:p w14:paraId="0B002AE3" w14:textId="77777777" w:rsidR="0032192C" w:rsidRPr="0032192C" w:rsidRDefault="0032192C" w:rsidP="0032192C">
      <w:pPr>
        <w:bidi/>
        <w:rPr>
          <w:b/>
          <w:bCs/>
        </w:rPr>
      </w:pPr>
      <w:r w:rsidRPr="0032192C">
        <w:rPr>
          <w:b/>
          <w:bCs/>
          <w:rtl/>
        </w:rPr>
        <w:t>منهجيًا، يعتمد هذا الفصل على الموازنة بين ثلاثة أنماط من الأدلة: أولًا، الشاهد الأثري المباشر، مثل القصور والتحصينات والمقابر واللقى الفنية والرقيمات الطينية؛ ثانيًا، النصوص الإدارية المعاصرة، ولا سيما ألواح الخط الخطي ب، وهي شديدة القيمة لكنها محدودة لأنها لا تسجل تاريخًا سياسيًا أو سردًا أدبيًا، بل قوائمَ وبياناتٍ اقتصادية ودينية وإدارية؛ وثالثًا، التقاليد الأدبية اليونانية اللاحقة، مثل هوميروس وثوسيديديس، التي لا تُعامل هنا بوصفها سجلات معاصرة للعصر البرونزي، بل بوصفها ذاكرة ثقافية متأخرة قد تحفظ بعض الأصداء التاريخية بعد أن تصوغها في قالب أسطوري وشعري. ومن ثمّ، فكل استنتاج في هذا الفصل يميز بين ما تثبته الآثار والنصوص المعاصرة بدرجة عالية، وما يبقى في دائرة الفرضية أو التفسير التاريخي المتنافس</w:t>
      </w:r>
      <w:r w:rsidRPr="0032192C">
        <w:rPr>
          <w:b/>
          <w:bCs/>
        </w:rPr>
        <w:t xml:space="preserve">. </w:t>
      </w:r>
    </w:p>
    <w:p w14:paraId="2079ED48" w14:textId="77777777" w:rsidR="0032192C" w:rsidRPr="0032192C" w:rsidRDefault="0032192C" w:rsidP="0032192C">
      <w:pPr>
        <w:bidi/>
        <w:rPr>
          <w:b/>
          <w:bCs/>
          <w:color w:val="0070C0"/>
        </w:rPr>
      </w:pPr>
      <w:r w:rsidRPr="0032192C">
        <w:rPr>
          <w:b/>
          <w:bCs/>
          <w:color w:val="0070C0"/>
          <w:rtl/>
        </w:rPr>
        <w:t>أولًا: الحضارة الإيجية</w:t>
      </w:r>
    </w:p>
    <w:p w14:paraId="00909A15" w14:textId="77777777" w:rsidR="0032192C" w:rsidRPr="0032192C" w:rsidRDefault="0032192C" w:rsidP="0032192C">
      <w:pPr>
        <w:bidi/>
        <w:rPr>
          <w:b/>
          <w:bCs/>
        </w:rPr>
      </w:pPr>
      <w:r w:rsidRPr="0032192C">
        <w:rPr>
          <w:b/>
          <w:bCs/>
          <w:rtl/>
        </w:rPr>
        <w:t>مصطلح الحضارة الإيجية ليس اسمًا لكيان سياسي واحد، بل هو مصطلح جامع يُطلقه المؤرخون وعلماء الآثار على ثقافات العصر البرونزي التي ازدهرت في فضاء بحر إيجة: كريت المينوية، وجزر الكيكلاد، والبرّ اليوناني الميسيني، مع اتصالات وثيقة بآسيا الصغرى والسواحل الشرقية للمتوسط. ويغطي هذا الإطار الزمني، في صورته العامة، نحو 3200-1100 ق.م.، وهي الفترة التي شهدت ظهور أولى المجتمعات الحضرية الأوروبية المعقدة، وقيام اقتصاد بحري نشط، وتطورًا واضحًا في صناعة المعادن، والعمارة، والدفن، والرموز الدينية</w:t>
      </w:r>
      <w:r w:rsidRPr="0032192C">
        <w:rPr>
          <w:b/>
          <w:bCs/>
        </w:rPr>
        <w:t xml:space="preserve">. </w:t>
      </w:r>
    </w:p>
    <w:p w14:paraId="4673D093" w14:textId="77777777" w:rsidR="0032192C" w:rsidRPr="0032192C" w:rsidRDefault="0032192C" w:rsidP="0032192C">
      <w:pPr>
        <w:bidi/>
        <w:rPr>
          <w:b/>
          <w:bCs/>
        </w:rPr>
      </w:pPr>
      <w:r w:rsidRPr="0032192C">
        <w:rPr>
          <w:b/>
          <w:bCs/>
          <w:rtl/>
        </w:rPr>
        <w:t>وقد لعبت جزر الكيكلاد دورًا أساسيًا في هذا العالم الإيجي المبكر؛ فهي لم تكن هامشًا جغرافيًا، بل عقدةً بحرية غنية بالموارد المعدنية مثل النحاس والرصاص والذهب والفضة والرخام والأوبسيديان، وهو ما جعلها وسيطًا مهمًا بين كريت والبرّ اليوناني وسواحل آسيا الصغرى. وتشير الأدلة الأثرية إلى أن ثقافة الكيكلاد المبكرة، ولا سيما بين 3200 و2300 ق.م.، ارتبطت بالملاحة وصيد السمك وبناء السفن وتصدير الموارد المعدنية، كما تكشف مدافنها وفنونها الرخامية الشهيرة عن بدايات تمايز اجتماعي واضح. ومن هنا فالحضارة الإيجية منذ بداياتها لم تكن محلية منغلقة، بل حضارة بحرية قائمة على الحركة والاتصال والتبادل</w:t>
      </w:r>
      <w:r w:rsidRPr="0032192C">
        <w:rPr>
          <w:b/>
          <w:bCs/>
        </w:rPr>
        <w:t xml:space="preserve">. </w:t>
      </w:r>
    </w:p>
    <w:p w14:paraId="6415730A" w14:textId="77777777" w:rsidR="0032192C" w:rsidRPr="0032192C" w:rsidRDefault="0032192C" w:rsidP="0032192C">
      <w:pPr>
        <w:bidi/>
        <w:rPr>
          <w:b/>
          <w:bCs/>
        </w:rPr>
      </w:pPr>
      <w:r w:rsidRPr="0032192C">
        <w:rPr>
          <w:b/>
          <w:bCs/>
          <w:rtl/>
        </w:rPr>
        <w:t>وإذا كان ثوسيديديس، في نص متأخر يعود إلى القرن الخامس ق.م.، ينسب إلى مينوس تأسيس أول قوة بحرية معروفة بالتقليد اليوناني وسيطرةً على الكيكلاد ومحاولةً للحد من القرصنة، فإن قيمة هذا النص لا تكمن في كونه شهادة معاصرة، بل في كونه يعكس ذاكرة يونانية كلاسيكية ربطت ازدهار كريت المبكر بالهيمنة البحرية. أما الأثر المباشر، فهو يؤكد على الأقل وجود شبكات بحرية كثيفة واتصالات تجارية وثقافية واسعة عبر إيجة والمتوسط منذ وقت مبكر. وعليه، فإن مفهوم "الثالاسوقراطية" أو السيادة البحرية المينوية يظل مفيدًا تفسيريًا، لكن ينبغي استعماله بحذر، لأنه أقوى في التقاليد الأدبية اللاحقة منه في النصوص المعاصرة المينوية ذاتها</w:t>
      </w:r>
      <w:r w:rsidRPr="0032192C">
        <w:rPr>
          <w:b/>
          <w:bCs/>
        </w:rPr>
        <w:t xml:space="preserve">. </w:t>
      </w:r>
    </w:p>
    <w:p w14:paraId="418AA44C" w14:textId="77777777" w:rsidR="0032192C" w:rsidRDefault="0032192C" w:rsidP="0032192C">
      <w:pPr>
        <w:bidi/>
        <w:rPr>
          <w:b/>
          <w:bCs/>
          <w:rtl/>
        </w:rPr>
      </w:pPr>
    </w:p>
    <w:p w14:paraId="25EB318F" w14:textId="49D66918" w:rsidR="0032192C" w:rsidRPr="0032192C" w:rsidRDefault="0032192C" w:rsidP="0032192C">
      <w:pPr>
        <w:bidi/>
        <w:rPr>
          <w:b/>
          <w:bCs/>
          <w:color w:val="0070C0"/>
        </w:rPr>
      </w:pPr>
      <w:r w:rsidRPr="0032192C">
        <w:rPr>
          <w:b/>
          <w:bCs/>
          <w:color w:val="0070C0"/>
          <w:rtl/>
        </w:rPr>
        <w:lastRenderedPageBreak/>
        <w:t>ثانيًا: الحضارة المينوية</w:t>
      </w:r>
    </w:p>
    <w:p w14:paraId="4AD8F624" w14:textId="77777777" w:rsidR="0032192C" w:rsidRPr="0032192C" w:rsidRDefault="0032192C" w:rsidP="0032192C">
      <w:pPr>
        <w:bidi/>
        <w:rPr>
          <w:b/>
          <w:bCs/>
        </w:rPr>
      </w:pPr>
      <w:r w:rsidRPr="0032192C">
        <w:rPr>
          <w:b/>
          <w:bCs/>
          <w:rtl/>
        </w:rPr>
        <w:t>تطورت الحضارة المينوية في جزيرة كريت، وأُطلق عليها هذا الاسم في الدراسات الحديثة منذ أعمال آرثر إيفانز في كنوسوس، الذي قسّمها إلى مراحل: مبكرة، ووسطى، ومتأخرة، مع تقسيمات فرعية داخل كل مرحلة. وتُظهر المادة الأثرية أن كريت عرفت في بداياتها مجتمعات استيطانية ومدافن وصناعات حجرية ومعدنية وخزفية متقدمة، لكن نقطة التحول الكبرى جاءت حوالى 1900 ق.م. مع ظهور القصور الكبرى في كنوسوس وماليا وفايستوس وزاكروس، وهي اللحظة التي بلغت فيها المينوية طورها الحضاري الأعلى</w:t>
      </w:r>
      <w:r w:rsidRPr="0032192C">
        <w:rPr>
          <w:b/>
          <w:bCs/>
        </w:rPr>
        <w:t xml:space="preserve">. </w:t>
      </w:r>
    </w:p>
    <w:p w14:paraId="0067AFF4" w14:textId="77777777" w:rsidR="0032192C" w:rsidRPr="0032192C" w:rsidRDefault="0032192C" w:rsidP="0032192C">
      <w:pPr>
        <w:bidi/>
        <w:rPr>
          <w:b/>
          <w:bCs/>
        </w:rPr>
      </w:pPr>
      <w:r w:rsidRPr="0032192C">
        <w:rPr>
          <w:b/>
          <w:bCs/>
          <w:rtl/>
        </w:rPr>
        <w:t>تكشف القصور المينوية عن نظام سياسي-اقتصادي ذي مركزية واضحة، وإن كان شكل السلطة العليا نفسه ما يزال موضع نقاش. فالنصوص المينوية الأصلية لا تساعدنا كثيرًا لأن الخط الخطي أ لم يُفك حتى الآن، ولذلك تُستنتج بنية الحكم أساسًا من العمارة والوظيفة الاقتصادية للقصور. وهذه القصور لم تكن مجرد مساكن ملوكية؛ بل كانت مراكزَ للإدارة، وإعادة توزيع الغلال والمنتجات، والأنشطة الفنية، والشعائر الدينية. ويميزها تنظيمها حول ساحات مركزية مرصوفة، وجودة البناء، وغياب الأسوار الدفاعية الكبيرة في معظمها، مع شبكات طرق وأبراج مراقبة، وأنظمة إنارة وتهوية وصرف صحي متقدمة نسبيًا. هذا كله يدل على مجتمع مركب التنظيم، ذي قدرة عالية على الحشد والعمل والتخزين والضبط الإداري</w:t>
      </w:r>
      <w:r w:rsidRPr="0032192C">
        <w:rPr>
          <w:b/>
          <w:bCs/>
        </w:rPr>
        <w:t xml:space="preserve">. </w:t>
      </w:r>
    </w:p>
    <w:p w14:paraId="24D5D432" w14:textId="77777777" w:rsidR="0032192C" w:rsidRPr="0032192C" w:rsidRDefault="0032192C" w:rsidP="0032192C">
      <w:pPr>
        <w:bidi/>
        <w:rPr>
          <w:b/>
          <w:bCs/>
        </w:rPr>
      </w:pPr>
      <w:r w:rsidRPr="0032192C">
        <w:rPr>
          <w:b/>
          <w:bCs/>
          <w:rtl/>
        </w:rPr>
        <w:t>اقتصاديًا، كانت المينوية حضارة بحرية تجارية بامتياز. فقد ازدهرت تجارتها مع شرق المتوسط ومصر وسواه، وصدّرت الخشب والمواد الغذائية والمنسوجات وربما زيت الزيتون والسلع الفاخرة، واستوردت النحاس والقصدير والذهب والفضة والعاج والأحجار الكريمة. ومع ظهور القصور ظهرت الحاجة إلى الكتابة لأغراض التسجيل، فاستُخدم نظامان كتابيان: كتابة هيروغليفية كريتية، ثم الخط الخطي أ. وهذه المعطيات تجعل من الاقتصاد المينوي اقتصادًا قَصَريًا</w:t>
      </w:r>
      <w:r w:rsidRPr="0032192C">
        <w:rPr>
          <w:b/>
          <w:bCs/>
        </w:rPr>
        <w:t xml:space="preserve"> redistributive</w:t>
      </w:r>
      <w:r w:rsidRPr="0032192C">
        <w:rPr>
          <w:b/>
          <w:bCs/>
          <w:rtl/>
        </w:rPr>
        <w:t>، أي إن القصر كان على الأرجح مركز جمعٍ وتوزيعٍ ومراقبة، لا مجرد رمز سياسي</w:t>
      </w:r>
      <w:r w:rsidRPr="0032192C">
        <w:rPr>
          <w:b/>
          <w:bCs/>
        </w:rPr>
        <w:t xml:space="preserve">. </w:t>
      </w:r>
    </w:p>
    <w:p w14:paraId="3A3A509E" w14:textId="77777777" w:rsidR="0032192C" w:rsidRPr="0032192C" w:rsidRDefault="0032192C" w:rsidP="0032192C">
      <w:pPr>
        <w:bidi/>
        <w:rPr>
          <w:b/>
          <w:bCs/>
        </w:rPr>
      </w:pPr>
      <w:r w:rsidRPr="0032192C">
        <w:rPr>
          <w:b/>
          <w:bCs/>
          <w:rtl/>
        </w:rPr>
        <w:t>أما في المجال الفني والديني، فقد تركت المينوية واحدًا من أكثر الإرثات البصرية تميزًا في أوروبا القديمة: اللوحات الجدارية الملونة، الزخارف النباتية والبحرية، الأواني الحجرية والمعدنية، الأختام الدقيقة، والمشاهد الطقسية والطبيعية. وتكشف الأدلة عن حضورٍ ديني متشعب لمواقع الكهوف والينابيع والقمم الجبلية، إلى جانب الوظيفة الشعائرية للقصور نفسها. كما توحي الرسوم والمناظر الطقسية والرقصات الممثلة في الفن المينوي بعالمٍ احتفاليٍّ ودينيٍّ غني، لكن من الضروري التنبيه إلى أن تفسير معاني هذه الصور يبقى محدودًا بغياب نصوص دينية مقروءة من داخل الثقافة المينوية نفسها</w:t>
      </w:r>
      <w:r w:rsidRPr="0032192C">
        <w:rPr>
          <w:b/>
          <w:bCs/>
        </w:rPr>
        <w:t xml:space="preserve">. </w:t>
      </w:r>
    </w:p>
    <w:p w14:paraId="6A338614" w14:textId="77777777" w:rsidR="0032192C" w:rsidRPr="0032192C" w:rsidRDefault="0032192C" w:rsidP="0032192C">
      <w:pPr>
        <w:bidi/>
        <w:rPr>
          <w:b/>
          <w:bCs/>
        </w:rPr>
      </w:pPr>
      <w:r w:rsidRPr="0032192C">
        <w:rPr>
          <w:b/>
          <w:bCs/>
          <w:rtl/>
        </w:rPr>
        <w:t xml:space="preserve">أما تراجع الحضارة المينوية، فهو من أكثر قضايا تاريخ إيجة تعقيدًا. فالتفسير القديم الذي ردّ الانهيار مباشرة إلى ثوران ثيرا/سانتوريني لم يعد كافيًا وحده؛ إذ تشير بعض الدراسات إلى أن كريت استمرت في إظهار علامات رخاء بعد الكارثة البركانية، ما يوحي بأن الأثر لم يكن إبادةً فورية للنظام كله. وقد اقترحت دراسة حديثة في </w:t>
      </w:r>
      <w:r w:rsidRPr="0032192C">
        <w:rPr>
          <w:b/>
          <w:bCs/>
          <w:i/>
          <w:iCs/>
        </w:rPr>
        <w:t>Antiquity</w:t>
      </w:r>
      <w:r w:rsidRPr="0032192C">
        <w:rPr>
          <w:b/>
          <w:bCs/>
        </w:rPr>
        <w:t xml:space="preserve"> </w:t>
      </w:r>
      <w:r w:rsidRPr="0032192C">
        <w:rPr>
          <w:b/>
          <w:bCs/>
          <w:rtl/>
        </w:rPr>
        <w:t>أن إزالة محطة بحرية كبرى مثل أكروتيري ربما رفعت تدريجيًا كلفة النقل وأضعفت الشبكات التجارية حتى انتهى الأمر بانهيار اقتصادي متأخر. وفي المقابل، تشير الأدلة الأثرية إلى موجة تدمير بالنار في وسط وجنوب كريت بعد جيل تقريبًا من الثوران، كما ظل تفسير الغزو أو الهيمنة القادمة من البرّ اليوناني حاضرًا بقوة في الأدبيات، خاصة مع ظهور الخط الخطي ب في كنوسوس بعد 1450 ق.م. لذلك فالرأي الأرجح اليوم ليس سببًا أحاديًا، بل تفاعلُ كارثةٍ طبيعية مع هشاشة الشبكات الاقتصادية، وربما صراعٍ عسكري أو انتقالٍ في موازين القوة من كريت إلى البرّ الميسيني</w:t>
      </w:r>
      <w:r w:rsidRPr="0032192C">
        <w:rPr>
          <w:b/>
          <w:bCs/>
        </w:rPr>
        <w:t xml:space="preserve">. </w:t>
      </w:r>
    </w:p>
    <w:p w14:paraId="36FD7091" w14:textId="77777777" w:rsidR="0032192C" w:rsidRDefault="0032192C" w:rsidP="0032192C">
      <w:pPr>
        <w:bidi/>
        <w:rPr>
          <w:b/>
          <w:bCs/>
          <w:color w:val="0070C0"/>
          <w:rtl/>
        </w:rPr>
      </w:pPr>
    </w:p>
    <w:p w14:paraId="6DA6780B" w14:textId="77777777" w:rsidR="0032192C" w:rsidRDefault="0032192C" w:rsidP="0032192C">
      <w:pPr>
        <w:bidi/>
        <w:rPr>
          <w:b/>
          <w:bCs/>
          <w:color w:val="0070C0"/>
          <w:rtl/>
        </w:rPr>
      </w:pPr>
    </w:p>
    <w:p w14:paraId="1DDEEFC0" w14:textId="77777777" w:rsidR="0032192C" w:rsidRDefault="0032192C" w:rsidP="0032192C">
      <w:pPr>
        <w:bidi/>
        <w:rPr>
          <w:b/>
          <w:bCs/>
          <w:color w:val="0070C0"/>
          <w:rtl/>
        </w:rPr>
      </w:pPr>
    </w:p>
    <w:p w14:paraId="7C2903C8" w14:textId="77777777" w:rsidR="0032192C" w:rsidRDefault="0032192C" w:rsidP="0032192C">
      <w:pPr>
        <w:bidi/>
        <w:rPr>
          <w:b/>
          <w:bCs/>
          <w:color w:val="0070C0"/>
          <w:rtl/>
        </w:rPr>
      </w:pPr>
    </w:p>
    <w:p w14:paraId="55AB8E72" w14:textId="0CA0494F" w:rsidR="0032192C" w:rsidRPr="0032192C" w:rsidRDefault="0032192C" w:rsidP="0032192C">
      <w:pPr>
        <w:bidi/>
        <w:rPr>
          <w:b/>
          <w:bCs/>
          <w:color w:val="0070C0"/>
        </w:rPr>
      </w:pPr>
      <w:r w:rsidRPr="0032192C">
        <w:rPr>
          <w:b/>
          <w:bCs/>
          <w:color w:val="0070C0"/>
          <w:rtl/>
        </w:rPr>
        <w:lastRenderedPageBreak/>
        <w:t>ثالثًا: الحضارة الميسينية</w:t>
      </w:r>
    </w:p>
    <w:p w14:paraId="31849BCF" w14:textId="77777777" w:rsidR="0032192C" w:rsidRPr="0032192C" w:rsidRDefault="0032192C" w:rsidP="0032192C">
      <w:pPr>
        <w:bidi/>
        <w:rPr>
          <w:b/>
          <w:bCs/>
        </w:rPr>
      </w:pPr>
      <w:r w:rsidRPr="0032192C">
        <w:rPr>
          <w:b/>
          <w:bCs/>
          <w:rtl/>
        </w:rPr>
        <w:t>ازدهرت الحضارة الميسينية في البرّ اليوناني تقريبًا بين 1600 و1100 ق.م.، وسُمّيت باسم موقع ميسينا في البيلوبونيز. وتكشف مقابر الدفن العمودي في ميسينا، بما حوته من ذهب وأسلحة ومقتنيات فاخرة منذ نحو 1550 ق.م.، عن نشوء نخبة محاربة شديدة الثراء والقوة. وقد لعب الاتصال بكريت المينوية دورًا حاسمًا في تكوين الثقافة الميسينية، خاصة في الفنون والعمارة والكتابة، لكن هذا التأثر لم يمنع تشكل شخصية حضارية مختلفة بوضوح، تميل إلى التحصين والعسكرة والإدارة القصرية الصارمة</w:t>
      </w:r>
      <w:r w:rsidRPr="0032192C">
        <w:rPr>
          <w:b/>
          <w:bCs/>
        </w:rPr>
        <w:t xml:space="preserve">. </w:t>
      </w:r>
    </w:p>
    <w:p w14:paraId="475A195C" w14:textId="77777777" w:rsidR="0032192C" w:rsidRPr="0032192C" w:rsidRDefault="0032192C" w:rsidP="0032192C">
      <w:pPr>
        <w:bidi/>
        <w:rPr>
          <w:b/>
          <w:bCs/>
        </w:rPr>
      </w:pPr>
      <w:r w:rsidRPr="0032192C">
        <w:rPr>
          <w:b/>
          <w:bCs/>
          <w:rtl/>
        </w:rPr>
        <w:t xml:space="preserve">الطابع العسكري والسياسي للميسينيين يتبدى بوضوح في القلاع الضخمة، والأسوار السيكلوبية، والمقابر القبية، وتصميم القصور. فالقصر الميسيني النموذجي لم يُبن حول ساحة كبرى كما في كريت، بل تمحور حول الميجارون، أي القاعة الكبرى ذات الموقد المركزي والأعمدة الأربع، وهي البؤرة المعمارية والسياسية للقصر. وتشير الأدلة إلى وجود مراكز قوية في ميسينا وتيرنز وبيلوس وطيبة، مرتبطة بشبكات طرق وتبادل، وبإدارة تراقب الأراضي والحرف والجبايات والقرابين. وقد وصفت إحدى موسوعات البحث الكلاسيكي حالة البرّ اليوناني في القرنين الرابع عشر والثالث عشر ق.م. بأنه منظّم تحت سلطة </w:t>
      </w:r>
      <w:proofErr w:type="spellStart"/>
      <w:r w:rsidRPr="0032192C">
        <w:rPr>
          <w:b/>
          <w:bCs/>
        </w:rPr>
        <w:t>wanax</w:t>
      </w:r>
      <w:proofErr w:type="spellEnd"/>
      <w:r w:rsidRPr="0032192C">
        <w:rPr>
          <w:b/>
          <w:bCs/>
        </w:rPr>
        <w:t xml:space="preserve"> </w:t>
      </w:r>
      <w:r w:rsidRPr="0032192C">
        <w:rPr>
          <w:b/>
          <w:bCs/>
          <w:rtl/>
        </w:rPr>
        <w:t xml:space="preserve">(الملك)، مع قائد عسكري </w:t>
      </w:r>
      <w:proofErr w:type="spellStart"/>
      <w:r w:rsidRPr="0032192C">
        <w:rPr>
          <w:b/>
          <w:bCs/>
        </w:rPr>
        <w:t>rawaketa</w:t>
      </w:r>
      <w:proofErr w:type="spellEnd"/>
      <w:r w:rsidRPr="0032192C">
        <w:rPr>
          <w:b/>
          <w:bCs/>
          <w:rtl/>
        </w:rPr>
        <w:t>، ومسؤولين محليين، وقواتٍ راجلة وعربات، بما يعكس بنيةً سياسية هرمية لا يمكن اختزالها في قبائل مبعثرة</w:t>
      </w:r>
      <w:r w:rsidRPr="0032192C">
        <w:rPr>
          <w:b/>
          <w:bCs/>
        </w:rPr>
        <w:t xml:space="preserve">. </w:t>
      </w:r>
    </w:p>
    <w:p w14:paraId="668BAAFF" w14:textId="77777777" w:rsidR="0032192C" w:rsidRPr="0032192C" w:rsidRDefault="0032192C" w:rsidP="0032192C">
      <w:pPr>
        <w:bidi/>
        <w:rPr>
          <w:b/>
          <w:bCs/>
        </w:rPr>
      </w:pPr>
      <w:r w:rsidRPr="0032192C">
        <w:rPr>
          <w:b/>
          <w:bCs/>
          <w:rtl/>
        </w:rPr>
        <w:t>وتكتسب الحضارة الميسينية أهمية استثنائية لأنها قدمت أقدم تسجيل معروف للغة اليونانية عبر الخط الخطي ب، المشتق من النظام الكتابي الكريتي، والذي استُخدم في القصور لتسجيل الحسابات والإمدادات والضرائب والقرابين والأشخاص. وتؤكد الدراسات الحديثة أن هذه الألواح ليست نصوصًا تاريخية أو شعرية ولا قوائم ملوك، بل وثائق إدارية محضة، لكنها ثمينة للغاية لأنها تكشف تفاصيل دقيقة عن الاقتصاد والمؤسسات والديانة والعمل. ومن خلال أرشيفات بيلوس وكنوسوس وغيرها نعرف وجود قوائم للمالكين، والرعاة، والصناع، والنساء والأطفال، والكهنة و"عبيد الإله"، فضلًا عن سجلات للزيوت المعطرة، والقرابين الحيوانية، والمنسوجات، والتحركات العسكرية</w:t>
      </w:r>
      <w:r w:rsidRPr="0032192C">
        <w:rPr>
          <w:b/>
          <w:bCs/>
        </w:rPr>
        <w:t xml:space="preserve">. </w:t>
      </w:r>
    </w:p>
    <w:p w14:paraId="172BEAE8" w14:textId="77777777" w:rsidR="0032192C" w:rsidRPr="0032192C" w:rsidRDefault="0032192C" w:rsidP="0032192C">
      <w:pPr>
        <w:bidi/>
        <w:rPr>
          <w:b/>
          <w:bCs/>
        </w:rPr>
      </w:pPr>
      <w:r w:rsidRPr="0032192C">
        <w:rPr>
          <w:b/>
          <w:bCs/>
          <w:rtl/>
        </w:rPr>
        <w:t>أما علاقة الميسينيين بالمينويين فليست علاقةَ تقليدٍ بسيط، بل علاقةُ اقتباسٍ وتحويل. فبعد نحو 1450 ق.م. تظهر في كريت علامات نفوذٍ برّيٍّ يوناني، وتُستبدل الكتابة المينوية الإدارية المقروءة لدينا اليوم بالخط الخطي ب، بينما تستمر بعض العناصر الكريتية في الفن والتقنية والدين. وتفيد بريتانيكا بأن هذه المرحلة شهدت "امتزاجًا" بين المهارات الكريتية والبرية، مع استمرار اختلاف جوهري بين عالم البرّ الميسيني وعالم كريت. هذا يعني أن السيطرة الميسينية على كريت، إن صحت بصورتها العامة، لم تُلغِ التراث المينوي، بل أعادت تشغيله ضمن نظام سياسي مختلف</w:t>
      </w:r>
      <w:r w:rsidRPr="0032192C">
        <w:rPr>
          <w:b/>
          <w:bCs/>
        </w:rPr>
        <w:t xml:space="preserve">. </w:t>
      </w:r>
    </w:p>
    <w:p w14:paraId="0ADF79D6" w14:textId="77777777" w:rsidR="0032192C" w:rsidRPr="0032192C" w:rsidRDefault="0032192C" w:rsidP="0032192C">
      <w:pPr>
        <w:bidi/>
        <w:rPr>
          <w:b/>
          <w:bCs/>
        </w:rPr>
      </w:pPr>
      <w:r w:rsidRPr="0032192C">
        <w:rPr>
          <w:b/>
          <w:bCs/>
          <w:rtl/>
        </w:rPr>
        <w:t>وفي أواخر القرن الثالث عشر وبداية الثاني عشر ق.م. انهارت المراكز القصرية الميسينية. ولا يوجد حتى الآن تفسير واحد حاسم لهذا الانهيار؛ فالمصادر الحديثة تميل إلى نموذج متعدد الأسباب: تغيرات مناخية وجفاف، فشل المحاصيل، اضطراب التجارة، أوبئة محتملة، اضطرابات داخلية، وتمرد على أعباء النظام القَصَري، وربما ضغط جماعات محاربة وتحركات سكانية أوسع في شرق المتوسط. وقد ترتب على ذلك تدمير المراكز الكبرى، وهجر بعض المواقع، والانكفاء إلى مستوطنات أكثر أمنًا، ثم فقدان الكتابة الخطية ب. لكن هذا لم يكن "فناءً" للحياة اليونانية، بل تحولًا عميقًا انتهى لاحقًا إلى نشوء عالم المدن-الدول في العصر الحديدي</w:t>
      </w:r>
      <w:r w:rsidRPr="0032192C">
        <w:rPr>
          <w:b/>
          <w:bCs/>
        </w:rPr>
        <w:t xml:space="preserve">. </w:t>
      </w:r>
    </w:p>
    <w:p w14:paraId="3A51B905" w14:textId="77777777" w:rsidR="0032192C" w:rsidRPr="0032192C" w:rsidRDefault="0032192C" w:rsidP="0032192C">
      <w:pPr>
        <w:bidi/>
        <w:rPr>
          <w:b/>
          <w:bCs/>
          <w:color w:val="0070C0"/>
        </w:rPr>
      </w:pPr>
      <w:r w:rsidRPr="0032192C">
        <w:rPr>
          <w:b/>
          <w:bCs/>
          <w:color w:val="0070C0"/>
          <w:rtl/>
        </w:rPr>
        <w:t>رابعًا: خصائص الحضارات الأوروبية الأولى: تحليل مقارن</w:t>
      </w:r>
    </w:p>
    <w:p w14:paraId="6C33CA15" w14:textId="77777777" w:rsidR="0032192C" w:rsidRPr="0032192C" w:rsidRDefault="0032192C" w:rsidP="0032192C">
      <w:pPr>
        <w:bidi/>
        <w:rPr>
          <w:b/>
          <w:bCs/>
        </w:rPr>
      </w:pPr>
      <w:r w:rsidRPr="0032192C">
        <w:rPr>
          <w:b/>
          <w:bCs/>
          <w:rtl/>
        </w:rPr>
        <w:t>إذا قارنا الحضارات الإيجية الأولى بعضها ببعض، ظهرت أربعة عناصر مشتركة كبرى. أولًا، المركزية القصرية</w:t>
      </w:r>
      <w:r w:rsidRPr="0032192C">
        <w:rPr>
          <w:b/>
          <w:bCs/>
        </w:rPr>
        <w:t xml:space="preserve">: </w:t>
      </w:r>
      <w:r w:rsidRPr="0032192C">
        <w:rPr>
          <w:b/>
          <w:bCs/>
          <w:rtl/>
        </w:rPr>
        <w:t>ففي كريت المينوية والبرّ الميسيني كان القصر مؤسسةً إدارية واقتصادية ودينية، لا مجرد مقر إقامة. ثانيًا، البحرية والانفتاح التجاري</w:t>
      </w:r>
      <w:r w:rsidRPr="0032192C">
        <w:rPr>
          <w:b/>
          <w:bCs/>
        </w:rPr>
        <w:t xml:space="preserve">: </w:t>
      </w:r>
      <w:r w:rsidRPr="0032192C">
        <w:rPr>
          <w:b/>
          <w:bCs/>
          <w:rtl/>
        </w:rPr>
        <w:t>إذ قامت هذه الحضارات على شبكات تبادل امتدت من الكيكلاد إلى قبرص والشام ومصر، وكان البحر أداةَ توحيدٍ لا فصل. ثالثًا، التشابك بين المقدس والدنيوي</w:t>
      </w:r>
      <w:r w:rsidRPr="0032192C">
        <w:rPr>
          <w:b/>
          <w:bCs/>
        </w:rPr>
        <w:t xml:space="preserve">: </w:t>
      </w:r>
      <w:r w:rsidRPr="0032192C">
        <w:rPr>
          <w:b/>
          <w:bCs/>
          <w:rtl/>
        </w:rPr>
        <w:t xml:space="preserve">فالقرابين والطقوس والأختام والرموز الدينية حاضرة داخل صلب الإدارة </w:t>
      </w:r>
      <w:r w:rsidRPr="0032192C">
        <w:rPr>
          <w:b/>
          <w:bCs/>
          <w:rtl/>
        </w:rPr>
        <w:lastRenderedPageBreak/>
        <w:t>والاقتصاد. رابعًا، التمايز الاجتماعي الواضح</w:t>
      </w:r>
      <w:r w:rsidRPr="0032192C">
        <w:rPr>
          <w:b/>
          <w:bCs/>
        </w:rPr>
        <w:t xml:space="preserve">: </w:t>
      </w:r>
      <w:r w:rsidRPr="0032192C">
        <w:rPr>
          <w:b/>
          <w:bCs/>
          <w:rtl/>
        </w:rPr>
        <w:t>كما تشهد عليه المقابر الفخمة، والقصور، وتفاوت اللقى الجنائزية، ووجود فئات عمل متخصصة</w:t>
      </w:r>
      <w:r w:rsidRPr="0032192C">
        <w:rPr>
          <w:b/>
          <w:bCs/>
        </w:rPr>
        <w:t xml:space="preserve">. </w:t>
      </w:r>
    </w:p>
    <w:p w14:paraId="19DC7C98" w14:textId="77777777" w:rsidR="0032192C" w:rsidRPr="0032192C" w:rsidRDefault="0032192C" w:rsidP="0032192C">
      <w:pPr>
        <w:bidi/>
        <w:rPr>
          <w:b/>
          <w:bCs/>
        </w:rPr>
      </w:pPr>
      <w:r w:rsidRPr="0032192C">
        <w:rPr>
          <w:b/>
          <w:bCs/>
          <w:rtl/>
        </w:rPr>
        <w:t>ومع ذلك، فالفروق بين المينوي والميسيني حاسمة. فالمينويون يبدون، من خلال عمارتهم غير المحصنة نسبيًا وفنهم الطبيعي والطقسي، أكثر اتصالًا بعالم بحري احتفالي وشبكي؛ بينما يظهر الميسينيون، من خلال القلاع والأسلحة والميجارون والأرشيف الإداري والتقاليد اللاحقة عن ملوك الحرب، أقرب إلى نموذج الدولة القصرية العسكرية. ولا يعني هذا أن المينويين كانوا "مسالمين" بالمعنى البسيط أو أن الميسينيين كانوا عسكريين فقط؛ بل يعني أن البنية الرمزية والمادية السائدة في كل منهما مختلفة. ويؤكد هذا التمييز أن الحضارات الأولى في أوروبا لم تتطور في خط واحد متجانس، بل عبر مسارات متجاورة ومتشابكة</w:t>
      </w:r>
      <w:r w:rsidRPr="0032192C">
        <w:rPr>
          <w:b/>
          <w:bCs/>
        </w:rPr>
        <w:t xml:space="preserve">. </w:t>
      </w:r>
    </w:p>
    <w:p w14:paraId="3AA49B86" w14:textId="77777777" w:rsidR="0032192C" w:rsidRPr="0032192C" w:rsidRDefault="0032192C" w:rsidP="0032192C">
      <w:pPr>
        <w:bidi/>
        <w:rPr>
          <w:b/>
          <w:bCs/>
          <w:color w:val="0070C0"/>
        </w:rPr>
      </w:pPr>
      <w:r w:rsidRPr="0032192C">
        <w:rPr>
          <w:b/>
          <w:bCs/>
          <w:color w:val="0070C0"/>
          <w:rtl/>
        </w:rPr>
        <w:t>خامسًا: الحياة السياسية والاجتماعية في الحضارات المبكرة</w:t>
      </w:r>
    </w:p>
    <w:p w14:paraId="57EF4862" w14:textId="77777777" w:rsidR="0032192C" w:rsidRPr="0032192C" w:rsidRDefault="0032192C" w:rsidP="0032192C">
      <w:pPr>
        <w:bidi/>
        <w:rPr>
          <w:b/>
          <w:bCs/>
        </w:rPr>
      </w:pPr>
      <w:r w:rsidRPr="0032192C">
        <w:rPr>
          <w:b/>
          <w:bCs/>
          <w:rtl/>
        </w:rPr>
        <w:t xml:space="preserve">في المجال السياسي، تكشف الأدلة عن وجود مستويات متعددة من السلطة. ففي كريت، تشير القصور الكبرى إلى مراكز إقليمية قوية، لكن مسألة ما إذا كانت الجزيرة موحدة سياسيًا تحت كنوسوس في كل المراحل تبقى محل جدل. أما في العالم الميسيني، فالألواح الخطية ب تعطينا صورة أوضح نسبيًا عن جهاز هرمي يقوده الملك </w:t>
      </w:r>
      <w:proofErr w:type="spellStart"/>
      <w:r w:rsidRPr="0032192C">
        <w:rPr>
          <w:b/>
          <w:bCs/>
        </w:rPr>
        <w:t>wanax</w:t>
      </w:r>
      <w:proofErr w:type="spellEnd"/>
      <w:r w:rsidRPr="0032192C">
        <w:rPr>
          <w:b/>
          <w:bCs/>
        </w:rPr>
        <w:t xml:space="preserve"> </w:t>
      </w:r>
      <w:r w:rsidRPr="0032192C">
        <w:rPr>
          <w:b/>
          <w:bCs/>
          <w:rtl/>
        </w:rPr>
        <w:t>ويليه قادة عسكريون وإداريون محليون. ومن المهم هنا ألا نُسقط على هذه البنى مفاهيم الدولة الحديثة؛ فهذه ممالك قصرية تقوم على السيطرة على الموارد والعمالة والقرابين والطرق، أكثر من قيامها على الإقليم الوطني بمعناه اللاحق</w:t>
      </w:r>
      <w:r w:rsidRPr="0032192C">
        <w:rPr>
          <w:b/>
          <w:bCs/>
        </w:rPr>
        <w:t xml:space="preserve">. </w:t>
      </w:r>
    </w:p>
    <w:p w14:paraId="11B8B63D" w14:textId="77777777" w:rsidR="0032192C" w:rsidRPr="0032192C" w:rsidRDefault="0032192C" w:rsidP="0032192C">
      <w:pPr>
        <w:bidi/>
        <w:rPr>
          <w:b/>
          <w:bCs/>
        </w:rPr>
      </w:pPr>
      <w:r w:rsidRPr="0032192C">
        <w:rPr>
          <w:b/>
          <w:bCs/>
          <w:rtl/>
        </w:rPr>
        <w:t>اجتماعيًا، كانت هذه المجتمعات شديدة التراتب. فالفارق بين المقابر النخبوية الغنية والدفنات الأكثر تواضعًا، وبين القصور والمساكن الخاصة، وبين من يظهرون في السجلات بوصفهم مالكين أو كهنة أو حرفيين متخصصين، يدل على وجود هرم اجتماعي واضح. كما تكشف الألواح عن تقسيمٍ للعمل وعن رقابة قصرية على قطاعات مثل النسيج والرعي وصناعة العطور والمعادن. ومن ثمّ، فالحياة اليومية لم تكن منفصلة عن الإدارة؛ بل كانت كثير من الأنشطة الاقتصادية والحرفية مرتبطة بالمؤسسة القصرية مباشرة أو غير مباشرة</w:t>
      </w:r>
      <w:r w:rsidRPr="0032192C">
        <w:rPr>
          <w:b/>
          <w:bCs/>
        </w:rPr>
        <w:t xml:space="preserve">. </w:t>
      </w:r>
    </w:p>
    <w:p w14:paraId="76340571" w14:textId="77777777" w:rsidR="0032192C" w:rsidRPr="0032192C" w:rsidRDefault="0032192C" w:rsidP="0032192C">
      <w:pPr>
        <w:bidi/>
        <w:rPr>
          <w:b/>
          <w:bCs/>
        </w:rPr>
      </w:pPr>
      <w:r w:rsidRPr="0032192C">
        <w:rPr>
          <w:b/>
          <w:bCs/>
          <w:rtl/>
        </w:rPr>
        <w:t>أما دور المرأة، فهو من أكثر الجوانب تعقيدًا. ففي كريت المينوية تمنحنا الفنون الجدارية والتمثيلات الطقسية انطباعًا قويًا بظهور النساء في المجال العام والاحتفالي، لكن غياب نصوص مقروءة من داخل النظام المينوي يمنع تحويل هذا الظهور الأيقوني إلى صياغة قانونية أو مؤسسية مؤكدة. وفي المقابل، تتيح ألواح الخط الخطي ب للميسينيين صورةً أدق: فهي تسجل نساءً عاملات، ومجموعات نسائية تابعة، كما تسجل وظائف دينية نسوية؛ وإحدى ألواح كنوسوس تحفظ قرابين زيتية لموظفين دينيين وآلهة، ومن بينهم "كاهنة الرياح". لذلك فالصواب المنهجي هو القول إن النساء كن حاضرات بوضوح في الاقتصاد والطقس، لكن طبيعة سلطتهن الاجتماعية والسياسية اختلفت من سياق إلى آخر، كما أن الأدلة المتاحة غير متكافئة بين كريت المينوية والبرّ الميسيني</w:t>
      </w:r>
      <w:r w:rsidRPr="0032192C">
        <w:rPr>
          <w:b/>
          <w:bCs/>
        </w:rPr>
        <w:t xml:space="preserve">. </w:t>
      </w:r>
    </w:p>
    <w:p w14:paraId="44C1C499" w14:textId="77777777" w:rsidR="0032192C" w:rsidRPr="0032192C" w:rsidRDefault="0032192C" w:rsidP="0032192C">
      <w:pPr>
        <w:bidi/>
        <w:rPr>
          <w:b/>
          <w:bCs/>
        </w:rPr>
      </w:pPr>
      <w:r w:rsidRPr="0032192C">
        <w:rPr>
          <w:b/>
          <w:bCs/>
          <w:rtl/>
        </w:rPr>
        <w:t>وفي ما يخص الحياة اليومية، تُظهر اللقى الأثرية منازلَ واسعة لدى النخبة، وأواني تخزين ضخمة، وأدوات حرفية، ومناظر صيد وولائم وعربات وطقوس. ويبدو أن القصر كان يتحكم في جزء معتبر من إنتاج الأغذية والمنسوجات والزيوت والعطور والقرابين، لكن ذلك لا يعني أن كل المجتمع كان يعيش داخل القصر؛ فهناك بيوت خاصة ومراكز غير قصرية احتفظ بعضها بسجلاته الخاصة. وهذا التداخل بين المركز والأطراف هو ما يمنح الحضارات الإيجية طابعها الخاص: مجتمعات ليست قبل-سياسية، لكنها أيضًا لم تبلغ بعدُ شكل المدينة-الدولة الكلاسيكية</w:t>
      </w:r>
      <w:r w:rsidRPr="0032192C">
        <w:rPr>
          <w:b/>
          <w:bCs/>
        </w:rPr>
        <w:t xml:space="preserve">. </w:t>
      </w:r>
    </w:p>
    <w:p w14:paraId="58A007DC" w14:textId="77777777" w:rsidR="0032192C" w:rsidRPr="0032192C" w:rsidRDefault="0032192C" w:rsidP="0032192C">
      <w:pPr>
        <w:bidi/>
        <w:rPr>
          <w:b/>
          <w:bCs/>
          <w:color w:val="0070C0"/>
        </w:rPr>
      </w:pPr>
      <w:r w:rsidRPr="0032192C">
        <w:rPr>
          <w:b/>
          <w:bCs/>
          <w:color w:val="0070C0"/>
          <w:rtl/>
        </w:rPr>
        <w:t>سادسًا: أثر هذه الحضارات في التاريخ الأوروبي اللاحق</w:t>
      </w:r>
    </w:p>
    <w:p w14:paraId="0E5A5A71" w14:textId="77777777" w:rsidR="0032192C" w:rsidRPr="0032192C" w:rsidRDefault="0032192C" w:rsidP="0032192C">
      <w:pPr>
        <w:bidi/>
        <w:rPr>
          <w:b/>
          <w:bCs/>
        </w:rPr>
      </w:pPr>
      <w:r w:rsidRPr="0032192C">
        <w:rPr>
          <w:b/>
          <w:bCs/>
          <w:rtl/>
        </w:rPr>
        <w:t>لم تختفِ الحضارات الإيجية الأولى من التاريخ الأوروبي بانهيار قصورها، بل بقي أثرها حيًا على ثلاثة مستويات. أولًا، على مستوى اللغة والذاكرة</w:t>
      </w:r>
      <w:r w:rsidRPr="0032192C">
        <w:rPr>
          <w:b/>
          <w:bCs/>
        </w:rPr>
        <w:t xml:space="preserve">: </w:t>
      </w:r>
      <w:r w:rsidRPr="0032192C">
        <w:rPr>
          <w:b/>
          <w:bCs/>
          <w:rtl/>
        </w:rPr>
        <w:t xml:space="preserve">فالخط الخطي ب يقدم أقدم صورة معروفة لليونانية، بينما حفظت التقاليد الملحمية المتأخرة صورةً متخيلة عن عالم الملوك المحصنين والقصور والثروة والحرب، وهي صورة ستصبح جزءًا تأسيسيًا من الثقافة </w:t>
      </w:r>
      <w:r w:rsidRPr="0032192C">
        <w:rPr>
          <w:b/>
          <w:bCs/>
          <w:rtl/>
        </w:rPr>
        <w:lastRenderedPageBreak/>
        <w:t>اليونانية ثم الأوروبية. وقد ظلت ميسينا وتيرنز مرتبطتين بالإلياذة والأوديسة، وتأثير هاتين الملحمتين في الأدب والفنون الأوروبية استمر أكثر من ثلاثة آلاف سنة</w:t>
      </w:r>
      <w:r w:rsidRPr="0032192C">
        <w:rPr>
          <w:b/>
          <w:bCs/>
        </w:rPr>
        <w:t xml:space="preserve">. </w:t>
      </w:r>
    </w:p>
    <w:p w14:paraId="3B4C5A85" w14:textId="77777777" w:rsidR="0032192C" w:rsidRPr="0032192C" w:rsidRDefault="0032192C" w:rsidP="0032192C">
      <w:pPr>
        <w:bidi/>
        <w:rPr>
          <w:b/>
          <w:bCs/>
        </w:rPr>
      </w:pPr>
      <w:r w:rsidRPr="0032192C">
        <w:rPr>
          <w:b/>
          <w:bCs/>
          <w:rtl/>
        </w:rPr>
        <w:t>ثانيًا، على مستوى المؤسسات والعمارة والتقنية</w:t>
      </w:r>
      <w:r w:rsidRPr="0032192C">
        <w:rPr>
          <w:b/>
          <w:bCs/>
        </w:rPr>
        <w:t xml:space="preserve">: </w:t>
      </w:r>
      <w:r w:rsidRPr="0032192C">
        <w:rPr>
          <w:b/>
          <w:bCs/>
          <w:rtl/>
        </w:rPr>
        <w:t>فالنظام القَصَري، والإنجازات في التحصين والهندسة والصرف والطرق، والعمارة الضخمة، كلها شكلت ذخيرة تقنية ورمزية للعالم اليوناني اللاحق. وتشير اليونسكو صراحةً إلى أن منجزات ميسينا وتيرنز في الفن والعمارة والتقنية أسهمت في وضع أسس تطور الثقافات الأوروبية اللاحقة، كما كان لها أثر عميق في تطور العمارة والتخطيط العمراني اليوناني الكلاسيكي</w:t>
      </w:r>
      <w:r w:rsidRPr="0032192C">
        <w:rPr>
          <w:b/>
          <w:bCs/>
        </w:rPr>
        <w:t xml:space="preserve">. </w:t>
      </w:r>
    </w:p>
    <w:p w14:paraId="7B39865E" w14:textId="77777777" w:rsidR="0032192C" w:rsidRPr="0032192C" w:rsidRDefault="0032192C" w:rsidP="0032192C">
      <w:pPr>
        <w:bidi/>
        <w:rPr>
          <w:b/>
          <w:bCs/>
        </w:rPr>
      </w:pPr>
      <w:r w:rsidRPr="0032192C">
        <w:rPr>
          <w:b/>
          <w:bCs/>
          <w:rtl/>
        </w:rPr>
        <w:t>ثالثًا، على مستوى المسار التاريخي الطويل</w:t>
      </w:r>
      <w:r w:rsidRPr="0032192C">
        <w:rPr>
          <w:b/>
          <w:bCs/>
        </w:rPr>
        <w:t xml:space="preserve">: </w:t>
      </w:r>
      <w:r w:rsidRPr="0032192C">
        <w:rPr>
          <w:b/>
          <w:bCs/>
          <w:rtl/>
        </w:rPr>
        <w:t>فبعد انهيار الممالك الميسينية دخلت اليونان مرحلة تغير عميق، ثم خرجت منها مدن-دول قوية كأثينا وإسبرطة وكورنث، ومع تجدد التجارة والاتصال ظهرت تحولات كبرى في الفن والعمارة والكتابة والفلسفة. ومن ثمّ فالحضارات الأولى لم تنتقل إلى اليونان الكلاسيكية انتقالًا خطيًا بسيطًا، بل عبر انقطاعٍ وتحولٍ وإعادة تركيب. وهذا أدقّ من القول بوجود "استمرارية مباشرة"؛ إذ إن الأصح هو أن العالم الكلاسيكي بُني على بقايا العالم الإيجي البرونزي، ماديًا في بعض المواضع، وذاكرتيًا ورمزيًا في مواضع أخرى. ومن خلال اليونان الكلاسيكية، ثم عبر الوسيط الروماني والأوروبي اللاحق، تحوّل هذا الإرث إلى جزء من البنية العميقة للحضارة الأوروبية. وهذه الجملة الأخيرة استنتاج تاريخي مدعوم بكون الميسينية أسهمت في تكوين الثقافة اليونانية الكلاسيكية التي انتقلت بدورها إلى أوروبا اللاحقة</w:t>
      </w:r>
      <w:r w:rsidRPr="0032192C">
        <w:rPr>
          <w:b/>
          <w:bCs/>
        </w:rPr>
        <w:t xml:space="preserve">. </w:t>
      </w:r>
    </w:p>
    <w:p w14:paraId="68E4AD1F" w14:textId="77777777" w:rsidR="0032192C" w:rsidRPr="0032192C" w:rsidRDefault="0032192C" w:rsidP="0032192C">
      <w:pPr>
        <w:bidi/>
        <w:rPr>
          <w:b/>
          <w:bCs/>
        </w:rPr>
      </w:pPr>
      <w:r w:rsidRPr="0032192C">
        <w:rPr>
          <w:b/>
          <w:bCs/>
          <w:rtl/>
        </w:rPr>
        <w:t>خاتمة</w:t>
      </w:r>
    </w:p>
    <w:p w14:paraId="27D26A89" w14:textId="77777777" w:rsidR="0032192C" w:rsidRDefault="0032192C" w:rsidP="0032192C">
      <w:pPr>
        <w:bidi/>
        <w:rPr>
          <w:b/>
          <w:bCs/>
          <w:rtl/>
        </w:rPr>
      </w:pPr>
      <w:r w:rsidRPr="0032192C">
        <w:rPr>
          <w:b/>
          <w:bCs/>
          <w:rtl/>
        </w:rPr>
        <w:t>تُظهر دراسة الحضارات الأولى في أوروبا أن البدايات الأوروبية لم تكن بدائية أو هامشية، بل قامت على مجتمعات بحرية حضرية معقدة امتلكت قدرات عالية في الإدارة والعمارة والحرف والتجارة والرمز الديني. وقد مثّلت الحضارة الإيجية الإطار الأشمل الذي تفاعلت داخله الكيكلادية والمينوية والميسينية، بينما جسدت المينوية أوجَ التنظيم القَصَري البحري في كريت، وجسدت الميسينية صعود نموذجٍ قصريٍّ محاربٍ في البرّ اليوناني. كما بينت الشواهد أن الانهيار لم يكن حدثًا بسيطًا أحادي السبب، بل مسارًا مركبًا من الأزمات والتحولات. والأهم من ذلك أن هذه الحضارات، على الرغم من زوالها السياسي، تركت أثرًا باقياً في اللغة والذاكرة والأسطورة والعمارة والتنظيم، وهو أثر انتقل إلى اليونان الكلاسيكية ثم إلى التراث الروماني والأوروبي الأوسع. ومن هنا فإن فهم الحضارات الأولى في أوروبا ليس مدخلًا إلى "ما قبل التاريخ الكلاسيكي" فحسب، بل هو شرط لازم لفهم تاريخ أوروبا نفسه في امتداده الطويل</w:t>
      </w:r>
      <w:r w:rsidRPr="0032192C">
        <w:rPr>
          <w:b/>
          <w:bCs/>
        </w:rPr>
        <w:t xml:space="preserve">. </w:t>
      </w:r>
    </w:p>
    <w:p w14:paraId="75B763E5" w14:textId="77777777" w:rsidR="0032192C" w:rsidRDefault="0032192C" w:rsidP="0032192C">
      <w:pPr>
        <w:bidi/>
        <w:rPr>
          <w:b/>
          <w:bCs/>
          <w:rtl/>
        </w:rPr>
      </w:pPr>
    </w:p>
    <w:p w14:paraId="2D0A7799" w14:textId="77777777" w:rsidR="0032192C" w:rsidRDefault="0032192C" w:rsidP="0032192C">
      <w:pPr>
        <w:bidi/>
        <w:rPr>
          <w:b/>
          <w:bCs/>
          <w:rtl/>
        </w:rPr>
      </w:pPr>
    </w:p>
    <w:p w14:paraId="25292CE2" w14:textId="77777777" w:rsidR="0032192C" w:rsidRDefault="0032192C" w:rsidP="0032192C">
      <w:pPr>
        <w:bidi/>
        <w:rPr>
          <w:b/>
          <w:bCs/>
          <w:rtl/>
        </w:rPr>
      </w:pPr>
    </w:p>
    <w:p w14:paraId="50AD1B86" w14:textId="77777777" w:rsidR="0032192C" w:rsidRPr="0032192C" w:rsidRDefault="0032192C" w:rsidP="0032192C">
      <w:pPr>
        <w:bidi/>
        <w:rPr>
          <w:b/>
          <w:bCs/>
        </w:rPr>
      </w:pPr>
    </w:p>
    <w:p w14:paraId="25862EFF" w14:textId="77777777" w:rsidR="0032192C" w:rsidRDefault="0032192C" w:rsidP="0032192C">
      <w:pPr>
        <w:bidi/>
        <w:rPr>
          <w:b/>
          <w:bCs/>
          <w:color w:val="C00000"/>
          <w:rtl/>
        </w:rPr>
      </w:pPr>
    </w:p>
    <w:p w14:paraId="65E3CFF4" w14:textId="77777777" w:rsidR="0032192C" w:rsidRDefault="0032192C" w:rsidP="0032192C">
      <w:pPr>
        <w:bidi/>
        <w:rPr>
          <w:b/>
          <w:bCs/>
          <w:color w:val="C00000"/>
          <w:rtl/>
        </w:rPr>
      </w:pPr>
    </w:p>
    <w:p w14:paraId="738A9D53" w14:textId="77777777" w:rsidR="0032192C" w:rsidRDefault="0032192C" w:rsidP="0032192C">
      <w:pPr>
        <w:bidi/>
        <w:rPr>
          <w:b/>
          <w:bCs/>
          <w:color w:val="C00000"/>
          <w:rtl/>
        </w:rPr>
      </w:pPr>
    </w:p>
    <w:p w14:paraId="6AB669CE" w14:textId="77777777" w:rsidR="0032192C" w:rsidRDefault="0032192C" w:rsidP="0032192C">
      <w:pPr>
        <w:bidi/>
        <w:rPr>
          <w:b/>
          <w:bCs/>
          <w:color w:val="C00000"/>
          <w:rtl/>
        </w:rPr>
      </w:pPr>
    </w:p>
    <w:p w14:paraId="44101C45" w14:textId="77777777" w:rsidR="0032192C" w:rsidRDefault="0032192C" w:rsidP="0032192C">
      <w:pPr>
        <w:bidi/>
        <w:rPr>
          <w:b/>
          <w:bCs/>
          <w:color w:val="C00000"/>
          <w:rtl/>
        </w:rPr>
      </w:pPr>
    </w:p>
    <w:p w14:paraId="1B02D97E" w14:textId="77777777" w:rsidR="0032192C" w:rsidRDefault="0032192C" w:rsidP="0032192C">
      <w:pPr>
        <w:bidi/>
        <w:rPr>
          <w:b/>
          <w:bCs/>
          <w:color w:val="C00000"/>
          <w:rtl/>
        </w:rPr>
      </w:pPr>
    </w:p>
    <w:p w14:paraId="4E4DCF4D" w14:textId="39194F45" w:rsidR="0032192C" w:rsidRPr="0032192C" w:rsidRDefault="0032192C" w:rsidP="0032192C">
      <w:pPr>
        <w:bidi/>
        <w:rPr>
          <w:b/>
          <w:bCs/>
          <w:color w:val="C00000"/>
        </w:rPr>
      </w:pPr>
      <w:r w:rsidRPr="0032192C">
        <w:rPr>
          <w:b/>
          <w:bCs/>
          <w:color w:val="C00000"/>
          <w:rtl/>
        </w:rPr>
        <w:lastRenderedPageBreak/>
        <w:t>مراجع ختامية مختارة</w:t>
      </w:r>
    </w:p>
    <w:p w14:paraId="1A16AC65" w14:textId="77777777" w:rsidR="0032192C" w:rsidRPr="0032192C" w:rsidRDefault="0032192C" w:rsidP="0032192C">
      <w:pPr>
        <w:numPr>
          <w:ilvl w:val="0"/>
          <w:numId w:val="1"/>
        </w:numPr>
        <w:bidi/>
        <w:rPr>
          <w:b/>
          <w:bCs/>
          <w:color w:val="C00000"/>
        </w:rPr>
      </w:pPr>
      <w:r w:rsidRPr="0032192C">
        <w:rPr>
          <w:b/>
          <w:bCs/>
          <w:color w:val="C00000"/>
        </w:rPr>
        <w:t xml:space="preserve">Colette Hemingway &amp; Seán Hemingway, Minoan Crete, The Metropolitan Museum of Art. </w:t>
      </w:r>
    </w:p>
    <w:p w14:paraId="72E055FC" w14:textId="77777777" w:rsidR="0032192C" w:rsidRPr="0032192C" w:rsidRDefault="0032192C" w:rsidP="0032192C">
      <w:pPr>
        <w:numPr>
          <w:ilvl w:val="0"/>
          <w:numId w:val="1"/>
        </w:numPr>
        <w:bidi/>
        <w:rPr>
          <w:b/>
          <w:bCs/>
          <w:color w:val="C00000"/>
        </w:rPr>
      </w:pPr>
      <w:r w:rsidRPr="0032192C">
        <w:rPr>
          <w:b/>
          <w:bCs/>
          <w:color w:val="C00000"/>
        </w:rPr>
        <w:t xml:space="preserve">Colette Hemingway &amp; Seán Hemingway, Mycenaean Civilization, The Metropolitan Museum of Art. </w:t>
      </w:r>
    </w:p>
    <w:p w14:paraId="234FA6B3" w14:textId="77777777" w:rsidR="0032192C" w:rsidRPr="0032192C" w:rsidRDefault="0032192C" w:rsidP="0032192C">
      <w:pPr>
        <w:numPr>
          <w:ilvl w:val="0"/>
          <w:numId w:val="1"/>
        </w:numPr>
        <w:bidi/>
        <w:rPr>
          <w:b/>
          <w:bCs/>
          <w:color w:val="C00000"/>
        </w:rPr>
      </w:pPr>
      <w:r w:rsidRPr="0032192C">
        <w:rPr>
          <w:b/>
          <w:bCs/>
          <w:color w:val="C00000"/>
        </w:rPr>
        <w:t xml:space="preserve">Department of Greek and Roman Art, Early Cycladic Art and Culture, The Metropolitan Museum of Art. </w:t>
      </w:r>
    </w:p>
    <w:p w14:paraId="41BAE822" w14:textId="77777777" w:rsidR="0032192C" w:rsidRPr="0032192C" w:rsidRDefault="0032192C" w:rsidP="0032192C">
      <w:pPr>
        <w:numPr>
          <w:ilvl w:val="0"/>
          <w:numId w:val="1"/>
        </w:numPr>
        <w:bidi/>
        <w:rPr>
          <w:b/>
          <w:bCs/>
          <w:color w:val="C00000"/>
        </w:rPr>
      </w:pPr>
      <w:r w:rsidRPr="0032192C">
        <w:rPr>
          <w:b/>
          <w:bCs/>
          <w:color w:val="C00000"/>
        </w:rPr>
        <w:t xml:space="preserve">Greece: Minoans and Mycenaeans, British Museum. </w:t>
      </w:r>
    </w:p>
    <w:p w14:paraId="3A6848A7" w14:textId="77777777" w:rsidR="0032192C" w:rsidRPr="0032192C" w:rsidRDefault="0032192C" w:rsidP="0032192C">
      <w:pPr>
        <w:numPr>
          <w:ilvl w:val="0"/>
          <w:numId w:val="1"/>
        </w:numPr>
        <w:bidi/>
        <w:rPr>
          <w:b/>
          <w:bCs/>
          <w:color w:val="C00000"/>
        </w:rPr>
      </w:pPr>
      <w:r w:rsidRPr="0032192C">
        <w:rPr>
          <w:b/>
          <w:bCs/>
          <w:color w:val="C00000"/>
        </w:rPr>
        <w:t xml:space="preserve">Aegean Civilization and related sections, Encyclopaedia Britannica. </w:t>
      </w:r>
    </w:p>
    <w:p w14:paraId="4DB80283" w14:textId="77777777" w:rsidR="0032192C" w:rsidRPr="0032192C" w:rsidRDefault="0032192C" w:rsidP="0032192C">
      <w:pPr>
        <w:numPr>
          <w:ilvl w:val="0"/>
          <w:numId w:val="1"/>
        </w:numPr>
        <w:bidi/>
        <w:rPr>
          <w:b/>
          <w:bCs/>
          <w:color w:val="C00000"/>
        </w:rPr>
      </w:pPr>
      <w:r w:rsidRPr="0032192C">
        <w:rPr>
          <w:b/>
          <w:bCs/>
          <w:color w:val="C00000"/>
        </w:rPr>
        <w:t xml:space="preserve">Archaeological Sites of Mycenae and Tiryns, UNESCO World Heritage Centre. </w:t>
      </w:r>
    </w:p>
    <w:p w14:paraId="27453F3F" w14:textId="77777777" w:rsidR="0032192C" w:rsidRPr="0032192C" w:rsidRDefault="0032192C" w:rsidP="0032192C">
      <w:pPr>
        <w:numPr>
          <w:ilvl w:val="0"/>
          <w:numId w:val="1"/>
        </w:numPr>
        <w:bidi/>
        <w:rPr>
          <w:b/>
          <w:bCs/>
          <w:color w:val="C00000"/>
        </w:rPr>
      </w:pPr>
      <w:r w:rsidRPr="0032192C">
        <w:rPr>
          <w:b/>
          <w:bCs/>
          <w:color w:val="C00000"/>
        </w:rPr>
        <w:t xml:space="preserve">Minoan Palatial </w:t>
      </w:r>
      <w:proofErr w:type="spellStart"/>
      <w:r w:rsidRPr="0032192C">
        <w:rPr>
          <w:b/>
          <w:bCs/>
          <w:color w:val="C00000"/>
        </w:rPr>
        <w:t>Centres</w:t>
      </w:r>
      <w:proofErr w:type="spellEnd"/>
      <w:r w:rsidRPr="0032192C">
        <w:rPr>
          <w:b/>
          <w:bCs/>
          <w:color w:val="C00000"/>
        </w:rPr>
        <w:t xml:space="preserve">, UNESCO World Heritage Centre. </w:t>
      </w:r>
    </w:p>
    <w:p w14:paraId="26981DB1" w14:textId="77777777" w:rsidR="0032192C" w:rsidRPr="0032192C" w:rsidRDefault="0032192C" w:rsidP="0032192C">
      <w:pPr>
        <w:numPr>
          <w:ilvl w:val="0"/>
          <w:numId w:val="1"/>
        </w:numPr>
        <w:bidi/>
        <w:rPr>
          <w:b/>
          <w:bCs/>
          <w:color w:val="C00000"/>
        </w:rPr>
      </w:pPr>
      <w:r w:rsidRPr="0032192C">
        <w:rPr>
          <w:b/>
          <w:bCs/>
          <w:color w:val="C00000"/>
        </w:rPr>
        <w:t xml:space="preserve">Thucydides, History of the Peloponnesian War 1.4. </w:t>
      </w:r>
    </w:p>
    <w:p w14:paraId="34B7E5EB" w14:textId="77777777" w:rsidR="0032192C" w:rsidRPr="0032192C" w:rsidRDefault="0032192C" w:rsidP="0032192C">
      <w:pPr>
        <w:numPr>
          <w:ilvl w:val="0"/>
          <w:numId w:val="1"/>
        </w:numPr>
        <w:bidi/>
        <w:rPr>
          <w:b/>
          <w:bCs/>
          <w:color w:val="C00000"/>
        </w:rPr>
      </w:pPr>
      <w:r w:rsidRPr="0032192C">
        <w:rPr>
          <w:b/>
          <w:bCs/>
          <w:color w:val="C00000"/>
        </w:rPr>
        <w:t xml:space="preserve">Homer, Iliad, Catalogue of Ships (Mycenae as “well-built citadel”). </w:t>
      </w:r>
    </w:p>
    <w:p w14:paraId="0DFC4150" w14:textId="77777777" w:rsidR="0032192C" w:rsidRPr="0032192C" w:rsidRDefault="0032192C" w:rsidP="0032192C">
      <w:pPr>
        <w:numPr>
          <w:ilvl w:val="0"/>
          <w:numId w:val="1"/>
        </w:numPr>
        <w:bidi/>
        <w:rPr>
          <w:b/>
          <w:bCs/>
          <w:color w:val="C00000"/>
        </w:rPr>
      </w:pPr>
      <w:r w:rsidRPr="0032192C">
        <w:rPr>
          <w:b/>
          <w:bCs/>
          <w:color w:val="C00000"/>
        </w:rPr>
        <w:t xml:space="preserve">Carl Knappett, Ray Rivers, Tim Evans, The Theran eruption and Minoan palatial collapse, </w:t>
      </w:r>
      <w:r w:rsidRPr="0032192C">
        <w:rPr>
          <w:b/>
          <w:bCs/>
          <w:i/>
          <w:iCs/>
          <w:color w:val="C00000"/>
        </w:rPr>
        <w:t>Antiquity</w:t>
      </w:r>
      <w:r w:rsidRPr="0032192C">
        <w:rPr>
          <w:b/>
          <w:bCs/>
          <w:color w:val="C00000"/>
        </w:rPr>
        <w:t xml:space="preserve"> (2011). </w:t>
      </w:r>
    </w:p>
    <w:p w14:paraId="216264D8" w14:textId="77777777" w:rsidR="0032192C" w:rsidRPr="0032192C" w:rsidRDefault="0032192C" w:rsidP="0032192C">
      <w:pPr>
        <w:numPr>
          <w:ilvl w:val="0"/>
          <w:numId w:val="1"/>
        </w:numPr>
        <w:bidi/>
        <w:rPr>
          <w:b/>
          <w:bCs/>
          <w:color w:val="C00000"/>
        </w:rPr>
      </w:pPr>
      <w:r w:rsidRPr="0032192C">
        <w:rPr>
          <w:b/>
          <w:bCs/>
          <w:color w:val="C00000"/>
        </w:rPr>
        <w:t xml:space="preserve">Guy D. Middleton, </w:t>
      </w:r>
      <w:proofErr w:type="spellStart"/>
      <w:r w:rsidRPr="0032192C">
        <w:rPr>
          <w:b/>
          <w:bCs/>
          <w:color w:val="C00000"/>
        </w:rPr>
        <w:t>Eritha</w:t>
      </w:r>
      <w:proofErr w:type="spellEnd"/>
      <w:r w:rsidRPr="0032192C">
        <w:rPr>
          <w:b/>
          <w:bCs/>
          <w:color w:val="C00000"/>
        </w:rPr>
        <w:t xml:space="preserve"> and </w:t>
      </w:r>
      <w:proofErr w:type="spellStart"/>
      <w:r w:rsidRPr="0032192C">
        <w:rPr>
          <w:b/>
          <w:bCs/>
          <w:color w:val="C00000"/>
        </w:rPr>
        <w:t>Karpathia</w:t>
      </w:r>
      <w:proofErr w:type="spellEnd"/>
      <w:r w:rsidRPr="0032192C">
        <w:rPr>
          <w:b/>
          <w:bCs/>
          <w:color w:val="C00000"/>
        </w:rPr>
        <w:t xml:space="preserve">, in </w:t>
      </w:r>
      <w:r w:rsidRPr="0032192C">
        <w:rPr>
          <w:b/>
          <w:bCs/>
          <w:i/>
          <w:iCs/>
          <w:color w:val="C00000"/>
        </w:rPr>
        <w:t>Women in the Ancient Mediterranean World</w:t>
      </w:r>
      <w:r w:rsidRPr="0032192C">
        <w:rPr>
          <w:b/>
          <w:bCs/>
          <w:color w:val="C00000"/>
        </w:rPr>
        <w:t xml:space="preserve"> (Cambridge, 2023). </w:t>
      </w:r>
    </w:p>
    <w:p w14:paraId="56BC78C1" w14:textId="77777777" w:rsidR="00F3126F" w:rsidRDefault="00F3126F" w:rsidP="0032192C">
      <w:pPr>
        <w:pBdr>
          <w:bottom w:val="single" w:sz="6" w:space="1" w:color="auto"/>
        </w:pBdr>
        <w:bidi/>
        <w:rPr>
          <w:b/>
          <w:bCs/>
          <w:color w:val="C00000"/>
          <w:rtl/>
        </w:rPr>
      </w:pPr>
    </w:p>
    <w:p w14:paraId="4E346302" w14:textId="77777777" w:rsidR="0084744B" w:rsidRDefault="0084744B" w:rsidP="0084744B">
      <w:pPr>
        <w:bidi/>
        <w:rPr>
          <w:b/>
          <w:bCs/>
          <w:color w:val="C00000"/>
          <w:rtl/>
        </w:rPr>
      </w:pPr>
    </w:p>
    <w:p w14:paraId="64A8F0D7" w14:textId="087E9353" w:rsidR="0084744B" w:rsidRPr="0084744B" w:rsidRDefault="0084744B" w:rsidP="0084744B">
      <w:pPr>
        <w:bidi/>
        <w:rPr>
          <w:b/>
          <w:bCs/>
          <w:color w:val="C00000"/>
        </w:rPr>
      </w:pPr>
    </w:p>
    <w:p w14:paraId="402C6550" w14:textId="77777777" w:rsidR="0084744B" w:rsidRPr="0084744B" w:rsidRDefault="0084744B" w:rsidP="0084744B">
      <w:pPr>
        <w:bidi/>
        <w:rPr>
          <w:b/>
          <w:bCs/>
          <w:color w:val="215E99" w:themeColor="text2" w:themeTint="BF"/>
        </w:rPr>
      </w:pPr>
      <w:r w:rsidRPr="0084744B">
        <w:rPr>
          <w:b/>
          <w:bCs/>
          <w:color w:val="215E99" w:themeColor="text2" w:themeTint="BF"/>
          <w:rtl/>
        </w:rPr>
        <w:t>الفصل الرابع: أوروبا في التاريخ اليوناني القديم</w:t>
      </w:r>
    </w:p>
    <w:p w14:paraId="0237758C" w14:textId="77777777" w:rsidR="0084744B" w:rsidRPr="0084744B" w:rsidRDefault="0084744B" w:rsidP="0084744B">
      <w:pPr>
        <w:bidi/>
        <w:rPr>
          <w:b/>
          <w:bCs/>
        </w:rPr>
      </w:pPr>
      <w:r w:rsidRPr="0084744B">
        <w:rPr>
          <w:b/>
          <w:bCs/>
          <w:rtl/>
        </w:rPr>
        <w:t>مقدمة</w:t>
      </w:r>
    </w:p>
    <w:p w14:paraId="24A53A47" w14:textId="77777777" w:rsidR="0084744B" w:rsidRPr="0084744B" w:rsidRDefault="0084744B" w:rsidP="0084744B">
      <w:pPr>
        <w:bidi/>
        <w:rPr>
          <w:b/>
          <w:bCs/>
        </w:rPr>
      </w:pPr>
      <w:r w:rsidRPr="0084744B">
        <w:rPr>
          <w:b/>
          <w:bCs/>
          <w:rtl/>
        </w:rPr>
        <w:t>يمثل التاريخ اليوناني القديم مرحلةً حاسمةً في تشكل التاريخ الأوروبي، لأن العالم اليوناني لم يكن مجرد مجموعة من المدن في جنوب البلقان، بل فضاءً حضاريًا امتد عبر بحر إيجة والساحل الغربي لآسيا الصغرى، ثم عبر الاستعمار البحري إلى أنحاء واسعة من البحر المتوسط والبحر الأسود. ومن هذا العالم خرجت صيغ مبكرة للمدينة-الدولة، وأنماط متنوعة من الحكم، وتجارب سياسية متباينة مثل ديمقراطية أثينا وأوليغاركية إسبرطة، كما خرجت منه تقاليد الفلسفة والتاريخ والمسرح والجدل العام التي أثرت في أوروبا اللاحقة تأثيرًا عميقًا. وتؤرخ الموسوعات الحديثة للحضارة اليونانية القديمة من نهاية العالم الميسيني نحو 1200 ق.م. إلى وفاة الإسكندر الأكبر سنة 323 ق.م.، مع امتداد الإرث اليوناني في العصر الهلنستي بعد ذلك</w:t>
      </w:r>
      <w:r w:rsidRPr="0084744B">
        <w:rPr>
          <w:b/>
          <w:bCs/>
        </w:rPr>
        <w:t xml:space="preserve">. </w:t>
      </w:r>
    </w:p>
    <w:p w14:paraId="71B97508" w14:textId="77777777" w:rsidR="0084744B" w:rsidRPr="0084744B" w:rsidRDefault="0084744B" w:rsidP="0084744B">
      <w:pPr>
        <w:bidi/>
        <w:rPr>
          <w:b/>
          <w:bCs/>
        </w:rPr>
      </w:pPr>
      <w:r w:rsidRPr="0084744B">
        <w:rPr>
          <w:b/>
          <w:bCs/>
          <w:rtl/>
        </w:rPr>
        <w:lastRenderedPageBreak/>
        <w:t xml:space="preserve">منهجيًا، يعتمد هذا الفصل على الجمع بين المصادر الأولية والثانوية. فالمصادر الأولية الأساسية هنا هي هيرودوت في رواية الحروب الفارسية، وثيوسيديديس في تفسير الحرب البيلوبونيسية، وأرسطو في </w:t>
      </w:r>
      <w:r w:rsidRPr="0084744B">
        <w:rPr>
          <w:b/>
          <w:bCs/>
          <w:i/>
          <w:iCs/>
          <w:rtl/>
        </w:rPr>
        <w:t>دستور الأثينيين</w:t>
      </w:r>
      <w:r w:rsidRPr="0084744B">
        <w:rPr>
          <w:b/>
          <w:bCs/>
          <w:rtl/>
        </w:rPr>
        <w:t xml:space="preserve">، وزينوفون في </w:t>
      </w:r>
      <w:r w:rsidRPr="0084744B">
        <w:rPr>
          <w:b/>
          <w:bCs/>
          <w:i/>
          <w:iCs/>
          <w:rtl/>
        </w:rPr>
        <w:t>دستور اللاكيدايمونيين</w:t>
      </w:r>
      <w:r w:rsidRPr="0084744B">
        <w:rPr>
          <w:b/>
          <w:bCs/>
          <w:rtl/>
        </w:rPr>
        <w:t xml:space="preserve"> عن إسبرطة. أما المصادر الثانوية فتشمل دراسات تركيبية وأكاديمية حديثة، خاصة ما نشرته </w:t>
      </w:r>
      <w:r w:rsidRPr="0084744B">
        <w:rPr>
          <w:b/>
          <w:bCs/>
          <w:i/>
          <w:iCs/>
        </w:rPr>
        <w:t>Encyclopaedia Britannica</w:t>
      </w:r>
      <w:r w:rsidRPr="0084744B">
        <w:rPr>
          <w:b/>
          <w:bCs/>
        </w:rPr>
        <w:t xml:space="preserve"> </w:t>
      </w:r>
      <w:r w:rsidRPr="0084744B">
        <w:rPr>
          <w:b/>
          <w:bCs/>
          <w:rtl/>
        </w:rPr>
        <w:t>و</w:t>
      </w:r>
      <w:r w:rsidRPr="0084744B">
        <w:rPr>
          <w:b/>
          <w:bCs/>
          <w:i/>
          <w:iCs/>
        </w:rPr>
        <w:t>The Metropolitan Museum of Art</w:t>
      </w:r>
      <w:r w:rsidRPr="0084744B">
        <w:rPr>
          <w:b/>
          <w:bCs/>
        </w:rPr>
        <w:t xml:space="preserve"> </w:t>
      </w:r>
      <w:r w:rsidRPr="0084744B">
        <w:rPr>
          <w:b/>
          <w:bCs/>
          <w:rtl/>
        </w:rPr>
        <w:t>و</w:t>
      </w:r>
      <w:r w:rsidRPr="0084744B">
        <w:rPr>
          <w:b/>
          <w:bCs/>
          <w:i/>
          <w:iCs/>
        </w:rPr>
        <w:t>Stanford Encyclopedia of Philosophy</w:t>
      </w:r>
      <w:r w:rsidRPr="0084744B">
        <w:rPr>
          <w:b/>
          <w:bCs/>
        </w:rPr>
        <w:t xml:space="preserve">. </w:t>
      </w:r>
      <w:r w:rsidRPr="0084744B">
        <w:rPr>
          <w:b/>
          <w:bCs/>
          <w:rtl/>
        </w:rPr>
        <w:t>وسيُراعى في هذا الفصل التمييز بين ما تؤكده الشواهد النصية والمؤسسية مباشرة، وما يبقى في دائرة التفسير التاريخي</w:t>
      </w:r>
      <w:r w:rsidRPr="0084744B">
        <w:rPr>
          <w:b/>
          <w:bCs/>
        </w:rPr>
        <w:t xml:space="preserve">. </w:t>
      </w:r>
    </w:p>
    <w:p w14:paraId="72CBB06F" w14:textId="77777777" w:rsidR="0084744B" w:rsidRPr="0084744B" w:rsidRDefault="0084744B" w:rsidP="0084744B">
      <w:pPr>
        <w:bidi/>
        <w:rPr>
          <w:b/>
          <w:bCs/>
          <w:color w:val="C00000"/>
        </w:rPr>
      </w:pPr>
      <w:r w:rsidRPr="0084744B">
        <w:rPr>
          <w:b/>
          <w:bCs/>
          <w:color w:val="C00000"/>
          <w:rtl/>
        </w:rPr>
        <w:t>١</w:t>
      </w:r>
      <w:r w:rsidRPr="0084744B">
        <w:rPr>
          <w:b/>
          <w:bCs/>
          <w:color w:val="C00000"/>
        </w:rPr>
        <w:t xml:space="preserve">) </w:t>
      </w:r>
      <w:r w:rsidRPr="0084744B">
        <w:rPr>
          <w:b/>
          <w:bCs/>
          <w:color w:val="C00000"/>
          <w:rtl/>
        </w:rPr>
        <w:t>نشأة الحضارة اليونانية</w:t>
      </w:r>
    </w:p>
    <w:p w14:paraId="0B3C8E56" w14:textId="77777777" w:rsidR="0084744B" w:rsidRPr="0084744B" w:rsidRDefault="0084744B" w:rsidP="0084744B">
      <w:pPr>
        <w:bidi/>
        <w:rPr>
          <w:b/>
          <w:bCs/>
        </w:rPr>
      </w:pPr>
      <w:r w:rsidRPr="0084744B">
        <w:rPr>
          <w:b/>
          <w:bCs/>
          <w:rtl/>
        </w:rPr>
        <w:t xml:space="preserve">لم تنشأ الحضارة اليونانية القديمة دفعةً واحدة، بل تبلورت عبر مسار طويل أعقب انهيار العالم الميسيني. فبعد نهاية المراكز الميسينية الكبرى نحو 1200 ق.م. دخلت اليونان ما يسمى تقليديًا بالعصور المظلمة، ثم شهد القرن الثامن ق.م. تحولات ديموغرافية واقتصادية وثقافية كبيرة: ظهورًا أوضح للمدينة-الدولة، وتوسعًا استعماريًا بحريًا، وتبنّيًا للأبجدية الفينيقية، وازديادًا في التبادل عبر المتوسط. وتشير الأدبيات الحديثة إلى أن مجتمعات العالم اليوناني في القرن الثامن ق.م. تطورت إلى </w:t>
      </w:r>
      <w:r w:rsidRPr="0084744B">
        <w:rPr>
          <w:b/>
          <w:bCs/>
          <w:i/>
          <w:iCs/>
        </w:rPr>
        <w:t>poleis</w:t>
      </w:r>
      <w:r w:rsidRPr="0084744B">
        <w:rPr>
          <w:b/>
          <w:bCs/>
          <w:rtl/>
        </w:rPr>
        <w:t>، أي مدن-دول، وأن هذا التطور مهّد لاحقًا لظهور الديمقراطية وللانفجار الفكري والفني في العصرين الآرخي والكلاسيكي</w:t>
      </w:r>
      <w:r w:rsidRPr="0084744B">
        <w:rPr>
          <w:b/>
          <w:bCs/>
        </w:rPr>
        <w:t xml:space="preserve">. </w:t>
      </w:r>
    </w:p>
    <w:p w14:paraId="2D2D1E09" w14:textId="77777777" w:rsidR="0084744B" w:rsidRPr="0084744B" w:rsidRDefault="0084744B" w:rsidP="0084744B">
      <w:pPr>
        <w:bidi/>
        <w:rPr>
          <w:b/>
          <w:bCs/>
        </w:rPr>
      </w:pPr>
      <w:r w:rsidRPr="0084744B">
        <w:rPr>
          <w:b/>
          <w:bCs/>
          <w:rtl/>
        </w:rPr>
        <w:t>وكان البحر عنصرًا حاسمًا في هذا التكوين؛ فالإغريق كانوا، بحسب عرض المتحف المتروبوليتاني، بحارةً نشطين أسسوا مدنًا مستقلة على السواحل الممتدة من آسيا الصغرى إلى جنوب إيطاليا وصقلية وشمال أفريقيا وجنوب فرنسا وإسبانيا. لذلك فإن نشأة الحضارة اليونانية لا تُفهم فقط داخل حدود اليونان الحالية، بل داخل شبكة متوسطية واسعة جعلت من العالم اليوناني جزءًا مبكرًا من تاريخ أوروبا البحري والثقافي</w:t>
      </w:r>
      <w:r w:rsidRPr="0084744B">
        <w:rPr>
          <w:b/>
          <w:bCs/>
        </w:rPr>
        <w:t xml:space="preserve">. </w:t>
      </w:r>
    </w:p>
    <w:p w14:paraId="36E5F9DD" w14:textId="77777777" w:rsidR="0084744B" w:rsidRPr="0084744B" w:rsidRDefault="0084744B" w:rsidP="0084744B">
      <w:pPr>
        <w:bidi/>
        <w:rPr>
          <w:b/>
          <w:bCs/>
          <w:color w:val="C00000"/>
        </w:rPr>
      </w:pPr>
      <w:r w:rsidRPr="0084744B">
        <w:rPr>
          <w:b/>
          <w:bCs/>
          <w:color w:val="C00000"/>
          <w:rtl/>
        </w:rPr>
        <w:t>٢</w:t>
      </w:r>
      <w:r w:rsidRPr="0084744B">
        <w:rPr>
          <w:b/>
          <w:bCs/>
          <w:color w:val="C00000"/>
        </w:rPr>
        <w:t xml:space="preserve">) </w:t>
      </w:r>
      <w:r w:rsidRPr="0084744B">
        <w:rPr>
          <w:b/>
          <w:bCs/>
          <w:color w:val="C00000"/>
          <w:rtl/>
        </w:rPr>
        <w:t>المدن اليونانية القديمة</w:t>
      </w:r>
    </w:p>
    <w:p w14:paraId="2FAF6EC6" w14:textId="77777777" w:rsidR="0084744B" w:rsidRPr="0084744B" w:rsidRDefault="0084744B" w:rsidP="0084744B">
      <w:pPr>
        <w:bidi/>
        <w:rPr>
          <w:b/>
          <w:bCs/>
        </w:rPr>
      </w:pPr>
      <w:r w:rsidRPr="0084744B">
        <w:rPr>
          <w:b/>
          <w:bCs/>
          <w:rtl/>
        </w:rPr>
        <w:t xml:space="preserve">كانت الوحدة السياسية الأساسية في التاريخ اليوناني هي المدينة-الدولة </w:t>
      </w:r>
      <w:r w:rsidRPr="0084744B">
        <w:rPr>
          <w:b/>
          <w:bCs/>
        </w:rPr>
        <w:t>(</w:t>
      </w:r>
      <w:r w:rsidRPr="0084744B">
        <w:rPr>
          <w:b/>
          <w:bCs/>
          <w:i/>
          <w:iCs/>
        </w:rPr>
        <w:t>polis</w:t>
      </w:r>
      <w:r w:rsidRPr="0084744B">
        <w:rPr>
          <w:b/>
          <w:bCs/>
        </w:rPr>
        <w:t xml:space="preserve">). </w:t>
      </w:r>
      <w:r w:rsidRPr="0084744B">
        <w:rPr>
          <w:b/>
          <w:bCs/>
          <w:rtl/>
        </w:rPr>
        <w:t>وتعرّفها بريتانيكا بأنها الدولة-المدينة اليونانية القديمة، وقد نشأت على الأرجح من انقسام البلاد الطبيعي بين الجبال والبحر، ومن التقسيمات القبلية والطقسية المحلية. ولم تكن هناك “يونان موحّدة” بالمعنى السياسي، بل مئات المدن-الدول، وإن كان التاريخ يركّز غالبًا على أثينا وإسبرطة وطيبة وكورنثوس وغيرها من المراكز الكبرى. هذا التفكك السياسي لم يكن علامة ضعف دائم، بل كان أيضًا مصدرًا للتجريب المؤسسي والتنافس العسكري والثقافي</w:t>
      </w:r>
      <w:r w:rsidRPr="0084744B">
        <w:rPr>
          <w:b/>
          <w:bCs/>
        </w:rPr>
        <w:t xml:space="preserve">. </w:t>
      </w:r>
    </w:p>
    <w:p w14:paraId="78397373" w14:textId="77777777" w:rsidR="0084744B" w:rsidRPr="0084744B" w:rsidRDefault="0084744B" w:rsidP="0084744B">
      <w:pPr>
        <w:bidi/>
        <w:rPr>
          <w:b/>
          <w:bCs/>
        </w:rPr>
      </w:pPr>
      <w:r w:rsidRPr="0084744B">
        <w:rPr>
          <w:b/>
          <w:bCs/>
          <w:rtl/>
        </w:rPr>
        <w:t>وقد اتخذت هذه المدن مسارات مختلفة جدًا. فبعضها اتجه إلى التجارة والبحر، مثل أثينا وكورنثوس وميليتوس، وبعضها اتجه إلى الانضباط العسكري والسيطرة الإقليمية، مثل إسبرطة. كما أن الاستعمار الإغريقي أنتج مدنًا يونانية جديدة خارج البرّ اليوناني نفسه، حتى أصبحت الثقافة اليونانية حاضرة على امتداد المتوسط والبحر الأسود. لذلك فدراسة المدن اليونانية القديمة هي في جوهرها دراسة لبنية أوروبا الجنوبية والشرقية قبل ظهور الإمبراطوريات الكبرى</w:t>
      </w:r>
      <w:r w:rsidRPr="0084744B">
        <w:rPr>
          <w:b/>
          <w:bCs/>
        </w:rPr>
        <w:t xml:space="preserve">. </w:t>
      </w:r>
    </w:p>
    <w:p w14:paraId="4F0EF498" w14:textId="77777777" w:rsidR="0084744B" w:rsidRPr="0084744B" w:rsidRDefault="0084744B" w:rsidP="0084744B">
      <w:pPr>
        <w:bidi/>
        <w:rPr>
          <w:b/>
          <w:bCs/>
          <w:color w:val="C00000"/>
        </w:rPr>
      </w:pPr>
      <w:r w:rsidRPr="0084744B">
        <w:rPr>
          <w:b/>
          <w:bCs/>
          <w:color w:val="C00000"/>
          <w:rtl/>
        </w:rPr>
        <w:t>٣</w:t>
      </w:r>
      <w:r w:rsidRPr="0084744B">
        <w:rPr>
          <w:b/>
          <w:bCs/>
          <w:color w:val="C00000"/>
        </w:rPr>
        <w:t xml:space="preserve">) </w:t>
      </w:r>
      <w:r w:rsidRPr="0084744B">
        <w:rPr>
          <w:b/>
          <w:bCs/>
          <w:color w:val="C00000"/>
          <w:rtl/>
        </w:rPr>
        <w:t>نظام الحكم في المدن اليونانية</w:t>
      </w:r>
    </w:p>
    <w:p w14:paraId="0BCA41C4" w14:textId="77777777" w:rsidR="0084744B" w:rsidRPr="0084744B" w:rsidRDefault="0084744B" w:rsidP="0084744B">
      <w:pPr>
        <w:bidi/>
        <w:rPr>
          <w:b/>
          <w:bCs/>
        </w:rPr>
      </w:pPr>
      <w:r w:rsidRPr="0084744B">
        <w:rPr>
          <w:b/>
          <w:bCs/>
          <w:rtl/>
        </w:rPr>
        <w:t>تميّزت المدن اليونانية بتنوعٍ كبير في أنظمة الحكم. وتوضح بريتانيكا أن الأشكال الشائعة للحكم في المدن اليونانية شملت الملكية، والأوليغاركية، والطغيان، والديمقراطية؛ أي إن التجربة اليونانية كانت مختبرًا سياسيًا مبكرًا لا نموذجًا واحدًا ثابتًا. ومن هنا ارتبط التاريخ اليوناني القديم بتاريخ الدساتير، والصراع بين الأرستقراطية والعامة، والتنافس بين حكم الأقلية وحكم المواطنين</w:t>
      </w:r>
      <w:r w:rsidRPr="0084744B">
        <w:rPr>
          <w:b/>
          <w:bCs/>
        </w:rPr>
        <w:t xml:space="preserve">. </w:t>
      </w:r>
    </w:p>
    <w:p w14:paraId="6949A7CF" w14:textId="77777777" w:rsidR="0084744B" w:rsidRPr="0084744B" w:rsidRDefault="0084744B" w:rsidP="0084744B">
      <w:pPr>
        <w:bidi/>
        <w:rPr>
          <w:b/>
          <w:bCs/>
        </w:rPr>
      </w:pPr>
      <w:r w:rsidRPr="0084744B">
        <w:rPr>
          <w:b/>
          <w:bCs/>
          <w:rtl/>
        </w:rPr>
        <w:t xml:space="preserve">وفي أثينا كانت إصلاحات كليسثينيس سنة 508 ق.م. لحظةً تأسيسية؛ إذ أعاد تنظيم المواطنين في عشر قبائل جديدة تضم عناصر من أرجاء أتيكا كلها، وهو ما عُدّ أساسًا للديمقراطية الأثينية. ويؤكد أرسطو في </w:t>
      </w:r>
      <w:r w:rsidRPr="0084744B">
        <w:rPr>
          <w:b/>
          <w:bCs/>
          <w:i/>
          <w:iCs/>
          <w:rtl/>
        </w:rPr>
        <w:t>دستور الأثينيين</w:t>
      </w:r>
      <w:r w:rsidRPr="0084744B">
        <w:rPr>
          <w:b/>
          <w:bCs/>
          <w:rtl/>
        </w:rPr>
        <w:t xml:space="preserve"> أن كليسثينيس جعل مجلس المدينة من خمسمائة عضو بدلًا من أربعمائة، خمسين من كل قبيلة، بينما تؤكد بريتانيكا أن هذا النظام هو </w:t>
      </w:r>
      <w:r w:rsidRPr="0084744B">
        <w:rPr>
          <w:b/>
          <w:bCs/>
          <w:rtl/>
        </w:rPr>
        <w:lastRenderedPageBreak/>
        <w:t>الذي يُنظر إليه بوصفه قاعدة الديمقراطية الأثينية. ومع ذلك، فهذه الديمقراطية لم تشمل الجميع، إذ كان حق المشاركة الفعلية مقصورًا على المواطنين الذكور البالغين، وهم نسبة محدودة من مجموع السكان</w:t>
      </w:r>
      <w:r w:rsidRPr="0084744B">
        <w:rPr>
          <w:b/>
          <w:bCs/>
        </w:rPr>
        <w:t xml:space="preserve">. </w:t>
      </w:r>
    </w:p>
    <w:p w14:paraId="49B7A576" w14:textId="77777777" w:rsidR="0084744B" w:rsidRPr="0084744B" w:rsidRDefault="0084744B" w:rsidP="0084744B">
      <w:pPr>
        <w:bidi/>
        <w:rPr>
          <w:b/>
          <w:bCs/>
        </w:rPr>
      </w:pPr>
      <w:r w:rsidRPr="0084744B">
        <w:rPr>
          <w:b/>
          <w:bCs/>
          <w:rtl/>
        </w:rPr>
        <w:t>أما في إسبرطة فالنظام كان مختلطًا وأكثر محافظة: ملكان مدى الحياة، وخمسة إفور، ومجلس شيوخ</w:t>
      </w:r>
      <w:r w:rsidRPr="0084744B">
        <w:rPr>
          <w:b/>
          <w:bCs/>
        </w:rPr>
        <w:t xml:space="preserve"> (</w:t>
      </w:r>
      <w:proofErr w:type="spellStart"/>
      <w:r w:rsidRPr="0084744B">
        <w:rPr>
          <w:b/>
          <w:bCs/>
          <w:i/>
          <w:iCs/>
        </w:rPr>
        <w:t>gerousia</w:t>
      </w:r>
      <w:proofErr w:type="spellEnd"/>
      <w:r w:rsidRPr="0084744B">
        <w:rPr>
          <w:b/>
          <w:bCs/>
        </w:rPr>
        <w:t>)</w:t>
      </w:r>
      <w:r w:rsidRPr="0084744B">
        <w:rPr>
          <w:b/>
          <w:bCs/>
          <w:rtl/>
        </w:rPr>
        <w:t>، وجمعية مواطنين</w:t>
      </w:r>
      <w:r w:rsidRPr="0084744B">
        <w:rPr>
          <w:b/>
          <w:bCs/>
        </w:rPr>
        <w:t xml:space="preserve"> (</w:t>
      </w:r>
      <w:proofErr w:type="spellStart"/>
      <w:r w:rsidRPr="0084744B">
        <w:rPr>
          <w:b/>
          <w:bCs/>
          <w:i/>
          <w:iCs/>
        </w:rPr>
        <w:t>apella</w:t>
      </w:r>
      <w:proofErr w:type="spellEnd"/>
      <w:r w:rsidRPr="0084744B">
        <w:rPr>
          <w:b/>
          <w:bCs/>
        </w:rPr>
        <w:t xml:space="preserve">). </w:t>
      </w:r>
      <w:r w:rsidRPr="0084744B">
        <w:rPr>
          <w:b/>
          <w:bCs/>
          <w:rtl/>
        </w:rPr>
        <w:t>وتوضح بريتانيكا أن الإفور كانوا أعلى القضاة التنفيذيين، وأن مجلس الشيوخ كان من أهم أجهزة الدولة وله اختصاصات قضائية واسعة، وأن الجمعية كانت تنظر في شؤون السلم والحرب والخلافة وتنتخب الشيوخ والإفور. ويضيف زينوفون، من خلال وصفه للطاعة والانضباط الإسبرطيين، أن كبار القوم أنفسهم كانوا يُظهرون خضوعًا واضحًا للقضاة، وهو ما يعكس مركزية القانون والانضباط في النظام الإسبرطي</w:t>
      </w:r>
      <w:r w:rsidRPr="0084744B">
        <w:rPr>
          <w:b/>
          <w:bCs/>
        </w:rPr>
        <w:t xml:space="preserve">. </w:t>
      </w:r>
    </w:p>
    <w:p w14:paraId="255383F9" w14:textId="77777777" w:rsidR="0084744B" w:rsidRPr="0084744B" w:rsidRDefault="0084744B" w:rsidP="0084744B">
      <w:pPr>
        <w:bidi/>
        <w:rPr>
          <w:b/>
          <w:bCs/>
          <w:color w:val="C00000"/>
        </w:rPr>
      </w:pPr>
      <w:r w:rsidRPr="0084744B">
        <w:rPr>
          <w:b/>
          <w:bCs/>
          <w:color w:val="C00000"/>
          <w:rtl/>
        </w:rPr>
        <w:t>٤</w:t>
      </w:r>
      <w:r w:rsidRPr="0084744B">
        <w:rPr>
          <w:b/>
          <w:bCs/>
          <w:color w:val="C00000"/>
        </w:rPr>
        <w:t xml:space="preserve">) </w:t>
      </w:r>
      <w:r w:rsidRPr="0084744B">
        <w:rPr>
          <w:b/>
          <w:bCs/>
          <w:color w:val="C00000"/>
          <w:rtl/>
        </w:rPr>
        <w:t>إسبرطة وأثينا</w:t>
      </w:r>
    </w:p>
    <w:p w14:paraId="0FFAB4B6" w14:textId="77777777" w:rsidR="0084744B" w:rsidRPr="0084744B" w:rsidRDefault="0084744B" w:rsidP="0084744B">
      <w:pPr>
        <w:bidi/>
        <w:rPr>
          <w:b/>
          <w:bCs/>
        </w:rPr>
      </w:pPr>
      <w:r w:rsidRPr="0084744B">
        <w:rPr>
          <w:b/>
          <w:bCs/>
          <w:rtl/>
        </w:rPr>
        <w:t>تمثل إسبرطة وأثينا النموذجين الأشهر والأكثر تباينًا في التاريخ اليوناني. فأثينا صارت مركزًا بحريًا وتجاريًا وثقافيًا وسياسيًا بارزًا، وارتبط اسمها بالديمقراطية والجدل العام والفن والفلسفة. أما إسبرطة فتميزت بأنها لم تعرف الطغيان على النحو الذي عرفته مدن أخرى، وبأنها طورت مجتمعًا موجَّهًا نحو الحرب والانضباط الجماعي، وظلت غير محصنة ماديًا على نحو كامل، واعتمدت على مكانتها العسكرية وهيبتها في البرّ اليوناني</w:t>
      </w:r>
      <w:r w:rsidRPr="0084744B">
        <w:rPr>
          <w:b/>
          <w:bCs/>
        </w:rPr>
        <w:t xml:space="preserve">. </w:t>
      </w:r>
    </w:p>
    <w:p w14:paraId="1FF36803" w14:textId="77777777" w:rsidR="0084744B" w:rsidRPr="0084744B" w:rsidRDefault="0084744B" w:rsidP="0084744B">
      <w:pPr>
        <w:bidi/>
        <w:rPr>
          <w:b/>
          <w:bCs/>
        </w:rPr>
      </w:pPr>
      <w:r w:rsidRPr="0084744B">
        <w:rPr>
          <w:b/>
          <w:bCs/>
          <w:rtl/>
        </w:rPr>
        <w:t>وكانت خصوصية إسبرطة مرتبطة إلى حد بعيد بما يسميه بعض الباحثين “عامل الهيلوت”. فقد أخضعت إسبرطة ميسينيا في القرن الثامن ق.م. وحوّلت سكانها إلى هيلوت، أي أقنان/عبيد دولة، وكانت أعمالهم الزراعية هي التي منحت المواطنين الإسبرطيين وقتهم للتدريب العسكري. وتوضح بريتانيكا أن العلاقة القائمة على الاستغلال والخوف من الثورة كانت عاملًا حاسمًا في تكوين الحياة الداخلية الإسبرطية وفي صلابة مؤسساتها. في المقابل، تطورت أثينا في اتجاه مختلف، بحيث غلبت عليها، في التربية والثقافة، الجوانب المدنية والخطابية أكثر من التشكيل العسكري الخالص</w:t>
      </w:r>
      <w:r w:rsidRPr="0084744B">
        <w:rPr>
          <w:b/>
          <w:bCs/>
        </w:rPr>
        <w:t xml:space="preserve">. </w:t>
      </w:r>
    </w:p>
    <w:p w14:paraId="57E9EFEA" w14:textId="77777777" w:rsidR="0084744B" w:rsidRPr="0084744B" w:rsidRDefault="0084744B" w:rsidP="0084744B">
      <w:pPr>
        <w:bidi/>
        <w:rPr>
          <w:b/>
          <w:bCs/>
          <w:color w:val="C00000"/>
        </w:rPr>
      </w:pPr>
      <w:r w:rsidRPr="0084744B">
        <w:rPr>
          <w:b/>
          <w:bCs/>
          <w:color w:val="C00000"/>
          <w:rtl/>
        </w:rPr>
        <w:t>٥</w:t>
      </w:r>
      <w:r w:rsidRPr="0084744B">
        <w:rPr>
          <w:b/>
          <w:bCs/>
          <w:color w:val="C00000"/>
        </w:rPr>
        <w:t xml:space="preserve">) </w:t>
      </w:r>
      <w:r w:rsidRPr="0084744B">
        <w:rPr>
          <w:b/>
          <w:bCs/>
          <w:color w:val="C00000"/>
          <w:rtl/>
        </w:rPr>
        <w:t>المجتمع اليوناني القديم</w:t>
      </w:r>
    </w:p>
    <w:p w14:paraId="44A5C005" w14:textId="77777777" w:rsidR="0084744B" w:rsidRPr="0084744B" w:rsidRDefault="0084744B" w:rsidP="0084744B">
      <w:pPr>
        <w:bidi/>
        <w:rPr>
          <w:b/>
          <w:bCs/>
        </w:rPr>
      </w:pPr>
      <w:r w:rsidRPr="0084744B">
        <w:rPr>
          <w:b/>
          <w:bCs/>
          <w:rtl/>
        </w:rPr>
        <w:t>لم يكن المجتمع اليوناني مجتمعًا متساويًا، حتى في أكثر صوره السياسية تقدمًا. ففي أثينا، مثلًا، كان المواطنون الذكور يشكلون قلب النظام السياسي، لكن المجتمع ضم أيضًا النساء، والعبيد، والأجانب المقيمين</w:t>
      </w:r>
      <w:r w:rsidRPr="0084744B">
        <w:rPr>
          <w:b/>
          <w:bCs/>
        </w:rPr>
        <w:t xml:space="preserve"> (</w:t>
      </w:r>
      <w:proofErr w:type="spellStart"/>
      <w:r w:rsidRPr="0084744B">
        <w:rPr>
          <w:b/>
          <w:bCs/>
          <w:i/>
          <w:iCs/>
        </w:rPr>
        <w:t>metics</w:t>
      </w:r>
      <w:proofErr w:type="spellEnd"/>
      <w:r w:rsidRPr="0084744B">
        <w:rPr>
          <w:b/>
          <w:bCs/>
        </w:rPr>
        <w:t xml:space="preserve">). </w:t>
      </w:r>
      <w:r w:rsidRPr="0084744B">
        <w:rPr>
          <w:b/>
          <w:bCs/>
          <w:rtl/>
        </w:rPr>
        <w:t xml:space="preserve">وتوضح بريتانيكا أن الـ </w:t>
      </w:r>
      <w:proofErr w:type="spellStart"/>
      <w:r w:rsidRPr="0084744B">
        <w:rPr>
          <w:b/>
          <w:bCs/>
          <w:i/>
          <w:iCs/>
        </w:rPr>
        <w:t>metics</w:t>
      </w:r>
      <w:proofErr w:type="spellEnd"/>
      <w:r w:rsidRPr="0084744B">
        <w:rPr>
          <w:b/>
          <w:bCs/>
        </w:rPr>
        <w:t xml:space="preserve"> </w:t>
      </w:r>
      <w:r w:rsidRPr="0084744B">
        <w:rPr>
          <w:b/>
          <w:bCs/>
          <w:rtl/>
        </w:rPr>
        <w:t>كانوا طبقةً وسيطة بين الزائر والمواطن، لهم حقوق وواجبات، لكنهم خضعوا لقيود في الزواج وتملك العقار. كما أن البناء الاقتصادي والسياسي في أثينا استند بدرجة كبيرة إلى عمل العبيد، وهو ما يعني أن الديمقراطية الأثينية كانت ديمقراطية مواطنين لا ديمقراطية مجتمع بأكمله</w:t>
      </w:r>
      <w:r w:rsidRPr="0084744B">
        <w:rPr>
          <w:b/>
          <w:bCs/>
        </w:rPr>
        <w:t xml:space="preserve">. </w:t>
      </w:r>
    </w:p>
    <w:p w14:paraId="25C45BC1" w14:textId="77777777" w:rsidR="0084744B" w:rsidRPr="0084744B" w:rsidRDefault="0084744B" w:rsidP="0084744B">
      <w:pPr>
        <w:bidi/>
        <w:rPr>
          <w:b/>
          <w:bCs/>
        </w:rPr>
      </w:pPr>
      <w:r w:rsidRPr="0084744B">
        <w:rPr>
          <w:b/>
          <w:bCs/>
          <w:rtl/>
        </w:rPr>
        <w:t>وكان وضع المرأة متفاوتًا بين المدن. ففي أثينا كانت النساء، وفق عرض بريتانيكا، أكثر تقييدًا في حقوق الملكية من نساء كثير من المدن اليونانية الأخرى، بينما تظهر الشواهد أن النساء في إسبرطة كن يمارسن التدريب والمنافسة محليًا بدرجة لا تكاد توجد في معظم المدن الأخرى. لكن ينبغي التمييز هنا بين الحضور الاجتماعي النسبي وبين المشاركة السياسية؛ إذ بقيت المشاركة الرسمية في الحكم حكرًا على المواطنين الذكور. كما كان التعليم نفسه مختلفًا: ففي أثينا لم توجد مؤسسة مدرسية موحدة، بل تعليم موزع بين معلمين ومرافقين منزليين، وفي إسبرطة غلبت التربية العسكرية الجماعية</w:t>
      </w:r>
      <w:r w:rsidRPr="0084744B">
        <w:rPr>
          <w:b/>
          <w:bCs/>
        </w:rPr>
        <w:t xml:space="preserve">. </w:t>
      </w:r>
    </w:p>
    <w:p w14:paraId="7900D014" w14:textId="77777777" w:rsidR="0084744B" w:rsidRPr="0084744B" w:rsidRDefault="0084744B" w:rsidP="0084744B">
      <w:pPr>
        <w:bidi/>
        <w:rPr>
          <w:b/>
          <w:bCs/>
          <w:color w:val="C00000"/>
        </w:rPr>
      </w:pPr>
      <w:r w:rsidRPr="0084744B">
        <w:rPr>
          <w:b/>
          <w:bCs/>
          <w:color w:val="C00000"/>
          <w:rtl/>
        </w:rPr>
        <w:t>٦</w:t>
      </w:r>
      <w:r w:rsidRPr="0084744B">
        <w:rPr>
          <w:b/>
          <w:bCs/>
          <w:color w:val="C00000"/>
        </w:rPr>
        <w:t xml:space="preserve">) </w:t>
      </w:r>
      <w:r w:rsidRPr="0084744B">
        <w:rPr>
          <w:b/>
          <w:bCs/>
          <w:color w:val="C00000"/>
          <w:rtl/>
        </w:rPr>
        <w:t>الفكر والفلسفة في اليونان</w:t>
      </w:r>
    </w:p>
    <w:p w14:paraId="2F3B8EB8" w14:textId="77777777" w:rsidR="0084744B" w:rsidRPr="0084744B" w:rsidRDefault="0084744B" w:rsidP="0084744B">
      <w:pPr>
        <w:bidi/>
        <w:rPr>
          <w:b/>
          <w:bCs/>
        </w:rPr>
      </w:pPr>
      <w:r w:rsidRPr="0084744B">
        <w:rPr>
          <w:b/>
          <w:bCs/>
          <w:rtl/>
        </w:rPr>
        <w:t xml:space="preserve">إحدى أعظم مساهمات اليونان في التاريخ الأوروبي تمثلت في نقل التفكير من مستوى الأسطورة والتقليد إلى مستوى السؤال العقلي المنظم. فالفلاسفة السابقون لسقراط في القرنين السادس والخامس ق.م. قدّموا، بحسب </w:t>
      </w:r>
      <w:r w:rsidRPr="0084744B">
        <w:rPr>
          <w:b/>
          <w:bCs/>
          <w:i/>
          <w:iCs/>
        </w:rPr>
        <w:t>Stanford Encyclopedia of Philosophy</w:t>
      </w:r>
      <w:r w:rsidRPr="0084744B">
        <w:rPr>
          <w:b/>
          <w:bCs/>
          <w:rtl/>
        </w:rPr>
        <w:t>، نمطًا جديدًا من التساؤل حول العالم وموقع الإنسان فيه، وعُدّوا في العصور القديمة أوائل الفلاسفة والعلماء في التقليد الغربي. وهذا يعني أن الفلسفة اليونانية لم تكن مجرد تأمل ميتافيزيقي، بل كانت أيضًا بدايةً مبكرة للبحث في الطبيعة والوجود والمعرفة</w:t>
      </w:r>
      <w:r w:rsidRPr="0084744B">
        <w:rPr>
          <w:b/>
          <w:bCs/>
        </w:rPr>
        <w:t xml:space="preserve">. </w:t>
      </w:r>
    </w:p>
    <w:p w14:paraId="1ADF01A3" w14:textId="77777777" w:rsidR="0084744B" w:rsidRPr="0084744B" w:rsidRDefault="0084744B" w:rsidP="0084744B">
      <w:pPr>
        <w:bidi/>
        <w:rPr>
          <w:b/>
          <w:bCs/>
        </w:rPr>
      </w:pPr>
      <w:r w:rsidRPr="0084744B">
        <w:rPr>
          <w:b/>
          <w:bCs/>
          <w:rtl/>
        </w:rPr>
        <w:lastRenderedPageBreak/>
        <w:t>ثم جاء سقراط، الذي لم يترك مؤلفات مكتوبة، لكنه غيّر مفهوم الفلسفة نفسه من خلال التركيز على الحوار والفضيلة وتعريف المفاهيم. وبعده صار أفلاطون واحدًا من أكثر كتّاب التراث الغربي تأثيرًا واتساعًا، ثم جاء أرسطو الذي امتد أثره من أواخر العصور القديمة حتى عصر النهضة وما بعده. ومن هنا فالفكر اليوناني لم يكن إنجازًا محليًا فحسب، بل أصلًا بنيويًا للفلسفة الأوروبية اللاحقة، من المنطق والسياسة والأخلاق إلى العلم الطبيعي</w:t>
      </w:r>
      <w:r w:rsidRPr="0084744B">
        <w:rPr>
          <w:b/>
          <w:bCs/>
        </w:rPr>
        <w:t xml:space="preserve">. </w:t>
      </w:r>
    </w:p>
    <w:p w14:paraId="784E870E" w14:textId="77777777" w:rsidR="0084744B" w:rsidRPr="0084744B" w:rsidRDefault="0084744B" w:rsidP="0084744B">
      <w:pPr>
        <w:bidi/>
        <w:rPr>
          <w:b/>
          <w:bCs/>
          <w:color w:val="C00000"/>
        </w:rPr>
      </w:pPr>
      <w:r w:rsidRPr="0084744B">
        <w:rPr>
          <w:b/>
          <w:bCs/>
          <w:color w:val="C00000"/>
          <w:rtl/>
        </w:rPr>
        <w:t>٧</w:t>
      </w:r>
      <w:r w:rsidRPr="0084744B">
        <w:rPr>
          <w:b/>
          <w:bCs/>
          <w:color w:val="C00000"/>
        </w:rPr>
        <w:t xml:space="preserve">) </w:t>
      </w:r>
      <w:r w:rsidRPr="0084744B">
        <w:rPr>
          <w:b/>
          <w:bCs/>
          <w:color w:val="C00000"/>
          <w:rtl/>
        </w:rPr>
        <w:t>الحروب الفارسية اليونانية</w:t>
      </w:r>
    </w:p>
    <w:p w14:paraId="77A010CE" w14:textId="77777777" w:rsidR="0084744B" w:rsidRPr="0084744B" w:rsidRDefault="0084744B" w:rsidP="0084744B">
      <w:pPr>
        <w:bidi/>
        <w:rPr>
          <w:b/>
          <w:bCs/>
        </w:rPr>
      </w:pPr>
      <w:r w:rsidRPr="0084744B">
        <w:rPr>
          <w:b/>
          <w:bCs/>
          <w:rtl/>
        </w:rPr>
        <w:t>تُعد الحروب الفارسية اليونانية من اللحظات المؤسسة في الوعي التاريخي اليوناني. وتوضح بريتانيكا أن هذا الصراع مرّ بمراحل رئيسية: الثورة الأيونية (499-493 ق.م.)، ثم الحملة الفارسية الأولى ومعركة ماراثون (490 ق.م.)، ثم حملة زركسيس الكبرى (480-479 ق.م.) التي شملت ترموبيل وسلاميس وبلاتيا، ثم الهجوم اليوناني المضاد. أما المصدر السردي القديم الأبرز لهذه الحرب فهو هيرودوت، الذي بقي المرجع الأدبي الكلاسيكي المركزي لفهم هذا الصراع، مع ضرورة استخدامه بحذر نقدي</w:t>
      </w:r>
      <w:r w:rsidRPr="0084744B">
        <w:rPr>
          <w:b/>
          <w:bCs/>
        </w:rPr>
        <w:t xml:space="preserve">. </w:t>
      </w:r>
    </w:p>
    <w:p w14:paraId="52B19E41" w14:textId="77777777" w:rsidR="0084744B" w:rsidRPr="0084744B" w:rsidRDefault="0084744B" w:rsidP="0084744B">
      <w:pPr>
        <w:bidi/>
        <w:rPr>
          <w:b/>
          <w:bCs/>
        </w:rPr>
      </w:pPr>
      <w:r w:rsidRPr="0084744B">
        <w:rPr>
          <w:b/>
          <w:bCs/>
          <w:rtl/>
        </w:rPr>
        <w:t>وفي ماراثون سنة 490 ق.م. صدّ الأثينيون أول غزو فارسي لليونان في معركة حاسمة، ثم في سلاميس سنة 480 ق.م. هزم الأسطول اليوناني قوةً فارسية أكبر بكثير في المضيق البحري، قبل أن تُحسم المواجهة البرية في بلاتيا سنة 479 ق.م. بانتصار يوناني ساحق أنهى فعليًا محاولات الغزو الفارسي المباشر لليونان. وقد كان لهذه الحروب أثر سياسي ونفسي بعيد المدى: فقد عززت مكانة أثينا البحرية، ورسخت لدى الإغريق شعورًا بالتفوق الجماعي على “البرابرة” الشرقيين، مع أن هذا التصور نفسه يحتاج اليوم إلى قراءة نقدية لأنه صدر من منظور يوناني ذاتي</w:t>
      </w:r>
      <w:r w:rsidRPr="0084744B">
        <w:rPr>
          <w:b/>
          <w:bCs/>
        </w:rPr>
        <w:t xml:space="preserve">. </w:t>
      </w:r>
    </w:p>
    <w:p w14:paraId="0311015A" w14:textId="77777777" w:rsidR="0084744B" w:rsidRPr="0084744B" w:rsidRDefault="0084744B" w:rsidP="0084744B">
      <w:pPr>
        <w:bidi/>
        <w:rPr>
          <w:b/>
          <w:bCs/>
          <w:color w:val="C00000"/>
        </w:rPr>
      </w:pPr>
      <w:r w:rsidRPr="0084744B">
        <w:rPr>
          <w:b/>
          <w:bCs/>
          <w:color w:val="C00000"/>
          <w:rtl/>
        </w:rPr>
        <w:t>٨</w:t>
      </w:r>
      <w:r w:rsidRPr="0084744B">
        <w:rPr>
          <w:b/>
          <w:bCs/>
          <w:color w:val="C00000"/>
        </w:rPr>
        <w:t xml:space="preserve">) </w:t>
      </w:r>
      <w:r w:rsidRPr="0084744B">
        <w:rPr>
          <w:b/>
          <w:bCs/>
          <w:color w:val="C00000"/>
          <w:rtl/>
        </w:rPr>
        <w:t>الحروب البيلوبونيسية</w:t>
      </w:r>
    </w:p>
    <w:p w14:paraId="3E6D9617" w14:textId="77777777" w:rsidR="0084744B" w:rsidRPr="0084744B" w:rsidRDefault="0084744B" w:rsidP="0084744B">
      <w:pPr>
        <w:bidi/>
        <w:rPr>
          <w:b/>
          <w:bCs/>
        </w:rPr>
      </w:pPr>
      <w:r w:rsidRPr="0084744B">
        <w:rPr>
          <w:b/>
          <w:bCs/>
          <w:rtl/>
        </w:rPr>
        <w:t>إذا كانت الحروب الفارسية قد أظهرت قدرة المدن اليونانية على الاتحاد المؤقت، فإن الحروب البيلوبونيسية كشفت حدود هذا الاتحاد. فثيوسيديديس، في أشهر تفسير كلاسيكي لأسباب الحرب، رأى أن السبب الحقيقي الأعمق كان نمو قوة أثينا والخوف الذي أحدثه ذلك في إسبرطة، وهو ما جعل الحرب، في نظره، أمرًا لا مفر منه. وهذا النص مهم جدًا لأنه يقدم لنا، من مصدر أولي، تفسيرًا بنيويًا يتجاوز الذرائع الدبلوماسية المباشرة</w:t>
      </w:r>
      <w:r w:rsidRPr="0084744B">
        <w:rPr>
          <w:b/>
          <w:bCs/>
        </w:rPr>
        <w:t xml:space="preserve">. </w:t>
      </w:r>
    </w:p>
    <w:p w14:paraId="0D23B346" w14:textId="77777777" w:rsidR="0084744B" w:rsidRPr="0084744B" w:rsidRDefault="0084744B" w:rsidP="0084744B">
      <w:pPr>
        <w:bidi/>
        <w:rPr>
          <w:b/>
          <w:bCs/>
        </w:rPr>
      </w:pPr>
      <w:r w:rsidRPr="0084744B">
        <w:rPr>
          <w:b/>
          <w:bCs/>
          <w:rtl/>
        </w:rPr>
        <w:t>وقد استمرت الحرب من 431 إلى 404 ق.م. بصور متغيرة، وانتهت بهزيمة أثينا بعد إنهاك طويل للمدن اليونانية كلها. وبذلك كشفت الحرب البيلوبونيسية أن النظام القائم على مدن-دول متنافسة، مهما بلغ من الحيوية، يحمل في داخله قابليةً عالية للاستنزاف الذاتي. ولهذا تعد الحرب البيلوبونيسية نقطة تحول؛ فهي لم تُسقط أثينا وحدها، بل أضعفت العالم اليوناني الكلاسيكي كله ومهدت الطريق لصعود قوى جديدة، أهمها مقدونيا</w:t>
      </w:r>
      <w:r w:rsidRPr="0084744B">
        <w:rPr>
          <w:b/>
          <w:bCs/>
        </w:rPr>
        <w:t xml:space="preserve">. </w:t>
      </w:r>
    </w:p>
    <w:p w14:paraId="2DA1306A" w14:textId="77777777" w:rsidR="0084744B" w:rsidRPr="0084744B" w:rsidRDefault="0084744B" w:rsidP="0084744B">
      <w:pPr>
        <w:bidi/>
        <w:rPr>
          <w:b/>
          <w:bCs/>
          <w:color w:val="C00000"/>
        </w:rPr>
      </w:pPr>
      <w:r w:rsidRPr="0084744B">
        <w:rPr>
          <w:b/>
          <w:bCs/>
          <w:color w:val="C00000"/>
          <w:rtl/>
        </w:rPr>
        <w:t>٩</w:t>
      </w:r>
      <w:r w:rsidRPr="0084744B">
        <w:rPr>
          <w:b/>
          <w:bCs/>
          <w:color w:val="C00000"/>
        </w:rPr>
        <w:t xml:space="preserve">) </w:t>
      </w:r>
      <w:r w:rsidRPr="0084744B">
        <w:rPr>
          <w:b/>
          <w:bCs/>
          <w:color w:val="C00000"/>
          <w:rtl/>
        </w:rPr>
        <w:t>صعود مقدونيا</w:t>
      </w:r>
    </w:p>
    <w:p w14:paraId="1BCB1DE3" w14:textId="77777777" w:rsidR="0084744B" w:rsidRPr="0084744B" w:rsidRDefault="0084744B" w:rsidP="0084744B">
      <w:pPr>
        <w:bidi/>
        <w:rPr>
          <w:b/>
          <w:bCs/>
        </w:rPr>
      </w:pPr>
      <w:r w:rsidRPr="0084744B">
        <w:rPr>
          <w:b/>
          <w:bCs/>
          <w:rtl/>
        </w:rPr>
        <w:t>بحلول القرن الرابع ق.م. كان العالم اليوناني قد خرج من الحروب المتواصلة أكثر انقسامًا وأقل قدرة على الحفاظ على استقلاله الجماعي. وفي هذا السياق صعد فيليب الثاني المقدوني. وتشير بريتانيكا والمتحف المتروبوليتاني إلى أن فيليب، منذ وصوله إلى السلطة في ستينيات القرن الرابع، أخضع خصومه المجاورين، وأجرى إصلاحات عسكرية بعيدة الأثر، منها تطوير أسلحة الحصار والكتائب المسلحة برماح الساريسا الطويلة، حتى أصبحت مقدونيا القوة العسكرية الأبرز في المنطقة. ثم حسم معركة خيرونيا سنة 338 ق.م. ليصبح صاحب الهيمنة الفعلية على اليونان</w:t>
      </w:r>
      <w:r w:rsidRPr="0084744B">
        <w:rPr>
          <w:b/>
          <w:bCs/>
        </w:rPr>
        <w:t xml:space="preserve">. </w:t>
      </w:r>
    </w:p>
    <w:p w14:paraId="5A465CF6" w14:textId="77777777" w:rsidR="0084744B" w:rsidRPr="0084744B" w:rsidRDefault="0084744B" w:rsidP="0084744B">
      <w:pPr>
        <w:bidi/>
        <w:rPr>
          <w:b/>
          <w:bCs/>
        </w:rPr>
      </w:pPr>
      <w:r w:rsidRPr="0084744B">
        <w:rPr>
          <w:b/>
          <w:bCs/>
          <w:rtl/>
        </w:rPr>
        <w:t>وكان صعود مقدونيا نتيجةَ عاملين معًا: كفاءة الدولة المقدونية نفسها، وإخفاق المدن اليونانية في تجاوز انقساماتها القديمة. ومن المهم هنا ألا نُعيد إنتاج النظرة الأثينية التقليدية التي صورت المقدونيين دائمًا كقوة “خارجية” فقط؛ فالأدلة الحديثة تظهر أن البلاط المقدوني نفسه أصبح مركزًا مهمًا من مراكز الثقافة اليونانية في أواخر القرن الرابع ق.م.، وأن انتصار مقدونيا لم يكن مجرد غزو عسكري، بل إعادةَ ترتيبٍ للعالم اليوناني كله</w:t>
      </w:r>
      <w:r w:rsidRPr="0084744B">
        <w:rPr>
          <w:b/>
          <w:bCs/>
        </w:rPr>
        <w:t xml:space="preserve">. </w:t>
      </w:r>
    </w:p>
    <w:p w14:paraId="58693EDB" w14:textId="77777777" w:rsidR="0084744B" w:rsidRPr="0084744B" w:rsidRDefault="0084744B" w:rsidP="0084744B">
      <w:pPr>
        <w:bidi/>
        <w:rPr>
          <w:b/>
          <w:bCs/>
          <w:color w:val="C00000"/>
        </w:rPr>
      </w:pPr>
      <w:r w:rsidRPr="0084744B">
        <w:rPr>
          <w:b/>
          <w:bCs/>
          <w:color w:val="C00000"/>
          <w:rtl/>
        </w:rPr>
        <w:lastRenderedPageBreak/>
        <w:t>١٠</w:t>
      </w:r>
      <w:r w:rsidRPr="0084744B">
        <w:rPr>
          <w:b/>
          <w:bCs/>
          <w:color w:val="C00000"/>
        </w:rPr>
        <w:t xml:space="preserve">) </w:t>
      </w:r>
      <w:r w:rsidRPr="0084744B">
        <w:rPr>
          <w:b/>
          <w:bCs/>
          <w:color w:val="C00000"/>
          <w:rtl/>
        </w:rPr>
        <w:t>الإسكندر الأكبر وأثره التاريخي</w:t>
      </w:r>
    </w:p>
    <w:p w14:paraId="589D2A34" w14:textId="77777777" w:rsidR="0084744B" w:rsidRPr="0084744B" w:rsidRDefault="0084744B" w:rsidP="0084744B">
      <w:pPr>
        <w:bidi/>
        <w:rPr>
          <w:b/>
          <w:bCs/>
        </w:rPr>
      </w:pPr>
      <w:r w:rsidRPr="0084744B">
        <w:rPr>
          <w:b/>
          <w:bCs/>
          <w:rtl/>
        </w:rPr>
        <w:t>ورث الإسكندر الأكبر دولةً عسكرية فعالة صنعها أبوه، لكنه حوّلها إلى إمبراطورية عابرة للقارات. وتفيد المصادر الحديثة بأنه تولى الحكم سنة 336 ق.م.، وعبر إلى آسيا سنة 334 ق.م.، وقاد حملة امتدت أحد عشر عامًا، انتهت بفتح الإمبراطورية الفارسية والوصول إلى مصر وآسيا الوسطى ووادي السند. وبعد أن أوقفه تمرّد جيشه عن المضي أبعد، توفي في بابل سنة 323 ق.م. عن ثلاثة وثلاثين عامًا</w:t>
      </w:r>
      <w:r w:rsidRPr="0084744B">
        <w:rPr>
          <w:b/>
          <w:bCs/>
        </w:rPr>
        <w:t xml:space="preserve">. </w:t>
      </w:r>
    </w:p>
    <w:p w14:paraId="2068F425" w14:textId="77777777" w:rsidR="0084744B" w:rsidRPr="0084744B" w:rsidRDefault="0084744B" w:rsidP="0084744B">
      <w:pPr>
        <w:bidi/>
        <w:rPr>
          <w:b/>
          <w:bCs/>
        </w:rPr>
      </w:pPr>
      <w:r w:rsidRPr="0084744B">
        <w:rPr>
          <w:b/>
          <w:bCs/>
          <w:rtl/>
        </w:rPr>
        <w:t>أما أثر الإسكندر التاريخي فكان هائلًا. فالمتحف المتروبوليتاني يصف عهده بأنه غيّر وجه أوروبا وآسيا، لأن فتوحه لم تكن مجرد توسع جغرافي، بل فتحت مسارات جديدة للتبادل البشري والفني والسياسي. ومع ذلك، ينبغي تجنب المبالغة التمجيدية؛ فإمبراطوريته لم تبقَ موحدة بعد موته، بل انقسمت بين قواده. لذا فالأثر الحقيقي للإسكندر لا يكمن في بقاء دولته، بل في إطلاقه عصرًا جديدًا من الامتزاج الثقافي والسياسي على نطاق غير مسبوق</w:t>
      </w:r>
      <w:r w:rsidRPr="0084744B">
        <w:rPr>
          <w:b/>
          <w:bCs/>
        </w:rPr>
        <w:t xml:space="preserve">. </w:t>
      </w:r>
    </w:p>
    <w:p w14:paraId="756AEE74" w14:textId="77777777" w:rsidR="0084744B" w:rsidRPr="0084744B" w:rsidRDefault="0084744B" w:rsidP="0084744B">
      <w:pPr>
        <w:bidi/>
        <w:rPr>
          <w:b/>
          <w:bCs/>
          <w:color w:val="C00000"/>
        </w:rPr>
      </w:pPr>
      <w:r w:rsidRPr="0084744B">
        <w:rPr>
          <w:b/>
          <w:bCs/>
          <w:color w:val="C00000"/>
          <w:rtl/>
        </w:rPr>
        <w:t>١١</w:t>
      </w:r>
      <w:r w:rsidRPr="0084744B">
        <w:rPr>
          <w:b/>
          <w:bCs/>
          <w:color w:val="C00000"/>
        </w:rPr>
        <w:t xml:space="preserve">) </w:t>
      </w:r>
      <w:r w:rsidRPr="0084744B">
        <w:rPr>
          <w:b/>
          <w:bCs/>
          <w:color w:val="C00000"/>
          <w:rtl/>
        </w:rPr>
        <w:t>الحضارة الهلنستية وانتشارها</w:t>
      </w:r>
    </w:p>
    <w:p w14:paraId="224ACF21" w14:textId="77777777" w:rsidR="0084744B" w:rsidRPr="0084744B" w:rsidRDefault="0084744B" w:rsidP="0084744B">
      <w:pPr>
        <w:bidi/>
        <w:rPr>
          <w:b/>
          <w:bCs/>
        </w:rPr>
      </w:pPr>
      <w:r w:rsidRPr="0084744B">
        <w:rPr>
          <w:b/>
          <w:bCs/>
          <w:rtl/>
        </w:rPr>
        <w:t>يبدأ العصر الهلنستي، في المعنى التاريخي الشائع، من وفاة الإسكندر سنة 323 ق.م. وينتهي بسقوط مصر البطلمية في يد روما سنة 30 ق.م. وخلال هذه المرحلة تقاسمت الأسر الحاكمة الكبرى، مثل البطالمة والسلوقيين والأنتيغونيين، فضاءً واسعًا من اليونان وآسيا الصغرى ومصر والشرق الأدنى. وتوضح بريتانيكا والمتحف المتروبوليتاني أن هذا العصر شهد توسعًا هائلًا للثقافة اليونانية، لكنه لم يكن مجرد “نشر” أحادي الاتجاه، بل عملية تفاعل وامتزاج بين العناصر اليونانية والمحلية</w:t>
      </w:r>
      <w:r w:rsidRPr="0084744B">
        <w:rPr>
          <w:b/>
          <w:bCs/>
        </w:rPr>
        <w:t xml:space="preserve">. </w:t>
      </w:r>
    </w:p>
    <w:p w14:paraId="2AF8E98D" w14:textId="77777777" w:rsidR="0084744B" w:rsidRPr="0084744B" w:rsidRDefault="0084744B" w:rsidP="0084744B">
      <w:pPr>
        <w:bidi/>
        <w:rPr>
          <w:b/>
          <w:bCs/>
        </w:rPr>
      </w:pPr>
      <w:r w:rsidRPr="0084744B">
        <w:rPr>
          <w:b/>
          <w:bCs/>
          <w:rtl/>
        </w:rPr>
        <w:t>وفي هذا العصر ظهرت مراكز كبرى جديدة مثل الإسكندرية وبرغامون وأنطاكية، وتحوّل ثقل الثقافة اليونانية من المدينة-الدولة المستقلة إلى الممالك الواسعة، ومن المواطن المحلي إلى الفرد الذي يتحرك داخل عالم أوسع. كما ازدهرت الفنون الهلنستية في اتجاهات أكثر درامية وواقعية وتنوعًا، وامتد تأثير اليونانية لغةً وثقافةً عبر مساحات شاسعة. ومن هنا يمكن القول إن العصر الهلنستي كان الجسر الذي عبرت من خلاله الحضارة اليونانية من إطارها الأوروبي-الإيجي الأصلي إلى إطار شرق متوسطي عالمي، ثم عادت عبر الرومان لتصبح جزءًا من الميراث الأوروبي العام</w:t>
      </w:r>
      <w:r w:rsidRPr="0084744B">
        <w:rPr>
          <w:b/>
          <w:bCs/>
        </w:rPr>
        <w:t xml:space="preserve">. </w:t>
      </w:r>
    </w:p>
    <w:p w14:paraId="01ACA7AC" w14:textId="77777777" w:rsidR="0044067D" w:rsidRDefault="0044067D" w:rsidP="0084744B">
      <w:pPr>
        <w:bidi/>
        <w:rPr>
          <w:b/>
          <w:bCs/>
          <w:rtl/>
        </w:rPr>
      </w:pPr>
    </w:p>
    <w:p w14:paraId="0C9D3E55" w14:textId="77777777" w:rsidR="0044067D" w:rsidRDefault="0044067D" w:rsidP="0044067D">
      <w:pPr>
        <w:bidi/>
        <w:rPr>
          <w:b/>
          <w:bCs/>
          <w:rtl/>
        </w:rPr>
      </w:pPr>
    </w:p>
    <w:p w14:paraId="2A24816B" w14:textId="57A91526" w:rsidR="0084744B" w:rsidRPr="0084744B" w:rsidRDefault="0084744B" w:rsidP="0044067D">
      <w:pPr>
        <w:bidi/>
        <w:rPr>
          <w:b/>
          <w:bCs/>
        </w:rPr>
      </w:pPr>
      <w:r w:rsidRPr="0084744B">
        <w:rPr>
          <w:b/>
          <w:bCs/>
          <w:rtl/>
        </w:rPr>
        <w:t>خاتمة</w:t>
      </w:r>
    </w:p>
    <w:p w14:paraId="5585AC61" w14:textId="77777777" w:rsidR="0084744B" w:rsidRPr="0084744B" w:rsidRDefault="0084744B" w:rsidP="0084744B">
      <w:pPr>
        <w:bidi/>
        <w:rPr>
          <w:b/>
          <w:bCs/>
        </w:rPr>
      </w:pPr>
      <w:r w:rsidRPr="0084744B">
        <w:rPr>
          <w:b/>
          <w:bCs/>
          <w:rtl/>
        </w:rPr>
        <w:t>تكشف دراسة أوروبا في التاريخ اليوناني القديم أن الحضارة اليونانية لم تكن مجرد فصل قومي في تاريخ شعب واحد، بل كانت معملًا مبكرًا لصناعة السياسة والفكر والهوية في الفضاء الأوروبي. ففيها تبلورت المدينة-الدولة، وظهرت أشكال متنافسة من الحكم، وتحددت معالم الصراع بين الحرية المدنية والانضباط العسكري، وازدهرت الفلسفة بوصفها بحثًا عقليًا في الإنسان والعالم. كما أن الحروب الفارسية والحروب البيلوبونيسية أظهرتا معًا قدرة العالم اليوناني على المقاومة من جهة، وعجزه عن الحفاظ على وحدته من جهة أخرى، وهو ما أفسح المجال لمقدونيا ثم للعالم الهلنستي. وعلى هذا الأساس فإن اليونان القديمة ليست مجرد مقدمة للتاريخ الأوروبي، بل إحدى طبقاته المؤسسة الأعمق، التي استمر أثرها في السياسة والفلسفة والتعليم واللغة والفن عبر العصور اللاحقة</w:t>
      </w:r>
      <w:r w:rsidRPr="0084744B">
        <w:rPr>
          <w:b/>
          <w:bCs/>
        </w:rPr>
        <w:t xml:space="preserve">. </w:t>
      </w:r>
    </w:p>
    <w:p w14:paraId="71A4C576" w14:textId="77777777" w:rsidR="0044067D" w:rsidRDefault="0044067D" w:rsidP="0084744B">
      <w:pPr>
        <w:bidi/>
        <w:rPr>
          <w:b/>
          <w:bCs/>
          <w:color w:val="215E99" w:themeColor="text2" w:themeTint="BF"/>
          <w:rtl/>
        </w:rPr>
      </w:pPr>
    </w:p>
    <w:p w14:paraId="5E2CC237" w14:textId="77777777" w:rsidR="0044067D" w:rsidRDefault="0044067D" w:rsidP="0044067D">
      <w:pPr>
        <w:bidi/>
        <w:rPr>
          <w:b/>
          <w:bCs/>
          <w:color w:val="215E99" w:themeColor="text2" w:themeTint="BF"/>
          <w:rtl/>
        </w:rPr>
      </w:pPr>
    </w:p>
    <w:p w14:paraId="5035F916" w14:textId="77777777" w:rsidR="0044067D" w:rsidRDefault="0044067D" w:rsidP="0044067D">
      <w:pPr>
        <w:bidi/>
        <w:rPr>
          <w:b/>
          <w:bCs/>
          <w:color w:val="215E99" w:themeColor="text2" w:themeTint="BF"/>
          <w:rtl/>
        </w:rPr>
      </w:pPr>
    </w:p>
    <w:p w14:paraId="70C06369" w14:textId="77777777" w:rsidR="0044067D" w:rsidRDefault="0044067D" w:rsidP="0044067D">
      <w:pPr>
        <w:bidi/>
        <w:rPr>
          <w:b/>
          <w:bCs/>
          <w:color w:val="215E99" w:themeColor="text2" w:themeTint="BF"/>
          <w:rtl/>
        </w:rPr>
      </w:pPr>
    </w:p>
    <w:p w14:paraId="21AEDC16" w14:textId="77777777" w:rsidR="0044067D" w:rsidRPr="00E238EC" w:rsidRDefault="0044067D" w:rsidP="0044067D">
      <w:pPr>
        <w:bidi/>
        <w:rPr>
          <w:b/>
          <w:bCs/>
          <w:rtl/>
        </w:rPr>
      </w:pPr>
    </w:p>
    <w:p w14:paraId="0432DC29" w14:textId="1FB29946" w:rsidR="0084744B" w:rsidRPr="0084744B" w:rsidRDefault="0084744B" w:rsidP="0044067D">
      <w:pPr>
        <w:bidi/>
        <w:rPr>
          <w:b/>
          <w:bCs/>
          <w:color w:val="215E99" w:themeColor="text2" w:themeTint="BF"/>
        </w:rPr>
      </w:pPr>
      <w:r w:rsidRPr="0084744B">
        <w:rPr>
          <w:b/>
          <w:bCs/>
          <w:color w:val="215E99" w:themeColor="text2" w:themeTint="BF"/>
          <w:rtl/>
        </w:rPr>
        <w:t>مراجع ختامية مختارة</w:t>
      </w:r>
    </w:p>
    <w:p w14:paraId="2E34B8FC" w14:textId="77777777" w:rsidR="0084744B" w:rsidRPr="0084744B" w:rsidRDefault="0084744B" w:rsidP="0084744B">
      <w:pPr>
        <w:numPr>
          <w:ilvl w:val="0"/>
          <w:numId w:val="2"/>
        </w:numPr>
        <w:bidi/>
        <w:rPr>
          <w:b/>
          <w:bCs/>
          <w:color w:val="215E99" w:themeColor="text2" w:themeTint="BF"/>
        </w:rPr>
      </w:pPr>
      <w:r w:rsidRPr="0084744B">
        <w:rPr>
          <w:b/>
          <w:bCs/>
          <w:color w:val="215E99" w:themeColor="text2" w:themeTint="BF"/>
        </w:rPr>
        <w:t xml:space="preserve">Britannica, Ancient Greek civilization </w:t>
      </w:r>
    </w:p>
    <w:p w14:paraId="37A955D8" w14:textId="77777777" w:rsidR="0084744B" w:rsidRPr="0084744B" w:rsidRDefault="0084744B" w:rsidP="0084744B">
      <w:pPr>
        <w:numPr>
          <w:ilvl w:val="0"/>
          <w:numId w:val="2"/>
        </w:numPr>
        <w:bidi/>
        <w:rPr>
          <w:b/>
          <w:bCs/>
          <w:color w:val="215E99" w:themeColor="text2" w:themeTint="BF"/>
        </w:rPr>
      </w:pPr>
      <w:r w:rsidRPr="0084744B">
        <w:rPr>
          <w:b/>
          <w:bCs/>
          <w:color w:val="215E99" w:themeColor="text2" w:themeTint="BF"/>
        </w:rPr>
        <w:t xml:space="preserve">Britannica, polis </w:t>
      </w:r>
    </w:p>
    <w:p w14:paraId="764EFF14" w14:textId="77777777" w:rsidR="0084744B" w:rsidRPr="0084744B" w:rsidRDefault="0084744B" w:rsidP="0084744B">
      <w:pPr>
        <w:numPr>
          <w:ilvl w:val="0"/>
          <w:numId w:val="2"/>
        </w:numPr>
        <w:bidi/>
        <w:rPr>
          <w:b/>
          <w:bCs/>
          <w:color w:val="215E99" w:themeColor="text2" w:themeTint="BF"/>
        </w:rPr>
      </w:pPr>
      <w:r w:rsidRPr="0084744B">
        <w:rPr>
          <w:b/>
          <w:bCs/>
          <w:color w:val="215E99" w:themeColor="text2" w:themeTint="BF"/>
        </w:rPr>
        <w:t xml:space="preserve">Britannica, The reforms of Cleisthenes </w:t>
      </w:r>
    </w:p>
    <w:p w14:paraId="4F9CAAA2" w14:textId="77777777" w:rsidR="0084744B" w:rsidRPr="0084744B" w:rsidRDefault="0084744B" w:rsidP="0084744B">
      <w:pPr>
        <w:numPr>
          <w:ilvl w:val="0"/>
          <w:numId w:val="2"/>
        </w:numPr>
        <w:bidi/>
        <w:rPr>
          <w:b/>
          <w:bCs/>
          <w:color w:val="215E99" w:themeColor="text2" w:themeTint="BF"/>
        </w:rPr>
      </w:pPr>
      <w:r w:rsidRPr="0084744B">
        <w:rPr>
          <w:b/>
          <w:bCs/>
          <w:color w:val="215E99" w:themeColor="text2" w:themeTint="BF"/>
        </w:rPr>
        <w:t xml:space="preserve">Aristotle, Constitution of Athens </w:t>
      </w:r>
    </w:p>
    <w:p w14:paraId="484AF92B" w14:textId="77777777" w:rsidR="0084744B" w:rsidRPr="0084744B" w:rsidRDefault="0084744B" w:rsidP="0084744B">
      <w:pPr>
        <w:numPr>
          <w:ilvl w:val="0"/>
          <w:numId w:val="2"/>
        </w:numPr>
        <w:bidi/>
        <w:rPr>
          <w:b/>
          <w:bCs/>
          <w:color w:val="215E99" w:themeColor="text2" w:themeTint="BF"/>
        </w:rPr>
      </w:pPr>
      <w:r w:rsidRPr="0084744B">
        <w:rPr>
          <w:b/>
          <w:bCs/>
          <w:color w:val="215E99" w:themeColor="text2" w:themeTint="BF"/>
        </w:rPr>
        <w:t xml:space="preserve">Xenophon, Constitution of the Lacedaemonians </w:t>
      </w:r>
    </w:p>
    <w:p w14:paraId="7F45CB2C" w14:textId="77777777" w:rsidR="0084744B" w:rsidRPr="0084744B" w:rsidRDefault="0084744B" w:rsidP="0084744B">
      <w:pPr>
        <w:numPr>
          <w:ilvl w:val="0"/>
          <w:numId w:val="2"/>
        </w:numPr>
        <w:bidi/>
        <w:rPr>
          <w:b/>
          <w:bCs/>
          <w:color w:val="215E99" w:themeColor="text2" w:themeTint="BF"/>
        </w:rPr>
      </w:pPr>
      <w:r w:rsidRPr="0084744B">
        <w:rPr>
          <w:b/>
          <w:bCs/>
          <w:color w:val="215E99" w:themeColor="text2" w:themeTint="BF"/>
        </w:rPr>
        <w:t xml:space="preserve">Herodotus, Histories </w:t>
      </w:r>
    </w:p>
    <w:p w14:paraId="33904E0C" w14:textId="77777777" w:rsidR="0084744B" w:rsidRPr="0084744B" w:rsidRDefault="0084744B" w:rsidP="0084744B">
      <w:pPr>
        <w:numPr>
          <w:ilvl w:val="0"/>
          <w:numId w:val="2"/>
        </w:numPr>
        <w:bidi/>
        <w:rPr>
          <w:b/>
          <w:bCs/>
          <w:color w:val="215E99" w:themeColor="text2" w:themeTint="BF"/>
        </w:rPr>
      </w:pPr>
      <w:r w:rsidRPr="0084744B">
        <w:rPr>
          <w:b/>
          <w:bCs/>
          <w:color w:val="215E99" w:themeColor="text2" w:themeTint="BF"/>
        </w:rPr>
        <w:t xml:space="preserve">Thucydides, Peloponnesian War </w:t>
      </w:r>
    </w:p>
    <w:p w14:paraId="420EEDF6" w14:textId="77777777" w:rsidR="0084744B" w:rsidRPr="0084744B" w:rsidRDefault="0084744B" w:rsidP="0084744B">
      <w:pPr>
        <w:numPr>
          <w:ilvl w:val="0"/>
          <w:numId w:val="2"/>
        </w:numPr>
        <w:bidi/>
        <w:rPr>
          <w:b/>
          <w:bCs/>
          <w:color w:val="215E99" w:themeColor="text2" w:themeTint="BF"/>
        </w:rPr>
      </w:pPr>
      <w:r w:rsidRPr="0084744B">
        <w:rPr>
          <w:b/>
          <w:bCs/>
          <w:color w:val="215E99" w:themeColor="text2" w:themeTint="BF"/>
        </w:rPr>
        <w:t xml:space="preserve">Britannica, Greco-Persian Wars </w:t>
      </w:r>
    </w:p>
    <w:p w14:paraId="51CBDAC5" w14:textId="77777777" w:rsidR="0084744B" w:rsidRPr="0084744B" w:rsidRDefault="0084744B" w:rsidP="0084744B">
      <w:pPr>
        <w:numPr>
          <w:ilvl w:val="0"/>
          <w:numId w:val="2"/>
        </w:numPr>
        <w:bidi/>
        <w:rPr>
          <w:b/>
          <w:bCs/>
          <w:color w:val="215E99" w:themeColor="text2" w:themeTint="BF"/>
        </w:rPr>
      </w:pPr>
      <w:r w:rsidRPr="0084744B">
        <w:rPr>
          <w:b/>
          <w:bCs/>
          <w:color w:val="215E99" w:themeColor="text2" w:themeTint="BF"/>
        </w:rPr>
        <w:t xml:space="preserve">Britannica, The Peloponnesian War </w:t>
      </w:r>
    </w:p>
    <w:p w14:paraId="1494A0B2" w14:textId="77777777" w:rsidR="0084744B" w:rsidRPr="0084744B" w:rsidRDefault="0084744B" w:rsidP="0084744B">
      <w:pPr>
        <w:numPr>
          <w:ilvl w:val="0"/>
          <w:numId w:val="2"/>
        </w:numPr>
        <w:bidi/>
        <w:rPr>
          <w:b/>
          <w:bCs/>
          <w:color w:val="215E99" w:themeColor="text2" w:themeTint="BF"/>
        </w:rPr>
      </w:pPr>
      <w:r w:rsidRPr="0084744B">
        <w:rPr>
          <w:b/>
          <w:bCs/>
          <w:color w:val="215E99" w:themeColor="text2" w:themeTint="BF"/>
        </w:rPr>
        <w:t xml:space="preserve">The Metropolitan Museum of Art, The Rise of Macedon and the Conquests of Alexander the Great </w:t>
      </w:r>
    </w:p>
    <w:p w14:paraId="24E57A13" w14:textId="77777777" w:rsidR="0084744B" w:rsidRPr="0084744B" w:rsidRDefault="0084744B" w:rsidP="0084744B">
      <w:pPr>
        <w:numPr>
          <w:ilvl w:val="0"/>
          <w:numId w:val="2"/>
        </w:numPr>
        <w:bidi/>
        <w:rPr>
          <w:b/>
          <w:bCs/>
          <w:color w:val="215E99" w:themeColor="text2" w:themeTint="BF"/>
        </w:rPr>
      </w:pPr>
      <w:r w:rsidRPr="0084744B">
        <w:rPr>
          <w:b/>
          <w:bCs/>
          <w:color w:val="215E99" w:themeColor="text2" w:themeTint="BF"/>
        </w:rPr>
        <w:t xml:space="preserve">Britannica, Hellenistic Age </w:t>
      </w:r>
    </w:p>
    <w:p w14:paraId="1288E13A" w14:textId="77777777" w:rsidR="0084744B" w:rsidRPr="0084744B" w:rsidRDefault="0084744B" w:rsidP="0084744B">
      <w:pPr>
        <w:numPr>
          <w:ilvl w:val="0"/>
          <w:numId w:val="2"/>
        </w:numPr>
        <w:bidi/>
        <w:rPr>
          <w:b/>
          <w:bCs/>
        </w:rPr>
      </w:pPr>
      <w:r w:rsidRPr="0084744B">
        <w:rPr>
          <w:b/>
          <w:bCs/>
          <w:color w:val="215E99" w:themeColor="text2" w:themeTint="BF"/>
        </w:rPr>
        <w:t xml:space="preserve">Stanford Encyclopedia of Philosophy: </w:t>
      </w:r>
      <w:proofErr w:type="spellStart"/>
      <w:r w:rsidRPr="0084744B">
        <w:rPr>
          <w:b/>
          <w:bCs/>
          <w:color w:val="215E99" w:themeColor="text2" w:themeTint="BF"/>
        </w:rPr>
        <w:t>Presocratics</w:t>
      </w:r>
      <w:proofErr w:type="spellEnd"/>
      <w:r w:rsidRPr="0084744B">
        <w:rPr>
          <w:b/>
          <w:bCs/>
          <w:color w:val="215E99" w:themeColor="text2" w:themeTint="BF"/>
        </w:rPr>
        <w:t xml:space="preserve">, Socrates, Plato, Aristotle </w:t>
      </w:r>
    </w:p>
    <w:p w14:paraId="51F46A4C" w14:textId="77777777" w:rsidR="0084744B" w:rsidRDefault="0084744B" w:rsidP="0084744B">
      <w:pPr>
        <w:pBdr>
          <w:bottom w:val="single" w:sz="6" w:space="1" w:color="auto"/>
        </w:pBdr>
        <w:bidi/>
        <w:rPr>
          <w:b/>
          <w:bCs/>
          <w:rtl/>
        </w:rPr>
      </w:pPr>
    </w:p>
    <w:p w14:paraId="271679CE" w14:textId="77777777" w:rsidR="00E238EC" w:rsidRPr="00E238EC" w:rsidRDefault="00E238EC" w:rsidP="00E238EC">
      <w:pPr>
        <w:bidi/>
        <w:rPr>
          <w:b/>
          <w:bCs/>
          <w:rtl/>
        </w:rPr>
      </w:pPr>
    </w:p>
    <w:p w14:paraId="7BA981EA" w14:textId="77777777" w:rsidR="0044067D" w:rsidRPr="00E238EC" w:rsidRDefault="0044067D" w:rsidP="0044067D">
      <w:pPr>
        <w:bidi/>
        <w:rPr>
          <w:b/>
          <w:bCs/>
          <w:rtl/>
        </w:rPr>
      </w:pPr>
    </w:p>
    <w:p w14:paraId="1986DDD1" w14:textId="77777777" w:rsidR="0044067D" w:rsidRPr="00E238EC" w:rsidRDefault="0044067D" w:rsidP="0044067D">
      <w:pPr>
        <w:bidi/>
        <w:rPr>
          <w:b/>
          <w:bCs/>
          <w:rtl/>
        </w:rPr>
      </w:pPr>
    </w:p>
    <w:p w14:paraId="47A57D56" w14:textId="77777777" w:rsidR="00E238EC" w:rsidRDefault="00E238EC" w:rsidP="00E238EC">
      <w:pPr>
        <w:bidi/>
        <w:rPr>
          <w:b/>
          <w:bCs/>
          <w:color w:val="C00000"/>
          <w:rtl/>
        </w:rPr>
      </w:pPr>
      <w:r w:rsidRPr="00E238EC">
        <w:rPr>
          <w:b/>
          <w:bCs/>
          <w:color w:val="C00000"/>
          <w:rtl/>
        </w:rPr>
        <w:t>الفصل الخامس: أوروبا في التاريخ الروماني</w:t>
      </w:r>
    </w:p>
    <w:p w14:paraId="729C69E5" w14:textId="77777777" w:rsidR="00E238EC" w:rsidRDefault="00E238EC" w:rsidP="00E238EC">
      <w:pPr>
        <w:bidi/>
        <w:rPr>
          <w:b/>
          <w:bCs/>
          <w:color w:val="C00000"/>
          <w:rtl/>
        </w:rPr>
      </w:pPr>
    </w:p>
    <w:p w14:paraId="4BEB51CA" w14:textId="77777777" w:rsidR="00E238EC" w:rsidRPr="00E238EC" w:rsidRDefault="00E238EC" w:rsidP="00E238EC">
      <w:pPr>
        <w:bidi/>
        <w:rPr>
          <w:b/>
          <w:bCs/>
          <w:color w:val="C00000"/>
          <w:lang w:bidi="ar-EG"/>
        </w:rPr>
      </w:pPr>
    </w:p>
    <w:p w14:paraId="32C6233C" w14:textId="77777777" w:rsidR="00E238EC" w:rsidRPr="00E238EC" w:rsidRDefault="00E238EC" w:rsidP="00E238EC">
      <w:pPr>
        <w:bidi/>
        <w:rPr>
          <w:b/>
          <w:bCs/>
          <w:lang w:bidi="ar-EG"/>
        </w:rPr>
      </w:pPr>
      <w:r w:rsidRPr="00E238EC">
        <w:rPr>
          <w:b/>
          <w:bCs/>
          <w:rtl/>
        </w:rPr>
        <w:t>مقدمة</w:t>
      </w:r>
    </w:p>
    <w:p w14:paraId="76428A36" w14:textId="77777777" w:rsidR="00E238EC" w:rsidRPr="00E238EC" w:rsidRDefault="00E238EC" w:rsidP="00E238EC">
      <w:pPr>
        <w:bidi/>
        <w:rPr>
          <w:b/>
          <w:bCs/>
          <w:lang w:bidi="ar-EG"/>
        </w:rPr>
      </w:pPr>
      <w:r w:rsidRPr="00E238EC">
        <w:rPr>
          <w:b/>
          <w:bCs/>
          <w:rtl/>
        </w:rPr>
        <w:t xml:space="preserve">يمثل التاريخ الروماني أحد الأعمدة المؤسسة لتاريخ أوروبا القديم، لأن روما لم تكن مجرد مدينة إيطالية صاعدة، بل تحولت عبر قرون إلى قوة سياسية وعسكرية وقانونية أعادت تشكيل المتوسط وأجزاء واسعة من أوروبا الغربية والوسطى والبلقان والجزر البريطانية. وقد نما هذا الكيان من تجمّع صغير على نهر التيبر إلى إمبراطورية شملت في أوجها معظم أوروبا غرب الراين وجنوب الدانوب، إلى جانب مناطق واسعة من آسيا الغربية وشمال أفريقيا. لذلك فإن </w:t>
      </w:r>
      <w:r w:rsidRPr="00E238EC">
        <w:rPr>
          <w:b/>
          <w:bCs/>
          <w:rtl/>
        </w:rPr>
        <w:lastRenderedPageBreak/>
        <w:t>دراسة أوروبا في التاريخ الروماني ليست دراسة لروما وحدها، بل دراسة لعملية التكوين السياسي والقانوني والاجتماعي التي أثرت لاحقًا في أوروبا الوسيطة والحديثة</w:t>
      </w:r>
      <w:r w:rsidRPr="00E238EC">
        <w:rPr>
          <w:b/>
          <w:bCs/>
          <w:lang w:bidi="ar-EG"/>
        </w:rPr>
        <w:t xml:space="preserve">. </w:t>
      </w:r>
    </w:p>
    <w:p w14:paraId="71BD3C84" w14:textId="77777777" w:rsidR="00E238EC" w:rsidRPr="00E238EC" w:rsidRDefault="00E238EC" w:rsidP="00E238EC">
      <w:pPr>
        <w:bidi/>
        <w:rPr>
          <w:b/>
          <w:bCs/>
          <w:lang w:bidi="ar-EG"/>
        </w:rPr>
      </w:pPr>
      <w:r w:rsidRPr="00E238EC">
        <w:rPr>
          <w:b/>
          <w:bCs/>
          <w:rtl/>
        </w:rPr>
        <w:t>منهجيًا، يقوم هذا الفصل على الجمع بين الروايات الأدبية القديمة وبين الأدلة القانونية والأثرية. ويُعدّ تاريخ روما المبكر من أقل مراحلها توثيقًا لأن التدوين التاريخي الروماني لم يبدأ إلا متأخرًا نسبيًا، ولهذا ينبغي التعامل بحذر مع الروايات التأسيسية والأسطورية. وفي المقابل، تصبح الشواهد أوضح كلما تقدمنا في زمن الجمهورية والإمبراطورية، من خلال نصوص المؤرخين، والقوانين المدونة، والنقوش، والعمارة، واللقى الأثرية المنتشرة في أنحاء أوروبا الرومانية</w:t>
      </w:r>
      <w:r w:rsidRPr="00E238EC">
        <w:rPr>
          <w:b/>
          <w:bCs/>
          <w:lang w:bidi="ar-EG"/>
        </w:rPr>
        <w:t xml:space="preserve">. </w:t>
      </w:r>
    </w:p>
    <w:p w14:paraId="03C77A62" w14:textId="77777777" w:rsidR="00E238EC" w:rsidRPr="00E238EC" w:rsidRDefault="00E238EC" w:rsidP="00E238EC">
      <w:pPr>
        <w:bidi/>
        <w:rPr>
          <w:b/>
          <w:bCs/>
          <w:color w:val="C00000"/>
          <w:lang w:bidi="ar-EG"/>
        </w:rPr>
      </w:pPr>
      <w:r w:rsidRPr="00E238EC">
        <w:rPr>
          <w:b/>
          <w:bCs/>
          <w:color w:val="C00000"/>
          <w:rtl/>
        </w:rPr>
        <w:t>١</w:t>
      </w:r>
      <w:r w:rsidRPr="00E238EC">
        <w:rPr>
          <w:b/>
          <w:bCs/>
          <w:color w:val="C00000"/>
          <w:lang w:bidi="ar-EG"/>
        </w:rPr>
        <w:t xml:space="preserve">) </w:t>
      </w:r>
      <w:r w:rsidRPr="00E238EC">
        <w:rPr>
          <w:b/>
          <w:bCs/>
          <w:color w:val="C00000"/>
          <w:rtl/>
        </w:rPr>
        <w:t>نشأة روما القديمة</w:t>
      </w:r>
    </w:p>
    <w:p w14:paraId="16AEC0C5" w14:textId="77777777" w:rsidR="00E238EC" w:rsidRPr="00E238EC" w:rsidRDefault="00E238EC" w:rsidP="00E238EC">
      <w:pPr>
        <w:bidi/>
        <w:rPr>
          <w:b/>
          <w:bCs/>
          <w:lang w:bidi="ar-EG"/>
        </w:rPr>
      </w:pPr>
      <w:r w:rsidRPr="00E238EC">
        <w:rPr>
          <w:b/>
          <w:bCs/>
          <w:rtl/>
        </w:rPr>
        <w:t>تقدم التقاليد الرومانية رواية أسطورية مشهورة عن تأسيس روما سنة 753 ق.م. على يد رومولوس، وقد ظلت هذه الرواية جزءًا أساسيًا من الهوية الرومانية الإمبراطورية. لكن القراءة التاريخية الحديثة تميز بين الأسطورة والواقع؛ فالأقرب إلى الأدلة أن روما نشأت في القرن الثامن ق.م. من تجمّع قرى فوق الهضاب السبع، مستفيدة من موقعها الاستراتيجي على التيبر، ومن اتصالها التجاري والثقافي بجيرانها، وخاصة الإتروسكيين، الذين تأثروا بدورهم باليونان. ومن ثم فالبداية الرومانية لم تكن حدثًا واحدًا لحظيًا، بل عملية تشكّل حضري تدريجي</w:t>
      </w:r>
      <w:r w:rsidRPr="00E238EC">
        <w:rPr>
          <w:b/>
          <w:bCs/>
          <w:lang w:bidi="ar-EG"/>
        </w:rPr>
        <w:t xml:space="preserve">. </w:t>
      </w:r>
    </w:p>
    <w:p w14:paraId="4925FDC3" w14:textId="77777777" w:rsidR="00E238EC" w:rsidRPr="00E238EC" w:rsidRDefault="00E238EC" w:rsidP="00E238EC">
      <w:pPr>
        <w:bidi/>
        <w:rPr>
          <w:b/>
          <w:bCs/>
          <w:color w:val="C00000"/>
          <w:lang w:bidi="ar-EG"/>
        </w:rPr>
      </w:pPr>
      <w:r w:rsidRPr="00E238EC">
        <w:rPr>
          <w:b/>
          <w:bCs/>
          <w:color w:val="C00000"/>
          <w:rtl/>
        </w:rPr>
        <w:t>٢</w:t>
      </w:r>
      <w:r w:rsidRPr="00E238EC">
        <w:rPr>
          <w:b/>
          <w:bCs/>
          <w:color w:val="C00000"/>
          <w:lang w:bidi="ar-EG"/>
        </w:rPr>
        <w:t xml:space="preserve">) </w:t>
      </w:r>
      <w:r w:rsidRPr="00E238EC">
        <w:rPr>
          <w:b/>
          <w:bCs/>
          <w:color w:val="C00000"/>
          <w:rtl/>
        </w:rPr>
        <w:t>العهد الملكي في روما</w:t>
      </w:r>
    </w:p>
    <w:p w14:paraId="51850485" w14:textId="77777777" w:rsidR="00E238EC" w:rsidRPr="00E238EC" w:rsidRDefault="00E238EC" w:rsidP="00E238EC">
      <w:pPr>
        <w:bidi/>
        <w:rPr>
          <w:b/>
          <w:bCs/>
          <w:lang w:bidi="ar-EG"/>
        </w:rPr>
      </w:pPr>
      <w:r w:rsidRPr="00E238EC">
        <w:rPr>
          <w:b/>
          <w:bCs/>
          <w:rtl/>
        </w:rPr>
        <w:t>تجعل الرواية التقليدية العهد الملكي ممتدًا من 753 إلى 509 ق.م.، وتنسب إلى روما سبعة ملوك ينتهي حكمهم بطرد تاركوينيوس سوبربوس. غير أن الباحثين المحدثين يتعاملون مع هذه المرحلة بحذر، لأن أخبارها دوّنت بعد قرون من أحداثها، ولأن المادة التاريخية المبكرة اختلطت بالتفسير الوطني والأسطوري. وتشير بريتانيكا إلى أن الرأي الحديث الراجح لا يكتفي بتفسير نهاية الملكية على أنها ثورة أخلاقية ضد طاغية، بل يربطها أيضًا بصراعات عسكرية وتدخلات إتروسكية في وسط إيطاليا. لذلك تبقى ملامح العهد الملكي حقيقية في بعض خطوطها العامة، لكن تفاصيلها لا يمكن قبولها كلها على أنها يقين تاريخي مباشر</w:t>
      </w:r>
      <w:r w:rsidRPr="00E238EC">
        <w:rPr>
          <w:b/>
          <w:bCs/>
          <w:lang w:bidi="ar-EG"/>
        </w:rPr>
        <w:t xml:space="preserve">. </w:t>
      </w:r>
    </w:p>
    <w:p w14:paraId="770B449F" w14:textId="77777777" w:rsidR="00E238EC" w:rsidRPr="00E238EC" w:rsidRDefault="00E238EC" w:rsidP="00E238EC">
      <w:pPr>
        <w:bidi/>
        <w:rPr>
          <w:b/>
          <w:bCs/>
          <w:color w:val="C00000"/>
          <w:lang w:bidi="ar-EG"/>
        </w:rPr>
      </w:pPr>
      <w:r w:rsidRPr="00E238EC">
        <w:rPr>
          <w:b/>
          <w:bCs/>
          <w:color w:val="C00000"/>
          <w:rtl/>
        </w:rPr>
        <w:t>٣</w:t>
      </w:r>
      <w:r w:rsidRPr="00E238EC">
        <w:rPr>
          <w:b/>
          <w:bCs/>
          <w:color w:val="C00000"/>
          <w:lang w:bidi="ar-EG"/>
        </w:rPr>
        <w:t xml:space="preserve">) </w:t>
      </w:r>
      <w:r w:rsidRPr="00E238EC">
        <w:rPr>
          <w:b/>
          <w:bCs/>
          <w:color w:val="C00000"/>
          <w:rtl/>
        </w:rPr>
        <w:t>الجمهورية الرومانية</w:t>
      </w:r>
    </w:p>
    <w:p w14:paraId="06546D98" w14:textId="77777777" w:rsidR="00E238EC" w:rsidRPr="00E238EC" w:rsidRDefault="00E238EC" w:rsidP="00E238EC">
      <w:pPr>
        <w:bidi/>
        <w:rPr>
          <w:b/>
          <w:bCs/>
          <w:lang w:bidi="ar-EG"/>
        </w:rPr>
      </w:pPr>
      <w:r w:rsidRPr="00E238EC">
        <w:rPr>
          <w:b/>
          <w:bCs/>
          <w:rtl/>
        </w:rPr>
        <w:t xml:space="preserve">بدأت الجمهورية سنة 509 ق.م.، حين استُبدلت الملكية بنظام يقوم على انتخاب كبار القضاة، واستمرت حتى 27 ق.م. عندما صار أوكتافيانوس أغسطس صاحب السلطة الفعلية بصفة </w:t>
      </w:r>
      <w:r w:rsidRPr="00E238EC">
        <w:rPr>
          <w:b/>
          <w:bCs/>
          <w:i/>
          <w:iCs/>
          <w:lang w:bidi="ar-EG"/>
        </w:rPr>
        <w:t>princeps</w:t>
      </w:r>
      <w:r w:rsidRPr="00E238EC">
        <w:rPr>
          <w:b/>
          <w:bCs/>
          <w:lang w:bidi="ar-EG"/>
        </w:rPr>
        <w:t xml:space="preserve">. </w:t>
      </w:r>
      <w:r w:rsidRPr="00E238EC">
        <w:rPr>
          <w:b/>
          <w:bCs/>
          <w:rtl/>
        </w:rPr>
        <w:t>وقد أنشأت الجمهورية مؤسسات رئيسية مثل القنصلية، ومجلس الشيوخ، ومنصب الدكتاتور المؤقت في حالات الطوارئ، كما شهدت صراعًا طويلًا بين الأشراف والعامة. ومن أهم تطوراتها القانونية والسياسية تدوين قانون الألواح الاثني عشر في القرن الخامس ق.م.، وهو أول تقنين مكتوب أساسي في روما، وصار لاحقًا قاعدة كبرى لتطور القانون الخاص الروماني</w:t>
      </w:r>
      <w:r w:rsidRPr="00E238EC">
        <w:rPr>
          <w:b/>
          <w:bCs/>
          <w:lang w:bidi="ar-EG"/>
        </w:rPr>
        <w:t xml:space="preserve">. </w:t>
      </w:r>
    </w:p>
    <w:p w14:paraId="6FFD0DFF" w14:textId="77777777" w:rsidR="00E238EC" w:rsidRPr="00E238EC" w:rsidRDefault="00E238EC" w:rsidP="00E238EC">
      <w:pPr>
        <w:bidi/>
        <w:rPr>
          <w:b/>
          <w:bCs/>
          <w:lang w:bidi="ar-EG"/>
        </w:rPr>
      </w:pPr>
      <w:r w:rsidRPr="00E238EC">
        <w:rPr>
          <w:b/>
          <w:bCs/>
          <w:rtl/>
        </w:rPr>
        <w:t>ولم تكن الجمهورية نظامًا ديمقراطيًا بالمعنى الحديث، بل نظامًا مختلطًا تتداخل فيه سلطة المجالس الشعبية مع نفوذ مجلس الشيوخ وهيمنة الأسر الكبرى. ومع ذلك، فقد طورت روما خلال هذه المرحلة قدرة عالية على التكيف المؤسسي، بحيث وسعت قاعدة المواطنة تدريجيًا، ودمجت النخب المحلية في إيطاليا، وربطت الفتح العسكري بإعادة تنظيم الأراضي والاستيطان والاستعمار الداخلي. وهذا أحد الأسباب الجوهرية التي جعلت الجمهورية أكثر قدرة على التوسع من كثير من خصومها</w:t>
      </w:r>
      <w:r w:rsidRPr="00E238EC">
        <w:rPr>
          <w:b/>
          <w:bCs/>
          <w:lang w:bidi="ar-EG"/>
        </w:rPr>
        <w:t xml:space="preserve">. </w:t>
      </w:r>
    </w:p>
    <w:p w14:paraId="5A0EEF2A" w14:textId="77777777" w:rsidR="00E238EC" w:rsidRPr="00E238EC" w:rsidRDefault="00E238EC" w:rsidP="00E238EC">
      <w:pPr>
        <w:bidi/>
        <w:rPr>
          <w:b/>
          <w:bCs/>
          <w:color w:val="C00000"/>
          <w:lang w:bidi="ar-EG"/>
        </w:rPr>
      </w:pPr>
      <w:r w:rsidRPr="00E238EC">
        <w:rPr>
          <w:b/>
          <w:bCs/>
          <w:color w:val="C00000"/>
          <w:rtl/>
        </w:rPr>
        <w:t>٤</w:t>
      </w:r>
      <w:r w:rsidRPr="00E238EC">
        <w:rPr>
          <w:b/>
          <w:bCs/>
          <w:color w:val="C00000"/>
          <w:lang w:bidi="ar-EG"/>
        </w:rPr>
        <w:t xml:space="preserve">) </w:t>
      </w:r>
      <w:r w:rsidRPr="00E238EC">
        <w:rPr>
          <w:b/>
          <w:bCs/>
          <w:color w:val="C00000"/>
          <w:rtl/>
        </w:rPr>
        <w:t>التوسع الروماني في أوروبا</w:t>
      </w:r>
    </w:p>
    <w:p w14:paraId="09F9FE18" w14:textId="77777777" w:rsidR="00E238EC" w:rsidRPr="00E238EC" w:rsidRDefault="00E238EC" w:rsidP="00E238EC">
      <w:pPr>
        <w:bidi/>
        <w:rPr>
          <w:b/>
          <w:bCs/>
          <w:lang w:bidi="ar-EG"/>
        </w:rPr>
      </w:pPr>
      <w:r w:rsidRPr="00E238EC">
        <w:rPr>
          <w:b/>
          <w:bCs/>
          <w:rtl/>
        </w:rPr>
        <w:t xml:space="preserve">بدأ التوسع الروماني أولًا داخل إيطاليا نفسها؛ فبعد صراعات مع المدن الإتروسكية واللاتينية والسامنية والمدن الإغريقية في الجنوب، صارت روما في القرن الثالث ق.م. القوة المهيمنة على شبه الجزيرة الإيطالية. ثم قادتها الحروب البونية إلى </w:t>
      </w:r>
      <w:r w:rsidRPr="00E238EC">
        <w:rPr>
          <w:b/>
          <w:bCs/>
          <w:rtl/>
        </w:rPr>
        <w:lastRenderedPageBreak/>
        <w:t>الهيمنة على غرب المتوسط، ومنها إلى التوسع في إسبانيا، ولاحقًا في البلقان واليونان وآسيا الصغرى. وتؤكد بريتانيكا أن روما بعد حروبها الإيطالية أصبحت سيدة إيطاليا، ثم واصلت دفع حدودها بالفتح والاستعمار</w:t>
      </w:r>
      <w:r w:rsidRPr="00E238EC">
        <w:rPr>
          <w:b/>
          <w:bCs/>
          <w:lang w:bidi="ar-EG"/>
        </w:rPr>
        <w:t xml:space="preserve">. </w:t>
      </w:r>
    </w:p>
    <w:p w14:paraId="56959E68" w14:textId="77777777" w:rsidR="00E238EC" w:rsidRPr="00E238EC" w:rsidRDefault="00E238EC" w:rsidP="00E238EC">
      <w:pPr>
        <w:bidi/>
        <w:rPr>
          <w:b/>
          <w:bCs/>
          <w:lang w:bidi="ar-EG"/>
        </w:rPr>
      </w:pPr>
      <w:r w:rsidRPr="00E238EC">
        <w:rPr>
          <w:b/>
          <w:bCs/>
          <w:rtl/>
        </w:rPr>
        <w:t>أما في أوروبا الغربية، فقد كانت حروب قيصر الغالية بين 58 و50 ق.م. لحظة فاصلة؛ إذ أخضع يوليوس قيصر بلاد الغال حتى الضفة اليسرى للراين، وثبتها تحت الحكم الروماني بصورة عميقة. وبعد ذلك دخلت بريطانيا فعليًا في العالم الروماني مع غزو كلوديوس سنة 43 م، ثم رُبطت بالمؤسسات الرومانية من خلال الطرق والحصون والمدن والمعسكرات، وصارت لندن عاصمة مزدهرة للمقاطعة بحلول القرن الثاني الميلادي. وامتد الوجود الروماني كذلك إلى حدود دفاعية كبرى مثل سور هادريان في شمال إنجلترا</w:t>
      </w:r>
      <w:r w:rsidRPr="00E238EC">
        <w:rPr>
          <w:b/>
          <w:bCs/>
          <w:lang w:bidi="ar-EG"/>
        </w:rPr>
        <w:t xml:space="preserve">. </w:t>
      </w:r>
    </w:p>
    <w:p w14:paraId="44EAE4C1" w14:textId="77777777" w:rsidR="00E238EC" w:rsidRPr="00E238EC" w:rsidRDefault="00E238EC" w:rsidP="00E238EC">
      <w:pPr>
        <w:bidi/>
        <w:rPr>
          <w:b/>
          <w:bCs/>
          <w:lang w:bidi="ar-EG"/>
        </w:rPr>
      </w:pPr>
      <w:r w:rsidRPr="00E238EC">
        <w:rPr>
          <w:b/>
          <w:bCs/>
          <w:rtl/>
        </w:rPr>
        <w:t>وعند الذروة، كانت روما القوة المهيمنة على المتوسط ومعظم أوروبا الغربية وأجزاء واسعة من أوروبا الجنوبية والبلقان. وهذا التوسع لم يكن مجرد انتشار عسكري؛ بل كان نقلًا لمنظومات الإدارة والضرائب والقانون والعملة والعمران إلى فضاءات أوروبية متباينة، مع تفاوت كبير في درجات الرومنة من إقليم إلى آخر</w:t>
      </w:r>
      <w:r w:rsidRPr="00E238EC">
        <w:rPr>
          <w:b/>
          <w:bCs/>
          <w:lang w:bidi="ar-EG"/>
        </w:rPr>
        <w:t xml:space="preserve">. </w:t>
      </w:r>
    </w:p>
    <w:p w14:paraId="0256AC50" w14:textId="77777777" w:rsidR="00E238EC" w:rsidRPr="00E238EC" w:rsidRDefault="00E238EC" w:rsidP="00E238EC">
      <w:pPr>
        <w:bidi/>
        <w:rPr>
          <w:b/>
          <w:bCs/>
          <w:color w:val="C00000"/>
          <w:lang w:bidi="ar-EG"/>
        </w:rPr>
      </w:pPr>
      <w:r w:rsidRPr="00E238EC">
        <w:rPr>
          <w:b/>
          <w:bCs/>
          <w:color w:val="C00000"/>
          <w:rtl/>
        </w:rPr>
        <w:t>٥</w:t>
      </w:r>
      <w:r w:rsidRPr="00E238EC">
        <w:rPr>
          <w:b/>
          <w:bCs/>
          <w:color w:val="C00000"/>
          <w:lang w:bidi="ar-EG"/>
        </w:rPr>
        <w:t xml:space="preserve">) </w:t>
      </w:r>
      <w:r w:rsidRPr="00E238EC">
        <w:rPr>
          <w:b/>
          <w:bCs/>
          <w:color w:val="C00000"/>
          <w:rtl/>
        </w:rPr>
        <w:t>المجتمع الروماني</w:t>
      </w:r>
    </w:p>
    <w:p w14:paraId="521D37A0" w14:textId="77777777" w:rsidR="00E238EC" w:rsidRPr="00E238EC" w:rsidRDefault="00E238EC" w:rsidP="00E238EC">
      <w:pPr>
        <w:bidi/>
        <w:rPr>
          <w:b/>
          <w:bCs/>
          <w:lang w:bidi="ar-EG"/>
        </w:rPr>
      </w:pPr>
      <w:r w:rsidRPr="00E238EC">
        <w:rPr>
          <w:b/>
          <w:bCs/>
          <w:rtl/>
        </w:rPr>
        <w:t>كان المجتمع الروماني مجتمعًا هرميًا بوضوح. ففي الإطار الجمهوري المبكر برز التقابل بين الآباء الأشراف والعامة، لكن هذا التقابل لم يبق ثابتًا على حاله، لأن النبلاء في العصور اللاحقة ضمّوا أسرًا شريفة وأخرى عامية وصلت إلى القنصلية. كما كان المجتمع يقوم على تفاوت واضح بين المواطنين والأحرار المحرَّرين والعبيد، وكانت العبودية عنصرًا أساسيًا في الاقتصاد الروماني. وتشير بريتانيكا إلى أن العبيد كانوا وقودًا مهمًا للاقتصاد، وأن معظم السكان في روما عاشوا في ظروف تختلف كثيرًا عن رفاه الطبقات العليا</w:t>
      </w:r>
      <w:r w:rsidRPr="00E238EC">
        <w:rPr>
          <w:b/>
          <w:bCs/>
          <w:lang w:bidi="ar-EG"/>
        </w:rPr>
        <w:t xml:space="preserve">. </w:t>
      </w:r>
    </w:p>
    <w:p w14:paraId="45EBE8AB" w14:textId="77777777" w:rsidR="00E238EC" w:rsidRPr="00E238EC" w:rsidRDefault="00E238EC" w:rsidP="00E238EC">
      <w:pPr>
        <w:bidi/>
        <w:rPr>
          <w:b/>
          <w:bCs/>
          <w:lang w:bidi="ar-EG"/>
        </w:rPr>
      </w:pPr>
      <w:r w:rsidRPr="00E238EC">
        <w:rPr>
          <w:b/>
          <w:bCs/>
          <w:rtl/>
        </w:rPr>
        <w:t xml:space="preserve">وفي داخل الأسرة الرومانية كان الأب ربّ الأسرة </w:t>
      </w:r>
      <w:r w:rsidRPr="00E238EC">
        <w:rPr>
          <w:b/>
          <w:bCs/>
          <w:lang w:bidi="ar-EG"/>
        </w:rPr>
        <w:t>(</w:t>
      </w:r>
      <w:r w:rsidRPr="00E238EC">
        <w:rPr>
          <w:b/>
          <w:bCs/>
          <w:i/>
          <w:iCs/>
          <w:lang w:bidi="ar-EG"/>
        </w:rPr>
        <w:t>paterfamilias</w:t>
      </w:r>
      <w:r w:rsidRPr="00E238EC">
        <w:rPr>
          <w:b/>
          <w:bCs/>
          <w:lang w:bidi="ar-EG"/>
        </w:rPr>
        <w:t xml:space="preserve">) </w:t>
      </w:r>
      <w:r w:rsidRPr="00E238EC">
        <w:rPr>
          <w:b/>
          <w:bCs/>
          <w:rtl/>
        </w:rPr>
        <w:t>يشغل موقعًا قانونيًا واجتماعيًا مركزيًا؛ إذ كانت له سلطة واسعة على أفراد البيت وممتلكاته. وتعكس هذه البنية الطابع الأبوي القوي للمجتمع الروماني. كما كان وضع النساء متفاوتًا بحسب الطبقة والزمن، لكنهن بقين عمومًا خارج المشاركة السياسية الرسمية، رغم إمكان تمتعهن بنفوذ اجتماعي أو أسري أو اقتصادي في بعض السياقات</w:t>
      </w:r>
      <w:r w:rsidRPr="00E238EC">
        <w:rPr>
          <w:b/>
          <w:bCs/>
          <w:lang w:bidi="ar-EG"/>
        </w:rPr>
        <w:t xml:space="preserve">. </w:t>
      </w:r>
    </w:p>
    <w:p w14:paraId="0649B60D" w14:textId="77777777" w:rsidR="00E238EC" w:rsidRPr="00E238EC" w:rsidRDefault="00E238EC" w:rsidP="00E238EC">
      <w:pPr>
        <w:bidi/>
        <w:rPr>
          <w:b/>
          <w:bCs/>
          <w:color w:val="C00000"/>
          <w:lang w:bidi="ar-EG"/>
        </w:rPr>
      </w:pPr>
      <w:r w:rsidRPr="00E238EC">
        <w:rPr>
          <w:b/>
          <w:bCs/>
          <w:color w:val="C00000"/>
          <w:rtl/>
        </w:rPr>
        <w:t>٦</w:t>
      </w:r>
      <w:r w:rsidRPr="00E238EC">
        <w:rPr>
          <w:b/>
          <w:bCs/>
          <w:color w:val="C00000"/>
          <w:lang w:bidi="ar-EG"/>
        </w:rPr>
        <w:t xml:space="preserve">) </w:t>
      </w:r>
      <w:r w:rsidRPr="00E238EC">
        <w:rPr>
          <w:b/>
          <w:bCs/>
          <w:color w:val="C00000"/>
          <w:rtl/>
        </w:rPr>
        <w:t>القانون الروماني</w:t>
      </w:r>
    </w:p>
    <w:p w14:paraId="54D9C09A" w14:textId="77777777" w:rsidR="00E238EC" w:rsidRPr="00E238EC" w:rsidRDefault="00E238EC" w:rsidP="00E238EC">
      <w:pPr>
        <w:bidi/>
        <w:rPr>
          <w:b/>
          <w:bCs/>
          <w:lang w:bidi="ar-EG"/>
        </w:rPr>
      </w:pPr>
      <w:r w:rsidRPr="00E238EC">
        <w:rPr>
          <w:b/>
          <w:bCs/>
          <w:rtl/>
        </w:rPr>
        <w:t>يُعد القانون الروماني من أكثر إسهامات روما بقاءً في التاريخ الأوروبي. فبريتانيكا تعرفه بأنه قانون روما القديمة منذ تأسيس المدينة حتى سقوط الغرب، وتؤكد أنه أثّر في تطور القانون في معظم الغرب وفي أجزاء من الشرق أيضًا. وقد بدأ هذا المسار مبكرًا مع الألواح الاثني عشر، ثم نما عبر الاجتهادات القضائية، وأعمال الفقهاء، والتمييز بين قانون المواطنين</w:t>
      </w:r>
      <w:r w:rsidRPr="00E238EC">
        <w:rPr>
          <w:b/>
          <w:bCs/>
          <w:lang w:bidi="ar-EG"/>
        </w:rPr>
        <w:t xml:space="preserve"> (</w:t>
      </w:r>
      <w:r w:rsidRPr="00E238EC">
        <w:rPr>
          <w:b/>
          <w:bCs/>
          <w:i/>
          <w:iCs/>
          <w:lang w:bidi="ar-EG"/>
        </w:rPr>
        <w:t>jus civile</w:t>
      </w:r>
      <w:r w:rsidRPr="00E238EC">
        <w:rPr>
          <w:b/>
          <w:bCs/>
          <w:lang w:bidi="ar-EG"/>
        </w:rPr>
        <w:t xml:space="preserve">) </w:t>
      </w:r>
      <w:r w:rsidRPr="00E238EC">
        <w:rPr>
          <w:b/>
          <w:bCs/>
          <w:rtl/>
        </w:rPr>
        <w:t>والأعراف والقواعد الأوسع التي تعاملت مع غير المواطنين</w:t>
      </w:r>
      <w:r w:rsidRPr="00E238EC">
        <w:rPr>
          <w:b/>
          <w:bCs/>
          <w:lang w:bidi="ar-EG"/>
        </w:rPr>
        <w:t xml:space="preserve">. </w:t>
      </w:r>
    </w:p>
    <w:p w14:paraId="40BEB068" w14:textId="77777777" w:rsidR="00E238EC" w:rsidRPr="00E238EC" w:rsidRDefault="00E238EC" w:rsidP="00E238EC">
      <w:pPr>
        <w:bidi/>
        <w:rPr>
          <w:b/>
          <w:bCs/>
          <w:lang w:bidi="ar-EG"/>
        </w:rPr>
      </w:pPr>
      <w:r w:rsidRPr="00E238EC">
        <w:rPr>
          <w:b/>
          <w:bCs/>
          <w:rtl/>
        </w:rPr>
        <w:t>وتبرز قيمة القانون الروماني في أنه لم يكن مجرد مجموعة أوامر، بل منظومة مفاهيم ومؤسسات وإجراءات. كما أن تدوين القوانين أتاح للعامة الاطلاع على جزء من القواعد القانونية وحمايتهم نسبيًا من تعسف الأرستقراطية. ومن الناحية التاريخية الطويلة، انتقلت عناصر كثيرة من هذا التراث إلى أوروبا اللاحقة عبر الفقه اللاتيني ثم البيزنطي، ومنها إلى التقاليد المدنية الحديثة</w:t>
      </w:r>
      <w:r w:rsidRPr="00E238EC">
        <w:rPr>
          <w:b/>
          <w:bCs/>
          <w:lang w:bidi="ar-EG"/>
        </w:rPr>
        <w:t xml:space="preserve">. </w:t>
      </w:r>
    </w:p>
    <w:p w14:paraId="6E82652A" w14:textId="77777777" w:rsidR="00E238EC" w:rsidRPr="00E238EC" w:rsidRDefault="00E238EC" w:rsidP="00E238EC">
      <w:pPr>
        <w:bidi/>
        <w:rPr>
          <w:b/>
          <w:bCs/>
          <w:color w:val="C00000"/>
          <w:lang w:bidi="ar-EG"/>
        </w:rPr>
      </w:pPr>
      <w:r w:rsidRPr="00E238EC">
        <w:rPr>
          <w:b/>
          <w:bCs/>
          <w:color w:val="C00000"/>
          <w:rtl/>
        </w:rPr>
        <w:t>٧</w:t>
      </w:r>
      <w:r w:rsidRPr="00E238EC">
        <w:rPr>
          <w:b/>
          <w:bCs/>
          <w:color w:val="C00000"/>
          <w:lang w:bidi="ar-EG"/>
        </w:rPr>
        <w:t xml:space="preserve">) </w:t>
      </w:r>
      <w:r w:rsidRPr="00E238EC">
        <w:rPr>
          <w:b/>
          <w:bCs/>
          <w:color w:val="C00000"/>
          <w:rtl/>
        </w:rPr>
        <w:t>الجيش الروماني</w:t>
      </w:r>
    </w:p>
    <w:p w14:paraId="1B6FDEDE" w14:textId="77777777" w:rsidR="00E238EC" w:rsidRPr="00E238EC" w:rsidRDefault="00E238EC" w:rsidP="00E238EC">
      <w:pPr>
        <w:bidi/>
        <w:rPr>
          <w:b/>
          <w:bCs/>
          <w:lang w:bidi="ar-EG"/>
        </w:rPr>
      </w:pPr>
      <w:r w:rsidRPr="00E238EC">
        <w:rPr>
          <w:b/>
          <w:bCs/>
          <w:rtl/>
        </w:rPr>
        <w:t xml:space="preserve">كان الجيش الروماني الأداة الحاسمة في صعود روما وبقاء إمبراطوريتها. وتظهر الدراسات الحديثة أن الجندية صارت مهنة مستقرة منذ عهد أغسطس، وأن الخدمة العسكرية اقترنت بحوافز مهمة، منها الرواتب أو المكافآت ومعاشات التقاعد، كما أمكن لعناصر القوات المساعدة غير المواطنة أن تنال المواطنة بعد الخدمة. وتُظهر أيضًا وثائق مثل ألواح </w:t>
      </w:r>
      <w:r w:rsidRPr="00E238EC">
        <w:rPr>
          <w:b/>
          <w:bCs/>
          <w:rtl/>
        </w:rPr>
        <w:lastRenderedPageBreak/>
        <w:t>فيندولاندا وبرديات مصر الرومانية أن الجيش لم يكن مجرد مؤسسة قتال، بل مجتمعًا كاملًا يضم أسرًا ومرافقين وعبيدًا وحرفيين حول المعسكرات والحصون</w:t>
      </w:r>
      <w:r w:rsidRPr="00E238EC">
        <w:rPr>
          <w:b/>
          <w:bCs/>
          <w:lang w:bidi="ar-EG"/>
        </w:rPr>
        <w:t xml:space="preserve">. </w:t>
      </w:r>
    </w:p>
    <w:p w14:paraId="2DC59FA0" w14:textId="77777777" w:rsidR="00E238EC" w:rsidRPr="00E238EC" w:rsidRDefault="00E238EC" w:rsidP="00E238EC">
      <w:pPr>
        <w:bidi/>
        <w:rPr>
          <w:b/>
          <w:bCs/>
          <w:lang w:bidi="ar-EG"/>
        </w:rPr>
      </w:pPr>
      <w:r w:rsidRPr="00E238EC">
        <w:rPr>
          <w:b/>
          <w:bCs/>
          <w:rtl/>
        </w:rPr>
        <w:t xml:space="preserve">وعلى المستوى التنظيمي، أصبحت الفيلق الوحدة الأساسية الشهيرة للجيش الروماني، ومع تطور الجمهورية المتأخرة والإمبراطورية حلت الكتيبة </w:t>
      </w:r>
      <w:r w:rsidRPr="00E238EC">
        <w:rPr>
          <w:b/>
          <w:bCs/>
          <w:lang w:bidi="ar-EG"/>
        </w:rPr>
        <w:t>(</w:t>
      </w:r>
      <w:r w:rsidRPr="00E238EC">
        <w:rPr>
          <w:b/>
          <w:bCs/>
          <w:i/>
          <w:iCs/>
          <w:lang w:bidi="ar-EG"/>
        </w:rPr>
        <w:t>cohort</w:t>
      </w:r>
      <w:r w:rsidRPr="00E238EC">
        <w:rPr>
          <w:b/>
          <w:bCs/>
          <w:lang w:bidi="ar-EG"/>
        </w:rPr>
        <w:t xml:space="preserve">) </w:t>
      </w:r>
      <w:r w:rsidRPr="00E238EC">
        <w:rPr>
          <w:b/>
          <w:bCs/>
          <w:rtl/>
        </w:rPr>
        <w:t>محلّ المناور الصغيرة بوصفها وحدة تكتيكية رئيسية داخل الفيلق. وقد ارتبط نجاح الجيش الروماني بالانضباط والمرونة والتنظيم الهندسي وبناء الطرق والحصون، وهو ما مكّن روما من بسط السيطرة من اسكتلندا إلى الشرق الأدنى</w:t>
      </w:r>
      <w:r w:rsidRPr="00E238EC">
        <w:rPr>
          <w:b/>
          <w:bCs/>
          <w:lang w:bidi="ar-EG"/>
        </w:rPr>
        <w:t xml:space="preserve">. </w:t>
      </w:r>
    </w:p>
    <w:p w14:paraId="118980B7" w14:textId="77777777" w:rsidR="00E238EC" w:rsidRPr="00E238EC" w:rsidRDefault="00E238EC" w:rsidP="00E238EC">
      <w:pPr>
        <w:bidi/>
        <w:rPr>
          <w:b/>
          <w:bCs/>
          <w:color w:val="C00000"/>
          <w:lang w:bidi="ar-EG"/>
        </w:rPr>
      </w:pPr>
      <w:r w:rsidRPr="00E238EC">
        <w:rPr>
          <w:b/>
          <w:bCs/>
          <w:color w:val="C00000"/>
          <w:rtl/>
        </w:rPr>
        <w:t>٨</w:t>
      </w:r>
      <w:r w:rsidRPr="00E238EC">
        <w:rPr>
          <w:b/>
          <w:bCs/>
          <w:color w:val="C00000"/>
          <w:lang w:bidi="ar-EG"/>
        </w:rPr>
        <w:t xml:space="preserve">) </w:t>
      </w:r>
      <w:r w:rsidRPr="00E238EC">
        <w:rPr>
          <w:b/>
          <w:bCs/>
          <w:color w:val="C00000"/>
          <w:rtl/>
        </w:rPr>
        <w:t>الإمبراطورية الرومانية</w:t>
      </w:r>
    </w:p>
    <w:p w14:paraId="631B99CF" w14:textId="77777777" w:rsidR="00E238EC" w:rsidRPr="00E238EC" w:rsidRDefault="00E238EC" w:rsidP="00E238EC">
      <w:pPr>
        <w:bidi/>
        <w:rPr>
          <w:b/>
          <w:bCs/>
          <w:lang w:bidi="ar-EG"/>
        </w:rPr>
      </w:pPr>
      <w:r w:rsidRPr="00E238EC">
        <w:rPr>
          <w:b/>
          <w:bCs/>
          <w:rtl/>
        </w:rPr>
        <w:t>بدأت الإمبراطورية رسميًا سنة 27 ق.م. حين أسس أغسطس نظام البرينسيبات، وهو نظام جمع بين مظاهر جمهورية باقية وبين سلطة ملكية فعلية متمركزة في يد الحاكم الأول. وتؤكد بريتانيكا أن أغسطس قدّم نفسه بوصفه "المواطن الأول"، لكن هذا الغطاء الجمهوري لم يلغِ حقيقة أنه صار الحاكم الأوتوقراطي الأول لروما. ومعه بدأت مرحلة طويلة من إعادة تنظيم الدولة والجيش والمقاطعات والإدارة المركزية</w:t>
      </w:r>
      <w:r w:rsidRPr="00E238EC">
        <w:rPr>
          <w:b/>
          <w:bCs/>
          <w:lang w:bidi="ar-EG"/>
        </w:rPr>
        <w:t xml:space="preserve">. </w:t>
      </w:r>
    </w:p>
    <w:p w14:paraId="34E89648" w14:textId="77777777" w:rsidR="00E238EC" w:rsidRPr="00E238EC" w:rsidRDefault="00E238EC" w:rsidP="00E238EC">
      <w:pPr>
        <w:bidi/>
        <w:rPr>
          <w:b/>
          <w:bCs/>
          <w:lang w:bidi="ar-EG"/>
        </w:rPr>
      </w:pPr>
      <w:r w:rsidRPr="00E238EC">
        <w:rPr>
          <w:b/>
          <w:bCs/>
          <w:rtl/>
        </w:rPr>
        <w:t xml:space="preserve">وعرفت الإمبراطورية، خاصة من عهد أغسطس إلى ماركوس أوريليوس، فترة استقرار نسبي واسعة توصف غالبًا باسم السلام الروماني </w:t>
      </w:r>
      <w:r w:rsidRPr="00E238EC">
        <w:rPr>
          <w:b/>
          <w:bCs/>
          <w:lang w:bidi="ar-EG"/>
        </w:rPr>
        <w:t>(</w:t>
      </w:r>
      <w:r w:rsidRPr="00E238EC">
        <w:rPr>
          <w:b/>
          <w:bCs/>
          <w:i/>
          <w:iCs/>
          <w:lang w:bidi="ar-EG"/>
        </w:rPr>
        <w:t>Pax Romana</w:t>
      </w:r>
      <w:r w:rsidRPr="00E238EC">
        <w:rPr>
          <w:b/>
          <w:bCs/>
          <w:lang w:bidi="ar-EG"/>
        </w:rPr>
        <w:t xml:space="preserve">). </w:t>
      </w:r>
      <w:r w:rsidRPr="00E238EC">
        <w:rPr>
          <w:b/>
          <w:bCs/>
          <w:rtl/>
        </w:rPr>
        <w:t>وخلال هذه المرحلة استفادت المقاطعات من الأمن والطرق والتجارة والتوسع العمراني، مع بقاء السيطرة الضريبية والعسكرية في يد روما. ولم يكن هذا السلام غيابًا كاملًا للحروب، بل استقرارًا نسبيًا داخل إطار إمبراطوري واسع</w:t>
      </w:r>
      <w:r w:rsidRPr="00E238EC">
        <w:rPr>
          <w:b/>
          <w:bCs/>
          <w:lang w:bidi="ar-EG"/>
        </w:rPr>
        <w:t xml:space="preserve">. </w:t>
      </w:r>
    </w:p>
    <w:p w14:paraId="59DA1A34" w14:textId="77777777" w:rsidR="00E238EC" w:rsidRPr="00E238EC" w:rsidRDefault="00E238EC" w:rsidP="00E238EC">
      <w:pPr>
        <w:bidi/>
        <w:rPr>
          <w:b/>
          <w:bCs/>
          <w:color w:val="C00000"/>
          <w:lang w:bidi="ar-EG"/>
        </w:rPr>
      </w:pPr>
      <w:r w:rsidRPr="00E238EC">
        <w:rPr>
          <w:b/>
          <w:bCs/>
          <w:color w:val="C00000"/>
          <w:rtl/>
        </w:rPr>
        <w:t>٩</w:t>
      </w:r>
      <w:r w:rsidRPr="00E238EC">
        <w:rPr>
          <w:b/>
          <w:bCs/>
          <w:color w:val="C00000"/>
          <w:lang w:bidi="ar-EG"/>
        </w:rPr>
        <w:t xml:space="preserve">) </w:t>
      </w:r>
      <w:r w:rsidRPr="00E238EC">
        <w:rPr>
          <w:b/>
          <w:bCs/>
          <w:color w:val="C00000"/>
          <w:rtl/>
        </w:rPr>
        <w:t>الأباطرة الرومان وأثرهم</w:t>
      </w:r>
    </w:p>
    <w:p w14:paraId="1F2C12C3" w14:textId="77777777" w:rsidR="00E238EC" w:rsidRPr="00E238EC" w:rsidRDefault="00E238EC" w:rsidP="00E238EC">
      <w:pPr>
        <w:bidi/>
        <w:rPr>
          <w:b/>
          <w:bCs/>
          <w:lang w:bidi="ar-EG"/>
        </w:rPr>
      </w:pPr>
      <w:r w:rsidRPr="00E238EC">
        <w:rPr>
          <w:b/>
          <w:bCs/>
          <w:rtl/>
        </w:rPr>
        <w:t>يصعب اختزال تاريخ الأباطرة في قائمة أسماء، لكن بعضهم ترك بصمة بنيوية واضحة. فقد وضع أغسطس أسس النظام الإمبراطوري وأعاد تنظيم الدولة على نحو منحها استقرارًا طويلًا. ثم جاءت سلسلة ما يسمى الأباطرة الخمسة الصالحين، وهم نرفا وتراجان وهادريان وأنطونينوس بيوس وماركوس أوريليوس، وقد ارتبط عهدهم بعصر ذهبي من التوسع أو التثبيت والازدهار النسبي. وكان تراجان رمز التوسع الإمبراطوري الأقصى، بينما ارتبط هادريان أكثر بسياسة التحصين وإدارة الحدود، كما يذكّرنا سور هادريان في بريطانيا</w:t>
      </w:r>
      <w:r w:rsidRPr="00E238EC">
        <w:rPr>
          <w:b/>
          <w:bCs/>
          <w:lang w:bidi="ar-EG"/>
        </w:rPr>
        <w:t xml:space="preserve">. </w:t>
      </w:r>
    </w:p>
    <w:p w14:paraId="78D87C75" w14:textId="77777777" w:rsidR="00E238EC" w:rsidRPr="00E238EC" w:rsidRDefault="00E238EC" w:rsidP="00E238EC">
      <w:pPr>
        <w:bidi/>
        <w:rPr>
          <w:b/>
          <w:bCs/>
          <w:lang w:bidi="ar-EG"/>
        </w:rPr>
      </w:pPr>
      <w:r w:rsidRPr="00E238EC">
        <w:rPr>
          <w:b/>
          <w:bCs/>
          <w:rtl/>
        </w:rPr>
        <w:t>وفي الأزمنة اللاحقة برز ديوكلتيان وقسطنطين وثيودوسيوس الأول بوصفهم أباطرة التحول. فقد أعاد ديوكلتيان تنظيم الدولة في مواجهة أزمات القرن الثالث، وكان مع قسطنطين من الحكام الذين "أعادوا تأسيس" الدولة الرومانية في صورتها المتأخرة. ثم نجح قسطنطين في توحيد الإمبراطورية تحت حكمه، وأطلق تحولًا دينيًا وسياسيًا كبيرًا، في حين رسخ ثيودوسيوس الغلبة الرسمية للعقيدة النيقاوية داخل الدولة المتأخرة. وعليه، فإن أثر الأباطرة لا يقاس فقط بالفتوحات، بل أيضًا بإعادة بناء المؤسسات وتغيير هوية الإمبراطورية نفسها</w:t>
      </w:r>
      <w:r w:rsidRPr="00E238EC">
        <w:rPr>
          <w:b/>
          <w:bCs/>
          <w:lang w:bidi="ar-EG"/>
        </w:rPr>
        <w:t xml:space="preserve">. </w:t>
      </w:r>
    </w:p>
    <w:p w14:paraId="242B887F" w14:textId="77777777" w:rsidR="00E238EC" w:rsidRPr="00E238EC" w:rsidRDefault="00E238EC" w:rsidP="00E238EC">
      <w:pPr>
        <w:bidi/>
        <w:rPr>
          <w:b/>
          <w:bCs/>
          <w:color w:val="C00000"/>
          <w:lang w:bidi="ar-EG"/>
        </w:rPr>
      </w:pPr>
      <w:r w:rsidRPr="00E238EC">
        <w:rPr>
          <w:b/>
          <w:bCs/>
          <w:color w:val="C00000"/>
          <w:rtl/>
        </w:rPr>
        <w:t>١٠</w:t>
      </w:r>
      <w:r w:rsidRPr="00E238EC">
        <w:rPr>
          <w:b/>
          <w:bCs/>
          <w:color w:val="C00000"/>
          <w:lang w:bidi="ar-EG"/>
        </w:rPr>
        <w:t xml:space="preserve">) </w:t>
      </w:r>
      <w:r w:rsidRPr="00E238EC">
        <w:rPr>
          <w:b/>
          <w:bCs/>
          <w:color w:val="C00000"/>
          <w:rtl/>
        </w:rPr>
        <w:t>المسيحية في ظل الإمبراطورية الرومانية</w:t>
      </w:r>
    </w:p>
    <w:p w14:paraId="35202A82" w14:textId="77777777" w:rsidR="00E238EC" w:rsidRPr="00E238EC" w:rsidRDefault="00E238EC" w:rsidP="00E238EC">
      <w:pPr>
        <w:bidi/>
        <w:rPr>
          <w:b/>
          <w:bCs/>
          <w:lang w:bidi="ar-EG"/>
        </w:rPr>
      </w:pPr>
      <w:r w:rsidRPr="00E238EC">
        <w:rPr>
          <w:b/>
          <w:bCs/>
          <w:rtl/>
        </w:rPr>
        <w:t>نشأت المسيحية داخل العالم الروماني في القرن الأول الميلادي، وظلت في مراحل مبكرة موضع ريبة أو اضطهاد متقطع، جزئيًا بسبب رفض كثير من المسيحيين لعبادة الإمبراطور وللممارسات الدينية العامة المرتبطة بالولاء السياسي. لكن المنعطف الحاسم جاء سنة 313 م مع اتفاق/مرسوم ميلانو الذي أقر التسامح الديني للمسيحية داخل الإمبراطورية. وقد نقلت هذه الوثيقة التقاليد النصية عبر لاكتانتيوس وأوسابيوس، وهي تمثل نقطة مفصلية في تاريخ العلاقة بين الدولة والمسيحية</w:t>
      </w:r>
      <w:r w:rsidRPr="00E238EC">
        <w:rPr>
          <w:b/>
          <w:bCs/>
          <w:lang w:bidi="ar-EG"/>
        </w:rPr>
        <w:t xml:space="preserve">. </w:t>
      </w:r>
    </w:p>
    <w:p w14:paraId="2E0B83CF" w14:textId="77777777" w:rsidR="00E238EC" w:rsidRPr="00E238EC" w:rsidRDefault="00E238EC" w:rsidP="00E238EC">
      <w:pPr>
        <w:bidi/>
        <w:rPr>
          <w:b/>
          <w:bCs/>
          <w:lang w:bidi="ar-EG"/>
        </w:rPr>
      </w:pPr>
      <w:r w:rsidRPr="00E238EC">
        <w:rPr>
          <w:b/>
          <w:bCs/>
          <w:rtl/>
        </w:rPr>
        <w:t xml:space="preserve">ومع القرن الرابع انتقلت المسيحية من وضع الدين المسموح به إلى موقع الامتياز المتزايد داخل الدولة. وتفيد بريتانيكا بأن ثيودوسيوس الأول جعل عقيدة مجمع نيقية معيارًا عامًا للأرثوذكسية المسيحية، بينما تشير مواد تعليمية في المتحف </w:t>
      </w:r>
      <w:r w:rsidRPr="00E238EC">
        <w:rPr>
          <w:b/>
          <w:bCs/>
          <w:rtl/>
        </w:rPr>
        <w:lastRenderedPageBreak/>
        <w:t>البريطاني إلى أن عهد قسطنطين سمح بحرية العبادة، وأن عهد ثيودوسيوس شهد انتقالًا أبعد في تفضيل المسيحية على العبادات القديمة. ومع ذلك، فالدقة الأكاديمية تقتضي القول إن هذا التحول كان تدريجيًا وتشريعيًا وسياسيًا، لا مجرد قرار وحيد بسيط أنهى التعدد الديني فورًا</w:t>
      </w:r>
      <w:r w:rsidRPr="00E238EC">
        <w:rPr>
          <w:b/>
          <w:bCs/>
          <w:lang w:bidi="ar-EG"/>
        </w:rPr>
        <w:t xml:space="preserve">. </w:t>
      </w:r>
    </w:p>
    <w:p w14:paraId="0ACC7A17" w14:textId="77777777" w:rsidR="00E238EC" w:rsidRPr="00E238EC" w:rsidRDefault="00E238EC" w:rsidP="00E238EC">
      <w:pPr>
        <w:bidi/>
        <w:rPr>
          <w:b/>
          <w:bCs/>
          <w:color w:val="C00000"/>
          <w:lang w:bidi="ar-EG"/>
        </w:rPr>
      </w:pPr>
      <w:r w:rsidRPr="00E238EC">
        <w:rPr>
          <w:b/>
          <w:bCs/>
          <w:color w:val="C00000"/>
          <w:rtl/>
        </w:rPr>
        <w:t>١١</w:t>
      </w:r>
      <w:r w:rsidRPr="00E238EC">
        <w:rPr>
          <w:b/>
          <w:bCs/>
          <w:color w:val="C00000"/>
          <w:lang w:bidi="ar-EG"/>
        </w:rPr>
        <w:t xml:space="preserve">) </w:t>
      </w:r>
      <w:r w:rsidRPr="00E238EC">
        <w:rPr>
          <w:b/>
          <w:bCs/>
          <w:color w:val="C00000"/>
          <w:rtl/>
        </w:rPr>
        <w:t>انقسام الإمبراطورية الرومانية</w:t>
      </w:r>
    </w:p>
    <w:p w14:paraId="61746852" w14:textId="77777777" w:rsidR="00E238EC" w:rsidRPr="00E238EC" w:rsidRDefault="00E238EC" w:rsidP="00E238EC">
      <w:pPr>
        <w:bidi/>
        <w:rPr>
          <w:b/>
          <w:bCs/>
          <w:lang w:bidi="ar-EG"/>
        </w:rPr>
      </w:pPr>
      <w:r w:rsidRPr="00E238EC">
        <w:rPr>
          <w:b/>
          <w:bCs/>
          <w:rtl/>
        </w:rPr>
        <w:t>لم يكن انقسام الإمبراطورية حدثًا مفاجئًا تمامًا، بل نتيجة مسار طويل من إعادة التنظيم. فقد حاول ديوكلتيان معالجة صعوبات الحكم الواسع من خلال الحكم الرباعي، أي توزيع السلطة بين أكثر من إمبراطور. ثم جاء قسطنطين ليعيد توحيد الدولة مؤقتًا ويؤسس عاصمة مسيحية جديدة في القسطنطينية. وبعد وفاة ثيودوسيوس الأول سنة 395 م استقر الانقسام بين شطرين غربي وشرقي بوصفه واقعًا سياسيًا دائمًا</w:t>
      </w:r>
      <w:r w:rsidRPr="00E238EC">
        <w:rPr>
          <w:b/>
          <w:bCs/>
          <w:lang w:bidi="ar-EG"/>
        </w:rPr>
        <w:t xml:space="preserve">. </w:t>
      </w:r>
    </w:p>
    <w:p w14:paraId="49D2F2D2" w14:textId="77777777" w:rsidR="00E238EC" w:rsidRPr="00E238EC" w:rsidRDefault="00E238EC" w:rsidP="00E238EC">
      <w:pPr>
        <w:bidi/>
        <w:rPr>
          <w:b/>
          <w:bCs/>
          <w:lang w:bidi="ar-EG"/>
        </w:rPr>
      </w:pPr>
      <w:r w:rsidRPr="00E238EC">
        <w:rPr>
          <w:b/>
          <w:bCs/>
          <w:rtl/>
        </w:rPr>
        <w:t>لكن هذا الانقسام لا ينبغي فهمه على أنه ولادة عالمين منفصلين كليًا منذ اللحظة الأولى؛ فقد ظل الشطران يشتركان في الإرث الروماني القانوني والإداري والثقافي، وإن اختلفت مواردهما ومساراتهما السياسية. وكان الشرق أغنى وأكثر تماسكًا، ولذلك استمر بعد سقوط الغرب قرونًا طويلة فيما نطلق عليه لاحقًا اسم الإمبراطورية البيزنطية</w:t>
      </w:r>
      <w:r w:rsidRPr="00E238EC">
        <w:rPr>
          <w:b/>
          <w:bCs/>
          <w:lang w:bidi="ar-EG"/>
        </w:rPr>
        <w:t xml:space="preserve">. </w:t>
      </w:r>
    </w:p>
    <w:p w14:paraId="3CBA44BF" w14:textId="77777777" w:rsidR="00E238EC" w:rsidRPr="00E238EC" w:rsidRDefault="00E238EC" w:rsidP="00E238EC">
      <w:pPr>
        <w:bidi/>
        <w:rPr>
          <w:b/>
          <w:bCs/>
          <w:color w:val="C00000"/>
          <w:lang w:bidi="ar-EG"/>
        </w:rPr>
      </w:pPr>
      <w:r w:rsidRPr="00E238EC">
        <w:rPr>
          <w:b/>
          <w:bCs/>
          <w:color w:val="C00000"/>
          <w:rtl/>
        </w:rPr>
        <w:t>١٢</w:t>
      </w:r>
      <w:r w:rsidRPr="00E238EC">
        <w:rPr>
          <w:b/>
          <w:bCs/>
          <w:color w:val="C00000"/>
          <w:lang w:bidi="ar-EG"/>
        </w:rPr>
        <w:t xml:space="preserve">) </w:t>
      </w:r>
      <w:r w:rsidRPr="00E238EC">
        <w:rPr>
          <w:b/>
          <w:bCs/>
          <w:color w:val="C00000"/>
          <w:rtl/>
        </w:rPr>
        <w:t>سقوط الإمبراطورية الرومانية الغربية</w:t>
      </w:r>
    </w:p>
    <w:p w14:paraId="50EC20C9" w14:textId="77777777" w:rsidR="00E238EC" w:rsidRPr="00E238EC" w:rsidRDefault="00E238EC" w:rsidP="00E238EC">
      <w:pPr>
        <w:bidi/>
        <w:rPr>
          <w:b/>
          <w:bCs/>
          <w:lang w:bidi="ar-EG"/>
        </w:rPr>
      </w:pPr>
      <w:r w:rsidRPr="00E238EC">
        <w:rPr>
          <w:b/>
          <w:bCs/>
          <w:rtl/>
        </w:rPr>
        <w:t>تجمع الدراسات الحديثة على أن سقوط الإمبراطورية الغربية لم يكن نتيجة سبب واحد، بل حصيلة تفاعل أزمات عسكرية ومالية وإدارية وديموغرافية، إلى جانب ضغوط الجماعات الجرمانية وتحول توازن القوة داخل الجيش والدولة. وتشير بريتانيكا إلى أن الغزوات، والفساد، وسوء التجهيز العسكري، وابتعاد النخب المدينية عن الخدمة العامة، كلها أسهمت في هذا المسار. كما شكّل نهب روما سنة 410 على يد القوط الغربيين صدمة رمزية كبرى، قبل أن يخلع أودواكر آخر أباطرة الغرب، رومولوس أوغستولوس، سنة 476 م</w:t>
      </w:r>
      <w:r w:rsidRPr="00E238EC">
        <w:rPr>
          <w:b/>
          <w:bCs/>
          <w:lang w:bidi="ar-EG"/>
        </w:rPr>
        <w:t xml:space="preserve">. </w:t>
      </w:r>
    </w:p>
    <w:p w14:paraId="0DB2B137" w14:textId="77777777" w:rsidR="00E238EC" w:rsidRPr="00E238EC" w:rsidRDefault="00E238EC" w:rsidP="00E238EC">
      <w:pPr>
        <w:bidi/>
        <w:rPr>
          <w:b/>
          <w:bCs/>
          <w:lang w:bidi="ar-EG"/>
        </w:rPr>
      </w:pPr>
      <w:r w:rsidRPr="00E238EC">
        <w:rPr>
          <w:b/>
          <w:bCs/>
          <w:rtl/>
        </w:rPr>
        <w:t>ومع ذلك، فإن الحديث عن "السقوط" ينبغي ألا يحجب عنصر الاستمرار. فمؤسسات كثيرة استمرت بصور محلية أو إقليمية، والكنيسة ظلت إطارًا جامعًا، والقانون اللاتيني واللغة والإدارة والطرق والمدن بقيت تؤثر في المجتمعات الأوروبية اللاحقة. لذلك فالأدق تاريخيًا أن نتحدث عن تفكك السلطة الإمبراطورية الغربية أكثر من الحديث عن اختفاء روماني كامل وفوري. وهذا استنتاج تؤيده أيضًا حقيقة استمرار الإمبراطورية الشرقية بعد 476 واستمرار كثير من البنى الرومانية في الغرب تحت ممالك جديدة</w:t>
      </w:r>
      <w:r w:rsidRPr="00E238EC">
        <w:rPr>
          <w:b/>
          <w:bCs/>
          <w:lang w:bidi="ar-EG"/>
        </w:rPr>
        <w:t xml:space="preserve">. </w:t>
      </w:r>
    </w:p>
    <w:p w14:paraId="1B453791" w14:textId="77777777" w:rsidR="00E238EC" w:rsidRPr="00E238EC" w:rsidRDefault="00E238EC" w:rsidP="00E238EC">
      <w:pPr>
        <w:bidi/>
        <w:rPr>
          <w:b/>
          <w:bCs/>
          <w:color w:val="C00000"/>
          <w:lang w:bidi="ar-EG"/>
        </w:rPr>
      </w:pPr>
      <w:r w:rsidRPr="00E238EC">
        <w:rPr>
          <w:b/>
          <w:bCs/>
          <w:color w:val="C00000"/>
          <w:rtl/>
        </w:rPr>
        <w:t>١٣</w:t>
      </w:r>
      <w:r w:rsidRPr="00E238EC">
        <w:rPr>
          <w:b/>
          <w:bCs/>
          <w:color w:val="C00000"/>
          <w:lang w:bidi="ar-EG"/>
        </w:rPr>
        <w:t xml:space="preserve">) </w:t>
      </w:r>
      <w:r w:rsidRPr="00E238EC">
        <w:rPr>
          <w:b/>
          <w:bCs/>
          <w:color w:val="C00000"/>
          <w:rtl/>
        </w:rPr>
        <w:t>أثر روما في تشكيل أوروبا تاريخيًا</w:t>
      </w:r>
    </w:p>
    <w:p w14:paraId="49716C13" w14:textId="77777777" w:rsidR="00E238EC" w:rsidRPr="00E238EC" w:rsidRDefault="00E238EC" w:rsidP="00E238EC">
      <w:pPr>
        <w:bidi/>
        <w:rPr>
          <w:b/>
          <w:bCs/>
          <w:lang w:bidi="ar-EG"/>
        </w:rPr>
      </w:pPr>
      <w:r w:rsidRPr="00E238EC">
        <w:rPr>
          <w:b/>
          <w:bCs/>
          <w:rtl/>
        </w:rPr>
        <w:t>أثر روما في أوروبا كان عميقًا ومتعدد المستويات. فمن جهة، تركت الإمبراطورية شبكة من الطرق والمدن والحصون والحدود الإدارية والضرائب والعملات والأنماط العمرانية التي أعادت تشكيل الفضاء الأوروبي. ومن جهة ثانية، أسهم القانون الروماني في صياغة التصورات الأوروبية عن الشخص والملكية والعقد والإجراءات. وتوضح معروضات المتحف البريطاني عن بريطانيا الرومانية أن القانون والإدارة والعملة والعمارة والهندسة والدين والفن الروماني تفاعلت مع المجتمعات المحلية لتنتج هويات إقليمية جديدة مثل الهوية الرومانو-بريطانية</w:t>
      </w:r>
      <w:r w:rsidRPr="00E238EC">
        <w:rPr>
          <w:b/>
          <w:bCs/>
          <w:lang w:bidi="ar-EG"/>
        </w:rPr>
        <w:t xml:space="preserve">. </w:t>
      </w:r>
    </w:p>
    <w:p w14:paraId="1F4BE9CC" w14:textId="77777777" w:rsidR="00E238EC" w:rsidRPr="00E238EC" w:rsidRDefault="00E238EC" w:rsidP="00E238EC">
      <w:pPr>
        <w:bidi/>
        <w:rPr>
          <w:b/>
          <w:bCs/>
          <w:lang w:bidi="ar-EG"/>
        </w:rPr>
      </w:pPr>
      <w:r w:rsidRPr="00E238EC">
        <w:rPr>
          <w:b/>
          <w:bCs/>
          <w:rtl/>
        </w:rPr>
        <w:t>كما حفظت روما كثيرًا من التراث اليوناني وأعادت بثه في فضاء أوسع، وربطت أجزاء شاسعة من أوروبا تحت سلطة واحدة وتنظيم اجتماعي وسياسي متقارب، وهو ما جعل التجربة الرومانية مرجعًا دائمًا للإمبراطورية والقانون والمواطنة والعمران في الذاكرة الأوروبية. ولهذا لا تُفهم أوروبا الوسيطة والحديثة من دون الإرث الروماني، سواء في الكنيسة، أو القانون، أو اللاتينية، أو فكرة المركز الإمبراطوري، أو تصور المدينة بوصفها وحدة حكم وإدارة</w:t>
      </w:r>
      <w:r w:rsidRPr="00E238EC">
        <w:rPr>
          <w:b/>
          <w:bCs/>
          <w:lang w:bidi="ar-EG"/>
        </w:rPr>
        <w:t xml:space="preserve">. </w:t>
      </w:r>
    </w:p>
    <w:p w14:paraId="2673322C" w14:textId="77777777" w:rsidR="00E238EC" w:rsidRDefault="00E238EC" w:rsidP="00E238EC">
      <w:pPr>
        <w:bidi/>
        <w:rPr>
          <w:b/>
          <w:bCs/>
          <w:rtl/>
        </w:rPr>
      </w:pPr>
    </w:p>
    <w:p w14:paraId="5D678A72" w14:textId="77777777" w:rsidR="00E238EC" w:rsidRDefault="00E238EC" w:rsidP="00E238EC">
      <w:pPr>
        <w:bidi/>
        <w:rPr>
          <w:b/>
          <w:bCs/>
          <w:rtl/>
        </w:rPr>
      </w:pPr>
    </w:p>
    <w:p w14:paraId="3E55093B" w14:textId="2C589562" w:rsidR="00E238EC" w:rsidRPr="00E238EC" w:rsidRDefault="00E238EC" w:rsidP="00E238EC">
      <w:pPr>
        <w:bidi/>
        <w:rPr>
          <w:b/>
          <w:bCs/>
          <w:lang w:bidi="ar-EG"/>
        </w:rPr>
      </w:pPr>
      <w:r w:rsidRPr="00E238EC">
        <w:rPr>
          <w:b/>
          <w:bCs/>
          <w:rtl/>
        </w:rPr>
        <w:lastRenderedPageBreak/>
        <w:t>خاتمة</w:t>
      </w:r>
    </w:p>
    <w:p w14:paraId="5F4FF945" w14:textId="77777777" w:rsidR="00E238EC" w:rsidRPr="00E238EC" w:rsidRDefault="00E238EC" w:rsidP="00E238EC">
      <w:pPr>
        <w:bidi/>
        <w:rPr>
          <w:b/>
          <w:bCs/>
          <w:lang w:bidi="ar-EG"/>
        </w:rPr>
      </w:pPr>
      <w:r w:rsidRPr="00E238EC">
        <w:rPr>
          <w:b/>
          <w:bCs/>
          <w:rtl/>
        </w:rPr>
        <w:t>تكشف دراسة أوروبا في التاريخ الروماني أن روما لم تصنع إمبراطورية واسعة فحسب، بل صنعت أيضًا بنية تاريخية طويلة الأثر. فمن نشأة مدينة صغيرة على التيبر، إلى نظام ملكي مبكر تغلب عليه الرواية التقليدية، إلى جمهورية توسعية طورت مؤسساتها بالتجربة والصراع، إلى إمبراطورية أعادت تنظيم أوروبا المتوسطية واللاتينية، نرى مسارًا تاريخيًا مركبًا جمع بين القوة العسكرية والابتكار القانوني والإدارة المرنة والقدرة على دمج الأقاليم. كما أن تحولات العصر المتأخر، من انتشار المسيحية إلى الانقسام ثم سقوط الغرب، لم تُنهِ هذا الإرث، بل نقلته إلى أشكال جديدة داخل أوروبا البيزنطية واللاتينية على السواء. ولهذا فإن تاريخ روما هو، في جانب أساسي منه، تاريخ تكوّن أوروبا نفسها</w:t>
      </w:r>
      <w:r w:rsidRPr="00E238EC">
        <w:rPr>
          <w:b/>
          <w:bCs/>
          <w:lang w:bidi="ar-EG"/>
        </w:rPr>
        <w:t xml:space="preserve">. </w:t>
      </w:r>
    </w:p>
    <w:p w14:paraId="1A1AA7EE" w14:textId="77777777" w:rsidR="00E238EC" w:rsidRPr="00E238EC" w:rsidRDefault="00E238EC" w:rsidP="00E238EC">
      <w:pPr>
        <w:bidi/>
        <w:rPr>
          <w:b/>
          <w:bCs/>
          <w:color w:val="C00000"/>
          <w:lang w:bidi="ar-EG"/>
        </w:rPr>
      </w:pPr>
      <w:r w:rsidRPr="00E238EC">
        <w:rPr>
          <w:b/>
          <w:bCs/>
          <w:color w:val="C00000"/>
          <w:rtl/>
        </w:rPr>
        <w:t>مراجع ختامية مختارة</w:t>
      </w:r>
    </w:p>
    <w:p w14:paraId="0BA92377" w14:textId="77777777" w:rsidR="00E238EC" w:rsidRPr="00E238EC" w:rsidRDefault="00E238EC" w:rsidP="00E238EC">
      <w:pPr>
        <w:bidi/>
        <w:rPr>
          <w:b/>
          <w:bCs/>
          <w:color w:val="C00000"/>
          <w:lang w:bidi="ar-EG"/>
        </w:rPr>
      </w:pPr>
      <w:r w:rsidRPr="00E238EC">
        <w:rPr>
          <w:b/>
          <w:bCs/>
          <w:color w:val="C00000"/>
          <w:rtl/>
        </w:rPr>
        <w:t>اعتمد هذا الفصل على مزيج من المراجع الأكاديمية والمتحفية والنصوص القديمة المتاحة في طبعات رقمية، وأهمها</w:t>
      </w:r>
      <w:r w:rsidRPr="00E238EC">
        <w:rPr>
          <w:b/>
          <w:bCs/>
          <w:color w:val="C00000"/>
          <w:lang w:bidi="ar-EG"/>
        </w:rPr>
        <w:t xml:space="preserve">: Britannica </w:t>
      </w:r>
      <w:r w:rsidRPr="00E238EC">
        <w:rPr>
          <w:b/>
          <w:bCs/>
          <w:color w:val="C00000"/>
          <w:rtl/>
        </w:rPr>
        <w:t xml:space="preserve">في مواد </w:t>
      </w:r>
      <w:r w:rsidRPr="00E238EC">
        <w:rPr>
          <w:b/>
          <w:bCs/>
          <w:i/>
          <w:iCs/>
          <w:color w:val="C00000"/>
          <w:lang w:bidi="ar-EG"/>
        </w:rPr>
        <w:t>Ancient Rome</w:t>
      </w:r>
      <w:r w:rsidRPr="00E238EC">
        <w:rPr>
          <w:b/>
          <w:bCs/>
          <w:color w:val="C00000"/>
          <w:lang w:bidi="ar-EG"/>
        </w:rPr>
        <w:t xml:space="preserve"> </w:t>
      </w:r>
      <w:r w:rsidRPr="00E238EC">
        <w:rPr>
          <w:b/>
          <w:bCs/>
          <w:color w:val="C00000"/>
          <w:rtl/>
        </w:rPr>
        <w:t>و</w:t>
      </w:r>
      <w:r w:rsidRPr="00E238EC">
        <w:rPr>
          <w:b/>
          <w:bCs/>
          <w:i/>
          <w:iCs/>
          <w:color w:val="C00000"/>
          <w:lang w:bidi="ar-EG"/>
        </w:rPr>
        <w:t>Roman Republic</w:t>
      </w:r>
      <w:r w:rsidRPr="00E238EC">
        <w:rPr>
          <w:b/>
          <w:bCs/>
          <w:color w:val="C00000"/>
          <w:lang w:bidi="ar-EG"/>
        </w:rPr>
        <w:t xml:space="preserve"> </w:t>
      </w:r>
      <w:r w:rsidRPr="00E238EC">
        <w:rPr>
          <w:b/>
          <w:bCs/>
          <w:color w:val="C00000"/>
          <w:rtl/>
        </w:rPr>
        <w:t>و</w:t>
      </w:r>
      <w:r w:rsidRPr="00E238EC">
        <w:rPr>
          <w:b/>
          <w:bCs/>
          <w:i/>
          <w:iCs/>
          <w:color w:val="C00000"/>
          <w:lang w:bidi="ar-EG"/>
        </w:rPr>
        <w:t>Roman Empire</w:t>
      </w:r>
      <w:r w:rsidRPr="00E238EC">
        <w:rPr>
          <w:b/>
          <w:bCs/>
          <w:color w:val="C00000"/>
          <w:lang w:bidi="ar-EG"/>
        </w:rPr>
        <w:t xml:space="preserve"> </w:t>
      </w:r>
      <w:r w:rsidRPr="00E238EC">
        <w:rPr>
          <w:b/>
          <w:bCs/>
          <w:color w:val="C00000"/>
          <w:rtl/>
        </w:rPr>
        <w:t>و</w:t>
      </w:r>
      <w:r w:rsidRPr="00E238EC">
        <w:rPr>
          <w:b/>
          <w:bCs/>
          <w:i/>
          <w:iCs/>
          <w:color w:val="C00000"/>
          <w:lang w:bidi="ar-EG"/>
        </w:rPr>
        <w:t>Roman Law</w:t>
      </w:r>
      <w:r w:rsidRPr="00E238EC">
        <w:rPr>
          <w:b/>
          <w:bCs/>
          <w:color w:val="C00000"/>
          <w:rtl/>
        </w:rPr>
        <w:t xml:space="preserve">، ومواد </w:t>
      </w:r>
      <w:r w:rsidRPr="00E238EC">
        <w:rPr>
          <w:b/>
          <w:bCs/>
          <w:color w:val="C00000"/>
          <w:lang w:bidi="ar-EG"/>
        </w:rPr>
        <w:t xml:space="preserve">British Museum </w:t>
      </w:r>
      <w:r w:rsidRPr="00E238EC">
        <w:rPr>
          <w:b/>
          <w:bCs/>
          <w:color w:val="C00000"/>
          <w:rtl/>
        </w:rPr>
        <w:t xml:space="preserve">عن </w:t>
      </w:r>
      <w:r w:rsidRPr="00E238EC">
        <w:rPr>
          <w:b/>
          <w:bCs/>
          <w:i/>
          <w:iCs/>
          <w:color w:val="C00000"/>
          <w:lang w:bidi="ar-EG"/>
        </w:rPr>
        <w:t>Roman Empire</w:t>
      </w:r>
      <w:r w:rsidRPr="00E238EC">
        <w:rPr>
          <w:b/>
          <w:bCs/>
          <w:color w:val="C00000"/>
          <w:lang w:bidi="ar-EG"/>
        </w:rPr>
        <w:t xml:space="preserve"> </w:t>
      </w:r>
      <w:r w:rsidRPr="00E238EC">
        <w:rPr>
          <w:b/>
          <w:bCs/>
          <w:color w:val="C00000"/>
          <w:rtl/>
        </w:rPr>
        <w:t>و</w:t>
      </w:r>
      <w:r w:rsidRPr="00E238EC">
        <w:rPr>
          <w:b/>
          <w:bCs/>
          <w:i/>
          <w:iCs/>
          <w:color w:val="C00000"/>
          <w:lang w:bidi="ar-EG"/>
        </w:rPr>
        <w:t>Roman Britain</w:t>
      </w:r>
      <w:r w:rsidRPr="00E238EC">
        <w:rPr>
          <w:b/>
          <w:bCs/>
          <w:color w:val="C00000"/>
          <w:lang w:bidi="ar-EG"/>
        </w:rPr>
        <w:t xml:space="preserve"> </w:t>
      </w:r>
      <w:r w:rsidRPr="00E238EC">
        <w:rPr>
          <w:b/>
          <w:bCs/>
          <w:color w:val="C00000"/>
          <w:rtl/>
        </w:rPr>
        <w:t>و</w:t>
      </w:r>
      <w:r w:rsidRPr="00E238EC">
        <w:rPr>
          <w:b/>
          <w:bCs/>
          <w:i/>
          <w:iCs/>
          <w:color w:val="C00000"/>
          <w:lang w:bidi="ar-EG"/>
        </w:rPr>
        <w:t>Legion: life in the Roman army</w:t>
      </w:r>
      <w:r w:rsidRPr="00E238EC">
        <w:rPr>
          <w:b/>
          <w:bCs/>
          <w:color w:val="C00000"/>
          <w:rtl/>
        </w:rPr>
        <w:t>، إلى جانب نصوص تقليدية مرتبطة بتاريخ روما المبكر والعصر الإمبراطوري مثل ليفي، ووثيقة التسامح الديني لسنة 313 المنقولة في تقاليد لاكتانتيوس وأوسابيوس</w:t>
      </w:r>
      <w:r w:rsidRPr="00E238EC">
        <w:rPr>
          <w:b/>
          <w:bCs/>
          <w:color w:val="C00000"/>
          <w:lang w:bidi="ar-EG"/>
        </w:rPr>
        <w:t xml:space="preserve">. </w:t>
      </w:r>
    </w:p>
    <w:p w14:paraId="01353EFC" w14:textId="77777777" w:rsidR="0044067D" w:rsidRDefault="0044067D" w:rsidP="0044067D">
      <w:pPr>
        <w:pBdr>
          <w:bottom w:val="single" w:sz="6" w:space="1" w:color="auto"/>
        </w:pBdr>
        <w:bidi/>
        <w:rPr>
          <w:b/>
          <w:bCs/>
          <w:color w:val="215E99" w:themeColor="text2" w:themeTint="BF"/>
          <w:rtl/>
          <w:lang w:bidi="ar-EG"/>
        </w:rPr>
      </w:pPr>
    </w:p>
    <w:p w14:paraId="59794614" w14:textId="77777777" w:rsidR="00E238EC" w:rsidRPr="00126660" w:rsidRDefault="00E238EC" w:rsidP="00E238EC">
      <w:pPr>
        <w:bidi/>
        <w:rPr>
          <w:b/>
          <w:bCs/>
          <w:color w:val="000000" w:themeColor="text1"/>
          <w:rtl/>
          <w:lang w:bidi="ar-EG"/>
        </w:rPr>
      </w:pPr>
    </w:p>
    <w:p w14:paraId="5D6F0020" w14:textId="77777777" w:rsidR="00126660" w:rsidRPr="00126660" w:rsidRDefault="00126660" w:rsidP="00126660">
      <w:pPr>
        <w:bidi/>
        <w:rPr>
          <w:b/>
          <w:bCs/>
          <w:color w:val="215E99" w:themeColor="text2" w:themeTint="BF"/>
          <w:lang w:bidi="ar-EG"/>
        </w:rPr>
      </w:pPr>
      <w:r w:rsidRPr="00126660">
        <w:rPr>
          <w:b/>
          <w:bCs/>
          <w:color w:val="215E99" w:themeColor="text2" w:themeTint="BF"/>
          <w:rtl/>
        </w:rPr>
        <w:t>الفصل السادس: الشعوب الأوروبية القديمة بعد روما</w:t>
      </w:r>
    </w:p>
    <w:p w14:paraId="0664A6AB" w14:textId="77777777" w:rsidR="00126660" w:rsidRPr="00126660" w:rsidRDefault="00126660" w:rsidP="00126660">
      <w:pPr>
        <w:bidi/>
        <w:rPr>
          <w:b/>
          <w:bCs/>
          <w:color w:val="000000" w:themeColor="text1"/>
          <w:lang w:bidi="ar-EG"/>
        </w:rPr>
      </w:pPr>
      <w:r w:rsidRPr="00126660">
        <w:rPr>
          <w:b/>
          <w:bCs/>
          <w:color w:val="000000" w:themeColor="text1"/>
          <w:rtl/>
        </w:rPr>
        <w:t>مقدمة</w:t>
      </w:r>
    </w:p>
    <w:p w14:paraId="5E5A95D5" w14:textId="77777777" w:rsidR="00126660" w:rsidRPr="00126660" w:rsidRDefault="00126660" w:rsidP="00126660">
      <w:pPr>
        <w:bidi/>
        <w:rPr>
          <w:b/>
          <w:bCs/>
          <w:color w:val="000000" w:themeColor="text1"/>
          <w:lang w:bidi="ar-EG"/>
        </w:rPr>
      </w:pPr>
      <w:r w:rsidRPr="00126660">
        <w:rPr>
          <w:b/>
          <w:bCs/>
          <w:color w:val="000000" w:themeColor="text1"/>
          <w:rtl/>
        </w:rPr>
        <w:t>يُعالج هذا الفصل أوروبا في المرحلة الانتقالية الممتدة تقريبًا من القرنين الرابع إلى الثامن الميلاديين، أي من زمن تفكك السلطة الرومانية الغربية إلى تشكل خريطة الشعوب والممالك المبكرة في أوروبا الوسيطة. وهذه المرحلة لا تُفهم بوصفها “فراغًا” أعقب روما، بل بوصفها عصرَ إعادة تركيبٍ إثني وسياسي وثقافي واسع، شاركت فيه الجماعات الجرمانية والسلافية والكلتية والإسكندنافية، إلى جانب قوى غير أوروبية الأصل مثل الهون والآفار. وتصف الموسوعات التاريخية الحديثة “عصر الهجرات” بأنه فترة انتقال من العصور القديمة المتأخرة إلى أوائل العصور الوسطى، اتسمت بالحركة المستمرة للشعوب، وتراجع العمران المديني في بعض المناطق، وظهور مراكز حكم جديدة على أنقاض التنظيم الإمبراطوري الروماني</w:t>
      </w:r>
      <w:r w:rsidRPr="00126660">
        <w:rPr>
          <w:b/>
          <w:bCs/>
          <w:color w:val="000000" w:themeColor="text1"/>
          <w:lang w:bidi="ar-EG"/>
        </w:rPr>
        <w:t xml:space="preserve">. </w:t>
      </w:r>
    </w:p>
    <w:p w14:paraId="5432F08F" w14:textId="77777777" w:rsidR="00126660" w:rsidRPr="00126660" w:rsidRDefault="00126660" w:rsidP="00126660">
      <w:pPr>
        <w:bidi/>
        <w:rPr>
          <w:b/>
          <w:bCs/>
          <w:color w:val="000000" w:themeColor="text1"/>
          <w:lang w:bidi="ar-EG"/>
        </w:rPr>
      </w:pPr>
      <w:r w:rsidRPr="00126660">
        <w:rPr>
          <w:b/>
          <w:bCs/>
          <w:color w:val="000000" w:themeColor="text1"/>
          <w:rtl/>
        </w:rPr>
        <w:t>منهجيًا، يعتمد هذا الفصل على الموازنة بين المصادر القديمة، مثل تاكيتوس وقيصر ويوردانس وبروكوبيوس، وبين الدراسات الحديثة. وتكمن الصعوبة الأساسية في أن هذه الشعوب لم تترك دائمًا سجلات مكتوبة معاصرة بنفس كثافة السجل الروماني، ولذلك كثيرًا ما نعرفها من خلال عيون رومانية أو بيزنطية أو كنسية، وهي عيون تحمل تصوراتها الخاصة عن “البرابرة” والحدود والهوية. ولهذا سأميز هنا بين ما تؤيده الأدلة النصية والأثرية بدرجة معقولة، وبين ما يبقى أقرب إلى تقاليد الأصل، أو التصنيفات الرومانية، أو الفرضيات الأكاديمية المتنافسة</w:t>
      </w:r>
      <w:r w:rsidRPr="00126660">
        <w:rPr>
          <w:b/>
          <w:bCs/>
          <w:color w:val="000000" w:themeColor="text1"/>
          <w:lang w:bidi="ar-EG"/>
        </w:rPr>
        <w:t xml:space="preserve">. </w:t>
      </w:r>
    </w:p>
    <w:p w14:paraId="4143722B" w14:textId="77777777" w:rsidR="00126660" w:rsidRPr="00126660" w:rsidRDefault="00126660" w:rsidP="00126660">
      <w:pPr>
        <w:bidi/>
        <w:rPr>
          <w:b/>
          <w:bCs/>
          <w:color w:val="C00000"/>
          <w:lang w:bidi="ar-EG"/>
        </w:rPr>
      </w:pPr>
      <w:r w:rsidRPr="00126660">
        <w:rPr>
          <w:b/>
          <w:bCs/>
          <w:color w:val="C00000"/>
          <w:rtl/>
        </w:rPr>
        <w:t>أولًا: الجرمان</w:t>
      </w:r>
    </w:p>
    <w:p w14:paraId="537FBBC1" w14:textId="77777777" w:rsidR="00126660" w:rsidRPr="00126660" w:rsidRDefault="00126660" w:rsidP="00126660">
      <w:pPr>
        <w:bidi/>
        <w:rPr>
          <w:b/>
          <w:bCs/>
          <w:color w:val="000000" w:themeColor="text1"/>
          <w:lang w:bidi="ar-EG"/>
        </w:rPr>
      </w:pPr>
      <w:r w:rsidRPr="00126660">
        <w:rPr>
          <w:b/>
          <w:bCs/>
          <w:color w:val="000000" w:themeColor="text1"/>
          <w:rtl/>
        </w:rPr>
        <w:t xml:space="preserve">يُعد الجرمان أهم الكتل البشرية التي أعادت تشكيل أوروبا الغربية بعد روما. وتعرفهم بريتانيكا بوصفهم جماعة لغوية-ثقافية واسعة من الشعوب الهندوأوروبية استقرت قديمًا في جنوب اسكندنافيا وشمال ألمانيا وما حول البلطيق، ثم تفرعت إلى جماعات عديدة مثل القوط والوندال والفرنجة والسكسون واللومبارد وغيرهم. غير أن “الجرمان” لم يكونوا أمة </w:t>
      </w:r>
      <w:r w:rsidRPr="00126660">
        <w:rPr>
          <w:b/>
          <w:bCs/>
          <w:color w:val="000000" w:themeColor="text1"/>
          <w:rtl/>
        </w:rPr>
        <w:lastRenderedPageBreak/>
        <w:t xml:space="preserve">موحدة ولا دولة واحدة، بل عالَمًا قبليًا متنوعًا ربطته أنماط لغوية وعادات ومؤسسات متقاربة أكثر مما ربطته وحدة سياسية. وحتى تاكيتوس، في </w:t>
      </w:r>
      <w:r w:rsidRPr="00126660">
        <w:rPr>
          <w:b/>
          <w:bCs/>
          <w:i/>
          <w:iCs/>
          <w:color w:val="000000" w:themeColor="text1"/>
          <w:rtl/>
        </w:rPr>
        <w:t>جرمانيا</w:t>
      </w:r>
      <w:r w:rsidRPr="00126660">
        <w:rPr>
          <w:b/>
          <w:bCs/>
          <w:color w:val="000000" w:themeColor="text1"/>
          <w:rtl/>
        </w:rPr>
        <w:t>، عرضهم كفسيفساء من الشعوب والقبائل، لا ككيان جامع بالمعنى الصارم</w:t>
      </w:r>
      <w:r w:rsidRPr="00126660">
        <w:rPr>
          <w:b/>
          <w:bCs/>
          <w:color w:val="000000" w:themeColor="text1"/>
          <w:lang w:bidi="ar-EG"/>
        </w:rPr>
        <w:t xml:space="preserve">. </w:t>
      </w:r>
    </w:p>
    <w:p w14:paraId="6652B6AC" w14:textId="77777777" w:rsidR="00126660" w:rsidRPr="00126660" w:rsidRDefault="00126660" w:rsidP="00126660">
      <w:pPr>
        <w:bidi/>
        <w:rPr>
          <w:b/>
          <w:bCs/>
          <w:color w:val="000000" w:themeColor="text1"/>
          <w:lang w:bidi="ar-EG"/>
        </w:rPr>
      </w:pPr>
      <w:r w:rsidRPr="00126660">
        <w:rPr>
          <w:b/>
          <w:bCs/>
          <w:color w:val="000000" w:themeColor="text1"/>
          <w:rtl/>
        </w:rPr>
        <w:t>وتكمن أهمية الجرمان التاريخية في أن تحركاتهم على حدود الراين والدانوب، ثم داخل أراضي الإمبراطورية، لم تقتصر على الغزو، بل انتهت إلى الاستيطان وإعادة بناء السلطة. فمنذ القرن الثالث ازدادت اختراقات الألمانيين والفرنجة والسكسون والقوط للحدود الرومانية، ثم في القرن الخامس والسادس برزت ممالك جرمانية مستقرة في الغال وإسبانيا وإيطاليا وأفريقيا وبريطانيا. ولهذا فإن الجرمان لم “يُسقطوا” الغرب الروماني فحسب؛ بل ورثوا جزءًا من أجهزته، ودمجوا أنفسهم تدريجيًا في عالمه القانوني والديني واللغوي</w:t>
      </w:r>
      <w:r w:rsidRPr="00126660">
        <w:rPr>
          <w:b/>
          <w:bCs/>
          <w:color w:val="000000" w:themeColor="text1"/>
          <w:lang w:bidi="ar-EG"/>
        </w:rPr>
        <w:t xml:space="preserve">. </w:t>
      </w:r>
    </w:p>
    <w:p w14:paraId="0E36E357" w14:textId="77777777" w:rsidR="00126660" w:rsidRPr="00126660" w:rsidRDefault="00126660" w:rsidP="00126660">
      <w:pPr>
        <w:bidi/>
        <w:rPr>
          <w:b/>
          <w:bCs/>
          <w:color w:val="C00000"/>
          <w:lang w:bidi="ar-EG"/>
        </w:rPr>
      </w:pPr>
      <w:r w:rsidRPr="00126660">
        <w:rPr>
          <w:b/>
          <w:bCs/>
          <w:color w:val="C00000"/>
          <w:rtl/>
        </w:rPr>
        <w:t>ثانيًا: الكلت</w:t>
      </w:r>
    </w:p>
    <w:p w14:paraId="6ABC47EF" w14:textId="77777777" w:rsidR="00126660" w:rsidRPr="00126660" w:rsidRDefault="00126660" w:rsidP="00126660">
      <w:pPr>
        <w:bidi/>
        <w:rPr>
          <w:b/>
          <w:bCs/>
          <w:color w:val="000000" w:themeColor="text1"/>
          <w:lang w:bidi="ar-EG"/>
        </w:rPr>
      </w:pPr>
      <w:r w:rsidRPr="00126660">
        <w:rPr>
          <w:b/>
          <w:bCs/>
          <w:color w:val="000000" w:themeColor="text1"/>
          <w:rtl/>
        </w:rPr>
        <w:t>يحتاج موقع الكلت في هذا الفصل إلى ضبطٍ منهجي. فالكلت شعب أقدم من الجرمان والسلاف في السجل الأوروبي، وكانت ذروة انتشارهم قبل العصر الروماني، ثم انحسر استقلالهم القاري تدريجيًا مع الفتح الروماني، وخاصة بعد إخضاع قيصر لغاليا. ولذلك فإن الكلت بعد روما لم يعودوا الكتلة المهيمنة في قارة أوروبا، لكنهم بقوا عنصرًا أساسيًا في الأطراف الغربية، خاصة في أيرلندا وويلز واسكتلندا وبريتاني. وتؤكد بريتانيكا أن اللغات الكلتية التي كانت قديمًا منتشرة في مساحات واسعة من أوروبا بقيت في العصور اللاحقة معروفة أساسًا في الجزر البريطانية وشبه جزيرة بريتاني في شمال غرب فرنسا</w:t>
      </w:r>
      <w:r w:rsidRPr="00126660">
        <w:rPr>
          <w:b/>
          <w:bCs/>
          <w:color w:val="000000" w:themeColor="text1"/>
          <w:lang w:bidi="ar-EG"/>
        </w:rPr>
        <w:t xml:space="preserve">. </w:t>
      </w:r>
    </w:p>
    <w:p w14:paraId="54209907" w14:textId="77777777" w:rsidR="00126660" w:rsidRPr="00126660" w:rsidRDefault="00126660" w:rsidP="00126660">
      <w:pPr>
        <w:bidi/>
        <w:rPr>
          <w:b/>
          <w:bCs/>
          <w:color w:val="000000" w:themeColor="text1"/>
          <w:lang w:bidi="ar-EG"/>
        </w:rPr>
      </w:pPr>
      <w:r w:rsidRPr="00126660">
        <w:rPr>
          <w:b/>
          <w:bCs/>
          <w:color w:val="000000" w:themeColor="text1"/>
          <w:rtl/>
        </w:rPr>
        <w:t>وتفيد المصادر الكلاسيكية، وعلى رأسها قيصر، بأن المجتمع الغالي عرف تمايزًا بين طبقتين بارزتين، النبلاء والدرويد، مع خضوع أكثر العامة لسلطة الأقوياء اقتصاديًا وسياسيًا، كما ينسب إلى الدرويد وظائف دينية وتعليمية وقضائية. لكن قيمة هذا الوصف كبيرة مع بقائه وصفًا صادرًا عن قائد روماني فاتح، ولذلك لا يُقرأ بوصفه مرآة شفافة للمجتمع الكلتي، بل بوصفه مصدرًا مهمًا يحتاج إلى نقد. وبعد روما استمرت العناصر الكلتية بقوة في أيرلندا والمناطق البريطانية الغربية، وأسهمت المسيحية الكلتية والأديرة الأيرلندية والبريطانية في حفظ الثقافة اللاتينية ونشرها، كما أن هجرة كلت من بريطانيا إلى أرموريكا في القرنين الخامس والسادس هي التي منحت بريتاني اسمها نفسه</w:t>
      </w:r>
      <w:r w:rsidRPr="00126660">
        <w:rPr>
          <w:b/>
          <w:bCs/>
          <w:color w:val="000000" w:themeColor="text1"/>
          <w:lang w:bidi="ar-EG"/>
        </w:rPr>
        <w:t xml:space="preserve">. </w:t>
      </w:r>
    </w:p>
    <w:p w14:paraId="019B8F64" w14:textId="77777777" w:rsidR="00126660" w:rsidRPr="00126660" w:rsidRDefault="00126660" w:rsidP="00126660">
      <w:pPr>
        <w:bidi/>
        <w:rPr>
          <w:b/>
          <w:bCs/>
          <w:color w:val="C00000"/>
          <w:lang w:bidi="ar-EG"/>
        </w:rPr>
      </w:pPr>
      <w:r w:rsidRPr="00126660">
        <w:rPr>
          <w:b/>
          <w:bCs/>
          <w:color w:val="C00000"/>
          <w:rtl/>
        </w:rPr>
        <w:t>ثالثًا: السلاف الأوائل</w:t>
      </w:r>
    </w:p>
    <w:p w14:paraId="47D8ADBE" w14:textId="77777777" w:rsidR="00126660" w:rsidRPr="00126660" w:rsidRDefault="00126660" w:rsidP="00126660">
      <w:pPr>
        <w:bidi/>
        <w:rPr>
          <w:b/>
          <w:bCs/>
          <w:color w:val="000000" w:themeColor="text1"/>
          <w:lang w:bidi="ar-EG"/>
        </w:rPr>
      </w:pPr>
      <w:r w:rsidRPr="00126660">
        <w:rPr>
          <w:b/>
          <w:bCs/>
          <w:color w:val="000000" w:themeColor="text1"/>
          <w:rtl/>
        </w:rPr>
        <w:t>السلاف من أكثر الشعوب أثرًا في تشكيل أوروبا الشرقية والبلقانية، لكنهم أيضًا من أصعبها من حيث البدايات التاريخية. فبريتانيكا تنبه إلى أن موطنهم الأصلي موضع خلاف، وإن كان أغلب الباحثين يضعون بداياتهم في أجزاء من شرق أوروبا، وأن دخولهم الواضح في السجل التاريخي كان في القرن السادس الميلادي، حين توسعوا غربًا بين الأودر وإلبه-زاله، وجنوبًا نحو بوهيميا والمجر والبلقان، وشمالًا على امتداد الدنيبر الأعلى. وبذلك صاروا، إلى جانب الجرمان، من أهم القوى المهاجرة التي أعادت توزيع الشعوب في أوروبا</w:t>
      </w:r>
      <w:r w:rsidRPr="00126660">
        <w:rPr>
          <w:b/>
          <w:bCs/>
          <w:color w:val="000000" w:themeColor="text1"/>
          <w:lang w:bidi="ar-EG"/>
        </w:rPr>
        <w:t xml:space="preserve">. </w:t>
      </w:r>
    </w:p>
    <w:p w14:paraId="5E8E37A0" w14:textId="77777777" w:rsidR="00126660" w:rsidRPr="00126660" w:rsidRDefault="00126660" w:rsidP="00126660">
      <w:pPr>
        <w:bidi/>
        <w:rPr>
          <w:b/>
          <w:bCs/>
          <w:color w:val="000000" w:themeColor="text1"/>
          <w:lang w:bidi="ar-EG"/>
        </w:rPr>
      </w:pPr>
      <w:r w:rsidRPr="00126660">
        <w:rPr>
          <w:b/>
          <w:bCs/>
          <w:color w:val="000000" w:themeColor="text1"/>
          <w:rtl/>
        </w:rPr>
        <w:t>وتشير المصادر البيزنطية الأولى، مثل بروكوبيوس، إلى جماعتين بارزتين: السكلافيني والآنتي. غير أن الدراسات الحديثة تشدد على أن هذه النصوص متقطعة ومحدودة، وأن صورة “السلاف الأوائل” ينبغي بناؤها بحذر من شذرات سردية متفرقة ومن الأدلة الأثرية واللغوية. وتشير بعض القراءات الحديثة لبروكوبيوس إلى أنه وصف السكلافيني والآنتي بوصفهم جماعات لا يحكمها ملك واحد، بل أشكالًا من القرار الجماعي، لكن الباحثين ينبهون إلى أن استعماله لمفردات مثل “الديمقراطية” كان توصيفًا إثنوغرافيًا عامًا، لا وصفًا دستوريًا دقيقًا بالمعنى اليوناني الكلاسيكي</w:t>
      </w:r>
      <w:r w:rsidRPr="00126660">
        <w:rPr>
          <w:b/>
          <w:bCs/>
          <w:color w:val="000000" w:themeColor="text1"/>
          <w:lang w:bidi="ar-EG"/>
        </w:rPr>
        <w:t xml:space="preserve">. </w:t>
      </w:r>
    </w:p>
    <w:p w14:paraId="10F8E61F" w14:textId="77777777" w:rsidR="00126660" w:rsidRPr="00126660" w:rsidRDefault="00126660" w:rsidP="00126660">
      <w:pPr>
        <w:bidi/>
        <w:rPr>
          <w:b/>
          <w:bCs/>
          <w:color w:val="000000" w:themeColor="text1"/>
          <w:lang w:bidi="ar-EG"/>
        </w:rPr>
      </w:pPr>
      <w:r w:rsidRPr="00126660">
        <w:rPr>
          <w:b/>
          <w:bCs/>
          <w:color w:val="000000" w:themeColor="text1"/>
          <w:rtl/>
        </w:rPr>
        <w:t>ومع القرن السادس والسابع تمدد السلاف في البلقان وعلى حدود العالم البيزنطي، ثم تفرعوا تدريجيًا إلى سلاف غربيين وشرقيين وجنوبيين. وهذا التوسع كان من أعظم التحولات السكانية في تاريخ أوروبا، لأنه غيّر البنية اللغوية والإثنية لمساحات شاسعة من الوسط والشرق والجنوب الشرقي الأوروبي. وتظهر آثاره لاحقًا في تشكل كيانات مثل الصرب والكروات والبلغار السلافيي اللغة والروس الكييفية وغيرهم</w:t>
      </w:r>
      <w:r w:rsidRPr="00126660">
        <w:rPr>
          <w:b/>
          <w:bCs/>
          <w:color w:val="000000" w:themeColor="text1"/>
          <w:lang w:bidi="ar-EG"/>
        </w:rPr>
        <w:t xml:space="preserve">. </w:t>
      </w:r>
    </w:p>
    <w:p w14:paraId="37A0E371" w14:textId="77777777" w:rsidR="00126660" w:rsidRPr="00126660" w:rsidRDefault="00126660" w:rsidP="00126660">
      <w:pPr>
        <w:bidi/>
        <w:rPr>
          <w:b/>
          <w:bCs/>
          <w:color w:val="C00000"/>
          <w:lang w:bidi="ar-EG"/>
        </w:rPr>
      </w:pPr>
      <w:r w:rsidRPr="00126660">
        <w:rPr>
          <w:b/>
          <w:bCs/>
          <w:color w:val="C00000"/>
          <w:rtl/>
        </w:rPr>
        <w:lastRenderedPageBreak/>
        <w:t>رابعًا: القبائل الشمالية</w:t>
      </w:r>
    </w:p>
    <w:p w14:paraId="32423806" w14:textId="77777777" w:rsidR="00126660" w:rsidRPr="00126660" w:rsidRDefault="00126660" w:rsidP="00126660">
      <w:pPr>
        <w:bidi/>
        <w:rPr>
          <w:b/>
          <w:bCs/>
          <w:color w:val="000000" w:themeColor="text1"/>
          <w:lang w:bidi="ar-EG"/>
        </w:rPr>
      </w:pPr>
      <w:r w:rsidRPr="00126660">
        <w:rPr>
          <w:b/>
          <w:bCs/>
          <w:color w:val="000000" w:themeColor="text1"/>
          <w:rtl/>
        </w:rPr>
        <w:t>في هذا السياق يُستخدم تعبير القبائل الشمالية للدلالة أساسًا على الجماعات الإسكندنافية والجرمانية الشمالية التي عاشت في الدنمارك والنرويج والسويد قبل عصر الفايكنغ وأثناءه. ولم تكن هذه الجماعات عنصرًا مركزيًا في انهيار روما الغربية في القرن الخامس بالمقدار نفسه الذي كانت عليه القوط أو الوندال أو الفرنجة، لكنها أدت دورًا متعاظمًا منذ أواخر القرن الثامن. وتصف بريتانيكا الفايكنغ بأنهم محاربون وتجار ومستكشفون ومستعمرون خرجوا من اسكندنافيا بين القرنين التاسع والحادي عشر، وسيطروا أو استقروا في مناطق متعددة من أوروبا وما وراءها</w:t>
      </w:r>
      <w:r w:rsidRPr="00126660">
        <w:rPr>
          <w:b/>
          <w:bCs/>
          <w:color w:val="000000" w:themeColor="text1"/>
          <w:lang w:bidi="ar-EG"/>
        </w:rPr>
        <w:t xml:space="preserve">. </w:t>
      </w:r>
    </w:p>
    <w:p w14:paraId="316C0D15" w14:textId="77777777" w:rsidR="00126660" w:rsidRPr="00126660" w:rsidRDefault="00126660" w:rsidP="00126660">
      <w:pPr>
        <w:bidi/>
        <w:rPr>
          <w:b/>
          <w:bCs/>
          <w:color w:val="000000" w:themeColor="text1"/>
          <w:lang w:bidi="ar-EG"/>
        </w:rPr>
      </w:pPr>
      <w:r w:rsidRPr="00126660">
        <w:rPr>
          <w:b/>
          <w:bCs/>
          <w:color w:val="000000" w:themeColor="text1"/>
          <w:rtl/>
        </w:rPr>
        <w:t xml:space="preserve">لكن قبل الفايكنغ أنفسهم، كان العالم الإسكندنافي يعرف مجتمعات قبلية ومحلية السلطة، ومجالس سياسية وقضائية مثل الـ </w:t>
      </w:r>
      <w:r w:rsidRPr="00126660">
        <w:rPr>
          <w:b/>
          <w:bCs/>
          <w:i/>
          <w:iCs/>
          <w:color w:val="000000" w:themeColor="text1"/>
          <w:lang w:bidi="ar-EG"/>
        </w:rPr>
        <w:t>thing</w:t>
      </w:r>
      <w:r w:rsidRPr="00126660">
        <w:rPr>
          <w:b/>
          <w:bCs/>
          <w:color w:val="000000" w:themeColor="text1"/>
          <w:rtl/>
        </w:rPr>
        <w:t>، وهي تجمعات عرفت في التقليد الإسكندنافي بوصفها مجالس للبت في الشؤون العامة والنزاعات. وتشير المواد التاريخية عن الدنمارك والسويد إلى أن السلطة كانت في البداية موزعة نسبيًا بين جماعات محلية قبل أن تتجه تدريجيًا إلى المركزية الملكية، وهو مسار ساعد لاحقًا على إنهاء عصر الفايكنغ وبناء الممالك الإسكندنافية الأوضح تماسكًا. وعليه فإن القبائل الشمالية لم تكن هامشًا بعيدًا عن أوروبا، بل كانت خزانًا بشريًا وسياسيًا سيعيد، في القرون التالية، فتح فضاءات التجارة والاستيطان والحرب من الجزر البريطانية حتى روس وشرق المتوسط</w:t>
      </w:r>
      <w:r w:rsidRPr="00126660">
        <w:rPr>
          <w:b/>
          <w:bCs/>
          <w:color w:val="000000" w:themeColor="text1"/>
          <w:lang w:bidi="ar-EG"/>
        </w:rPr>
        <w:t xml:space="preserve">. </w:t>
      </w:r>
    </w:p>
    <w:p w14:paraId="193E9C5F" w14:textId="77777777" w:rsidR="00126660" w:rsidRPr="00126660" w:rsidRDefault="00126660" w:rsidP="00126660">
      <w:pPr>
        <w:bidi/>
        <w:rPr>
          <w:b/>
          <w:bCs/>
          <w:color w:val="C00000"/>
          <w:lang w:bidi="ar-EG"/>
        </w:rPr>
      </w:pPr>
      <w:r w:rsidRPr="00126660">
        <w:rPr>
          <w:b/>
          <w:bCs/>
          <w:color w:val="C00000"/>
          <w:rtl/>
        </w:rPr>
        <w:t>خامسًا: الهجرات الكبرى في أوروبا</w:t>
      </w:r>
    </w:p>
    <w:p w14:paraId="1201B5C4" w14:textId="77777777" w:rsidR="00126660" w:rsidRPr="00126660" w:rsidRDefault="00126660" w:rsidP="00126660">
      <w:pPr>
        <w:bidi/>
        <w:rPr>
          <w:b/>
          <w:bCs/>
          <w:color w:val="000000" w:themeColor="text1"/>
          <w:lang w:bidi="ar-EG"/>
        </w:rPr>
      </w:pPr>
      <w:r w:rsidRPr="00126660">
        <w:rPr>
          <w:b/>
          <w:bCs/>
          <w:color w:val="000000" w:themeColor="text1"/>
          <w:rtl/>
        </w:rPr>
        <w:t>الهجرات الكبرى، أو عصر الهجرات، ليست حدثًا واحدًا بل سلسلة تحركات ممتدة تقريبًا من القرن الرابع إلى السابع أو الثامن. وقد شملت القوط والوندال والسويبي والبرغنديين واللومبارد والفرنجة والسكسون والأنجل والجوت، إضافة إلى السلاف، تحت تأثير ضغوط متداخلة: تحرك الهون من السهوب، ضعف الحدود الرومانية، الإغراء الاقتصادي داخل الإمبراطورية، البحث عن أراضٍ جديدة، وتحول العلاقة بين روما وجيرانها من الدفاع الحدودي إلى التفاوض والاستيطان والتحالف ثم الانفصال. وتؤكد بريتانيكا أن هذه التحركات كانت عنصرًا تكوينيًا في توزع الشعوب الأوروبية الحديثة</w:t>
      </w:r>
      <w:r w:rsidRPr="00126660">
        <w:rPr>
          <w:b/>
          <w:bCs/>
          <w:color w:val="000000" w:themeColor="text1"/>
          <w:lang w:bidi="ar-EG"/>
        </w:rPr>
        <w:t xml:space="preserve">. </w:t>
      </w:r>
    </w:p>
    <w:p w14:paraId="66A6DE18" w14:textId="77777777" w:rsidR="00126660" w:rsidRPr="00126660" w:rsidRDefault="00126660" w:rsidP="00126660">
      <w:pPr>
        <w:bidi/>
        <w:rPr>
          <w:b/>
          <w:bCs/>
          <w:color w:val="000000" w:themeColor="text1"/>
          <w:lang w:bidi="ar-EG"/>
        </w:rPr>
      </w:pPr>
      <w:r w:rsidRPr="00126660">
        <w:rPr>
          <w:b/>
          <w:bCs/>
          <w:color w:val="000000" w:themeColor="text1"/>
          <w:rtl/>
        </w:rPr>
        <w:t>ومن أبرز المحطات: عبور القوط إلى داخل الإمبراطورية بعد أزمة 376، ونهب القوط الغربيين لروما سنة 410، وعبور جماعات متعددة للراين في 406-407، واستقرار الوندال في أفريقيا، وقيام ممالك القوط في الغال وإسبانيا، وتحرك الأنجل والسكسون والجوت إلى بريطانيا، ثم دخول اللومبارد إلى إيطاليا سنة 568. وهذه الوقائع لا تُقرأ اليوم على أنها “غزو برابرة” بالمعنى الدعائي الروماني وحده، بل باعتبارها تحولات في أنماط السلطة والإقامة والانتماء، حيث تحولت جماعات متحركة إلى نخب حاكمة ومجتمعات مستقرة</w:t>
      </w:r>
      <w:r w:rsidRPr="00126660">
        <w:rPr>
          <w:b/>
          <w:bCs/>
          <w:color w:val="000000" w:themeColor="text1"/>
          <w:lang w:bidi="ar-EG"/>
        </w:rPr>
        <w:t xml:space="preserve">. </w:t>
      </w:r>
    </w:p>
    <w:p w14:paraId="2AA319E8" w14:textId="77777777" w:rsidR="00126660" w:rsidRPr="00126660" w:rsidRDefault="00126660" w:rsidP="00126660">
      <w:pPr>
        <w:bidi/>
        <w:rPr>
          <w:b/>
          <w:bCs/>
          <w:color w:val="C00000"/>
          <w:lang w:bidi="ar-EG"/>
        </w:rPr>
      </w:pPr>
      <w:r w:rsidRPr="00126660">
        <w:rPr>
          <w:b/>
          <w:bCs/>
          <w:color w:val="C00000"/>
          <w:rtl/>
        </w:rPr>
        <w:t>سادسًا: أثر انتقال الشعوب في إعادة تشكيل أوروبا</w:t>
      </w:r>
    </w:p>
    <w:p w14:paraId="4E25B54B" w14:textId="77777777" w:rsidR="00126660" w:rsidRPr="00126660" w:rsidRDefault="00126660" w:rsidP="00126660">
      <w:pPr>
        <w:bidi/>
        <w:rPr>
          <w:b/>
          <w:bCs/>
          <w:color w:val="000000" w:themeColor="text1"/>
          <w:lang w:bidi="ar-EG"/>
        </w:rPr>
      </w:pPr>
      <w:r w:rsidRPr="00126660">
        <w:rPr>
          <w:b/>
          <w:bCs/>
          <w:color w:val="000000" w:themeColor="text1"/>
          <w:rtl/>
        </w:rPr>
        <w:t>أعاد انتقال الشعوب تشكيل أوروبا على أربعة مستويات كبرى. أولًا، على المستوى الإثني-اللغوي، إذ أنتج انتشار السلاف تحولات بعيدة المدى في وسط أوروبا وشرقها والبلقان، بينما ثبّت الجرمان حضورهم في إنجلترا وغاليا وألمانيا وإيطاليا وإسبانيا بصورة متفاوتة، كما حافظت الجيوب الكلتية على استمرارية لغوية وثقافية في الأطراف الغربية. ثانيًا، على المستوى السياسي، إذ حلت الممالك الإقليمية محل السلطة الإمبراطورية الغربية الموحدة. ثالثًا، على المستوى الديني، إذ دخلت هذه الشعوب تدريجيًا في المسيحية اللاتينية أو البيزنطية. رابعًا، على المستوى القانوني والاجتماعي، إذ بدأت التقاليد الجرمانية والسلافية والمحلية تتفاعل مع الإرث الروماني بدل أن تحل محله كليًا</w:t>
      </w:r>
      <w:r w:rsidRPr="00126660">
        <w:rPr>
          <w:b/>
          <w:bCs/>
          <w:color w:val="000000" w:themeColor="text1"/>
          <w:lang w:bidi="ar-EG"/>
        </w:rPr>
        <w:t xml:space="preserve">. </w:t>
      </w:r>
    </w:p>
    <w:p w14:paraId="17A8DA30" w14:textId="77777777" w:rsidR="00126660" w:rsidRPr="00126660" w:rsidRDefault="00126660" w:rsidP="00126660">
      <w:pPr>
        <w:bidi/>
        <w:rPr>
          <w:b/>
          <w:bCs/>
          <w:color w:val="000000" w:themeColor="text1"/>
          <w:lang w:bidi="ar-EG"/>
        </w:rPr>
      </w:pPr>
      <w:r w:rsidRPr="00126660">
        <w:rPr>
          <w:b/>
          <w:bCs/>
          <w:color w:val="000000" w:themeColor="text1"/>
          <w:rtl/>
        </w:rPr>
        <w:t>ومن النتائج البعيدة المدى أيضًا أن أوروبا خرجت من الوحدة الرومانية إلى تعددية إقليمية ستصبح لاحقًا سمة بنيوية من سماتها. فالحدود الجديدة لم تكن مجرد حدود عسكرية، بل حدود لهجات وكنائس وأعراف ونخب حاكمة. وفي الغرب ظهرت تركيبات “رومانية-جرمانية” حيث ورثت النخب الجديدة كثيرًا من أدوات الحكم الروماني، وفي الشرق والجنوب الشرقي ظهرت مساحات “سلافية-بيزنطية” تشكلت في علاقة مركبة مع القسطنطينية. ومن هنا فإن أوروبا الوسيطة لم تكن نفيًا لروما، بل نتيجة امتزاجها بشعوب جديدة</w:t>
      </w:r>
      <w:r w:rsidRPr="00126660">
        <w:rPr>
          <w:b/>
          <w:bCs/>
          <w:color w:val="000000" w:themeColor="text1"/>
          <w:lang w:bidi="ar-EG"/>
        </w:rPr>
        <w:t xml:space="preserve">. </w:t>
      </w:r>
    </w:p>
    <w:p w14:paraId="43C7120B" w14:textId="77777777" w:rsidR="00126660" w:rsidRPr="00126660" w:rsidRDefault="00126660" w:rsidP="00126660">
      <w:pPr>
        <w:bidi/>
        <w:rPr>
          <w:b/>
          <w:bCs/>
          <w:color w:val="C00000"/>
          <w:lang w:bidi="ar-EG"/>
        </w:rPr>
      </w:pPr>
      <w:r w:rsidRPr="00126660">
        <w:rPr>
          <w:b/>
          <w:bCs/>
          <w:color w:val="C00000"/>
          <w:rtl/>
        </w:rPr>
        <w:lastRenderedPageBreak/>
        <w:t>سابعًا: قيام الممالك الجرمانية</w:t>
      </w:r>
    </w:p>
    <w:p w14:paraId="470C0916" w14:textId="77777777" w:rsidR="00126660" w:rsidRPr="00126660" w:rsidRDefault="00126660" w:rsidP="00126660">
      <w:pPr>
        <w:bidi/>
        <w:rPr>
          <w:b/>
          <w:bCs/>
          <w:color w:val="000000" w:themeColor="text1"/>
          <w:lang w:bidi="ar-EG"/>
        </w:rPr>
      </w:pPr>
      <w:r w:rsidRPr="00126660">
        <w:rPr>
          <w:b/>
          <w:bCs/>
          <w:color w:val="000000" w:themeColor="text1"/>
          <w:rtl/>
        </w:rPr>
        <w:t>أهم ثمرة سياسية لعصر ما بعد روما كانت الممالك الجرمانية</w:t>
      </w:r>
      <w:r w:rsidRPr="00126660">
        <w:rPr>
          <w:b/>
          <w:bCs/>
          <w:color w:val="000000" w:themeColor="text1"/>
          <w:lang w:bidi="ar-EG"/>
        </w:rPr>
        <w:t xml:space="preserve">. </w:t>
      </w:r>
      <w:r w:rsidRPr="00126660">
        <w:rPr>
          <w:b/>
          <w:bCs/>
          <w:color w:val="000000" w:themeColor="text1"/>
          <w:rtl/>
        </w:rPr>
        <w:t>ففي الغال نشأ الكيان الفرنجي الذي سيغدو الأرسخ أثرًا، وفي جنوب غرب الغال ثم إيبيريا قامت مملكة القوط الغربيين، وفي إيطاليا قامت أولًا مملكة أودواكر ثم مملكة القوط الشرقيين بقيادة ثيودوريك، ولاحقًا مملكة اللومبارد، وفي بريطانيا تشكلت الممالك الأنجلوسكسونية. وتوضح بريتانيكا أنه بحلول القرن الخامس والسادس كانت هذه الكيانات قد حلت فعليًا محل الدولة الإمبراطورية الغربية في أكثر أقاليمها الأوروبية</w:t>
      </w:r>
      <w:r w:rsidRPr="00126660">
        <w:rPr>
          <w:b/>
          <w:bCs/>
          <w:color w:val="000000" w:themeColor="text1"/>
          <w:lang w:bidi="ar-EG"/>
        </w:rPr>
        <w:t xml:space="preserve">. </w:t>
      </w:r>
    </w:p>
    <w:p w14:paraId="33C569B5" w14:textId="77777777" w:rsidR="00126660" w:rsidRPr="00126660" w:rsidRDefault="00126660" w:rsidP="00126660">
      <w:pPr>
        <w:bidi/>
        <w:rPr>
          <w:b/>
          <w:bCs/>
          <w:color w:val="000000" w:themeColor="text1"/>
          <w:lang w:bidi="ar-EG"/>
        </w:rPr>
      </w:pPr>
      <w:r w:rsidRPr="00126660">
        <w:rPr>
          <w:b/>
          <w:bCs/>
          <w:color w:val="000000" w:themeColor="text1"/>
          <w:rtl/>
        </w:rPr>
        <w:t>ولم تكن هذه الممالك “قبلية” خالصة كما توحي بعض التصورات القديمة، بل كانت أنظمة هجينة. فالفرنجة، مثلًا، بنوا ملكهم فوق البنية الغالية-الرومانية، واستفادوا من الأسقفيات والمدن والضرائب والتحالف مع الكنيسة، حتى غدا ملك كلوفيس نقطة انعطاف رئيسية في تاريخ الغرب اللاتيني. والقوط الشرقيون في إيطاليا حاولوا، في عهد ثيودوريك، الجمع بين الشرعية الرومانية والقيادة الجرمانية. والقوط الغربيون واللومبارد طوروا لاحقًا تقاليد قانونية مكتوبة، وهو ما يدل على انتقال هذه الشعوب من قانون شخصي قبلي إلى بناء دول إقليمية أكثر رسوخًا</w:t>
      </w:r>
      <w:r w:rsidRPr="00126660">
        <w:rPr>
          <w:b/>
          <w:bCs/>
          <w:color w:val="000000" w:themeColor="text1"/>
          <w:lang w:bidi="ar-EG"/>
        </w:rPr>
        <w:t xml:space="preserve">. </w:t>
      </w:r>
    </w:p>
    <w:p w14:paraId="377520FE" w14:textId="77777777" w:rsidR="00126660" w:rsidRPr="00126660" w:rsidRDefault="00126660" w:rsidP="00126660">
      <w:pPr>
        <w:bidi/>
        <w:rPr>
          <w:b/>
          <w:bCs/>
          <w:color w:val="000000" w:themeColor="text1"/>
          <w:lang w:bidi="ar-EG"/>
        </w:rPr>
      </w:pPr>
      <w:r w:rsidRPr="00126660">
        <w:rPr>
          <w:b/>
          <w:bCs/>
          <w:color w:val="000000" w:themeColor="text1"/>
          <w:rtl/>
        </w:rPr>
        <w:t>وإذا كان كثير من هذه الممالك قد زال أو تبدل، فإن أثرها في أوروبا كان بالغ العمق. فمن المملكة الفرنجية خرجت لاحقًا فرنسا وألمانيا الإمبراطوريتان في صور مختلفة، ومن الممالك الأنجلوسكسونية خرجت إنجلترا، ومن التفاعل بين اللاتيني والجرماني والكلتي والسلافي وُلدت أوروبا الإقليمية التي ستدخل بعد ذلك العصر الكارولنجي، ثم العصور الوسطى المركزية. ولهذا فمرحلة “الشعوب بعد روما” ليست هامشًا بين عالمين، بل لحظة تأسيس أوروبية كبرى</w:t>
      </w:r>
      <w:r w:rsidRPr="00126660">
        <w:rPr>
          <w:b/>
          <w:bCs/>
          <w:color w:val="000000" w:themeColor="text1"/>
          <w:lang w:bidi="ar-EG"/>
        </w:rPr>
        <w:t xml:space="preserve">. </w:t>
      </w:r>
    </w:p>
    <w:p w14:paraId="237F7AC1" w14:textId="77777777" w:rsidR="00126660" w:rsidRPr="00126660" w:rsidRDefault="00126660" w:rsidP="00126660">
      <w:pPr>
        <w:bidi/>
        <w:rPr>
          <w:b/>
          <w:bCs/>
          <w:color w:val="002060"/>
          <w:lang w:bidi="ar-EG"/>
        </w:rPr>
      </w:pPr>
      <w:r w:rsidRPr="00126660">
        <w:rPr>
          <w:b/>
          <w:bCs/>
          <w:color w:val="002060"/>
          <w:rtl/>
        </w:rPr>
        <w:t>خاتمة</w:t>
      </w:r>
    </w:p>
    <w:p w14:paraId="6C9506B7" w14:textId="77777777" w:rsidR="00126660" w:rsidRDefault="00126660" w:rsidP="00126660">
      <w:pPr>
        <w:bidi/>
        <w:rPr>
          <w:b/>
          <w:bCs/>
          <w:color w:val="002060"/>
          <w:lang w:bidi="ar-EG"/>
        </w:rPr>
      </w:pPr>
      <w:r w:rsidRPr="00126660">
        <w:rPr>
          <w:b/>
          <w:bCs/>
          <w:color w:val="002060"/>
          <w:rtl/>
        </w:rPr>
        <w:t>تكشف دراسة الشعوب الأوروبية القديمة بعد روما أن انهيار الإمبراطورية الغربية لم يُنتج قطيعة حضارية تامة، بل أطلق عملية تاريخية معقدة من الانتقال والامتزاج وإعادة البناء. فالجرمان أعادوا تشكيل الغرب الأوروبي سياسيًا، والكلت حافظوا على استمرارية ثقافية مهمة في الأطراف الأطلسية، والسلاف غيّروا الخريطة السكانية واللغوية لشرق أوروبا والبلقان، والقبائل الشمالية ستدفع لاحقًا أوروبا إلى طور جديد من الحركة البحرية والتجارية والعسكرية. ومن خلال الهجرات الكبرى وقيام الممالك الجرمانية تبلورت أوروبا الإقليمية التي ستصبح قاعدة العالم الوسيط، ومنها ستنبثق لاحقًا الممالك والإمارات والكنائس والهويات التي عرفها التاريخ الأوروبي في القرون التالية</w:t>
      </w:r>
      <w:r w:rsidRPr="00126660">
        <w:rPr>
          <w:b/>
          <w:bCs/>
          <w:color w:val="002060"/>
          <w:lang w:bidi="ar-EG"/>
        </w:rPr>
        <w:t xml:space="preserve">. </w:t>
      </w:r>
    </w:p>
    <w:p w14:paraId="7B6A3AF8" w14:textId="77777777" w:rsidR="000437B9" w:rsidRDefault="000437B9" w:rsidP="000437B9">
      <w:pPr>
        <w:bidi/>
        <w:rPr>
          <w:b/>
          <w:bCs/>
          <w:color w:val="002060"/>
          <w:lang w:bidi="ar-EG"/>
        </w:rPr>
      </w:pPr>
    </w:p>
    <w:p w14:paraId="0770C53D" w14:textId="77777777" w:rsidR="000437B9" w:rsidRDefault="000437B9" w:rsidP="000437B9">
      <w:pPr>
        <w:bidi/>
        <w:rPr>
          <w:b/>
          <w:bCs/>
          <w:color w:val="002060"/>
          <w:lang w:bidi="ar-EG"/>
        </w:rPr>
      </w:pPr>
    </w:p>
    <w:p w14:paraId="463BCCE4" w14:textId="77777777" w:rsidR="000437B9" w:rsidRDefault="000437B9" w:rsidP="000437B9">
      <w:pPr>
        <w:bidi/>
        <w:rPr>
          <w:b/>
          <w:bCs/>
          <w:color w:val="002060"/>
          <w:lang w:bidi="ar-EG"/>
        </w:rPr>
      </w:pPr>
    </w:p>
    <w:p w14:paraId="76A99789" w14:textId="77777777" w:rsidR="000437B9" w:rsidRPr="00126660" w:rsidRDefault="000437B9" w:rsidP="000437B9">
      <w:pPr>
        <w:bidi/>
        <w:rPr>
          <w:b/>
          <w:bCs/>
          <w:color w:val="002060"/>
          <w:lang w:bidi="ar-EG"/>
        </w:rPr>
      </w:pPr>
    </w:p>
    <w:p w14:paraId="2C2F9B0F" w14:textId="77777777" w:rsidR="00126660" w:rsidRPr="00126660" w:rsidRDefault="00126660" w:rsidP="00126660">
      <w:pPr>
        <w:bidi/>
        <w:rPr>
          <w:b/>
          <w:bCs/>
          <w:color w:val="C00000"/>
          <w:lang w:bidi="ar-EG"/>
        </w:rPr>
      </w:pPr>
      <w:r w:rsidRPr="00126660">
        <w:rPr>
          <w:b/>
          <w:bCs/>
          <w:color w:val="C00000"/>
          <w:rtl/>
        </w:rPr>
        <w:t>مراجع ختامية مختارة</w:t>
      </w:r>
    </w:p>
    <w:p w14:paraId="395C5C9A" w14:textId="77777777" w:rsidR="00126660" w:rsidRPr="00126660" w:rsidRDefault="00126660" w:rsidP="00126660">
      <w:pPr>
        <w:numPr>
          <w:ilvl w:val="0"/>
          <w:numId w:val="3"/>
        </w:numPr>
        <w:bidi/>
        <w:rPr>
          <w:b/>
          <w:bCs/>
          <w:color w:val="C00000"/>
          <w:lang w:bidi="ar-EG"/>
        </w:rPr>
      </w:pPr>
      <w:r w:rsidRPr="00126660">
        <w:rPr>
          <w:b/>
          <w:bCs/>
          <w:color w:val="C00000"/>
          <w:lang w:bidi="ar-EG"/>
        </w:rPr>
        <w:t xml:space="preserve">Britannica, Germanic peoples. </w:t>
      </w:r>
    </w:p>
    <w:p w14:paraId="275944BB" w14:textId="77777777" w:rsidR="00126660" w:rsidRPr="00126660" w:rsidRDefault="00126660" w:rsidP="00126660">
      <w:pPr>
        <w:numPr>
          <w:ilvl w:val="0"/>
          <w:numId w:val="3"/>
        </w:numPr>
        <w:bidi/>
        <w:rPr>
          <w:b/>
          <w:bCs/>
          <w:color w:val="C00000"/>
          <w:lang w:bidi="ar-EG"/>
        </w:rPr>
      </w:pPr>
      <w:r w:rsidRPr="00126660">
        <w:rPr>
          <w:b/>
          <w:bCs/>
          <w:color w:val="C00000"/>
          <w:lang w:bidi="ar-EG"/>
        </w:rPr>
        <w:t xml:space="preserve">Britannica, Migration period / Barbarian invasions / Barbarian migrations and invasions. </w:t>
      </w:r>
    </w:p>
    <w:p w14:paraId="26AE8A09" w14:textId="77777777" w:rsidR="00126660" w:rsidRPr="00126660" w:rsidRDefault="00126660" w:rsidP="00126660">
      <w:pPr>
        <w:numPr>
          <w:ilvl w:val="0"/>
          <w:numId w:val="3"/>
        </w:numPr>
        <w:bidi/>
        <w:rPr>
          <w:b/>
          <w:bCs/>
          <w:color w:val="C00000"/>
          <w:lang w:bidi="ar-EG"/>
        </w:rPr>
      </w:pPr>
      <w:r w:rsidRPr="00126660">
        <w:rPr>
          <w:b/>
          <w:bCs/>
          <w:color w:val="C00000"/>
          <w:lang w:bidi="ar-EG"/>
        </w:rPr>
        <w:t xml:space="preserve">Britannica, Slav </w:t>
      </w:r>
      <w:r w:rsidRPr="00126660">
        <w:rPr>
          <w:b/>
          <w:bCs/>
          <w:color w:val="C00000"/>
          <w:rtl/>
        </w:rPr>
        <w:t xml:space="preserve">و </w:t>
      </w:r>
      <w:proofErr w:type="gramStart"/>
      <w:r w:rsidRPr="00126660">
        <w:rPr>
          <w:b/>
          <w:bCs/>
          <w:color w:val="C00000"/>
          <w:lang w:bidi="ar-EG"/>
        </w:rPr>
        <w:t>The</w:t>
      </w:r>
      <w:proofErr w:type="gramEnd"/>
      <w:r w:rsidRPr="00126660">
        <w:rPr>
          <w:b/>
          <w:bCs/>
          <w:color w:val="C00000"/>
          <w:lang w:bidi="ar-EG"/>
        </w:rPr>
        <w:t xml:space="preserve"> early development of the Slavic languages. </w:t>
      </w:r>
    </w:p>
    <w:p w14:paraId="10F2356B" w14:textId="77777777" w:rsidR="00126660" w:rsidRPr="00126660" w:rsidRDefault="00126660" w:rsidP="00126660">
      <w:pPr>
        <w:numPr>
          <w:ilvl w:val="0"/>
          <w:numId w:val="3"/>
        </w:numPr>
        <w:bidi/>
        <w:rPr>
          <w:b/>
          <w:bCs/>
          <w:color w:val="C00000"/>
          <w:lang w:bidi="ar-EG"/>
        </w:rPr>
      </w:pPr>
      <w:r w:rsidRPr="00126660">
        <w:rPr>
          <w:b/>
          <w:bCs/>
          <w:color w:val="C00000"/>
          <w:lang w:bidi="ar-EG"/>
        </w:rPr>
        <w:t xml:space="preserve">Britannica, Viking </w:t>
      </w:r>
      <w:r w:rsidRPr="00126660">
        <w:rPr>
          <w:b/>
          <w:bCs/>
          <w:color w:val="C00000"/>
          <w:rtl/>
        </w:rPr>
        <w:t xml:space="preserve">و </w:t>
      </w:r>
      <w:r w:rsidRPr="00126660">
        <w:rPr>
          <w:b/>
          <w:bCs/>
          <w:color w:val="C00000"/>
          <w:lang w:bidi="ar-EG"/>
        </w:rPr>
        <w:t xml:space="preserve">The Viking era </w:t>
      </w:r>
      <w:r w:rsidRPr="00126660">
        <w:rPr>
          <w:b/>
          <w:bCs/>
          <w:color w:val="C00000"/>
          <w:rtl/>
        </w:rPr>
        <w:t>في الدنمارك والسويد</w:t>
      </w:r>
      <w:r w:rsidRPr="00126660">
        <w:rPr>
          <w:b/>
          <w:bCs/>
          <w:color w:val="C00000"/>
          <w:lang w:bidi="ar-EG"/>
        </w:rPr>
        <w:t xml:space="preserve">. </w:t>
      </w:r>
    </w:p>
    <w:p w14:paraId="36F7FB8D" w14:textId="77777777" w:rsidR="00126660" w:rsidRPr="00126660" w:rsidRDefault="00126660" w:rsidP="00126660">
      <w:pPr>
        <w:numPr>
          <w:ilvl w:val="0"/>
          <w:numId w:val="3"/>
        </w:numPr>
        <w:bidi/>
        <w:rPr>
          <w:b/>
          <w:bCs/>
          <w:color w:val="C00000"/>
          <w:lang w:bidi="ar-EG"/>
        </w:rPr>
      </w:pPr>
      <w:r w:rsidRPr="00126660">
        <w:rPr>
          <w:b/>
          <w:bCs/>
          <w:color w:val="C00000"/>
          <w:lang w:bidi="ar-EG"/>
        </w:rPr>
        <w:lastRenderedPageBreak/>
        <w:t xml:space="preserve">Britannica, Celt </w:t>
      </w:r>
      <w:r w:rsidRPr="00126660">
        <w:rPr>
          <w:b/>
          <w:bCs/>
          <w:color w:val="C00000"/>
          <w:rtl/>
        </w:rPr>
        <w:t xml:space="preserve">و </w:t>
      </w:r>
      <w:r w:rsidRPr="00126660">
        <w:rPr>
          <w:b/>
          <w:bCs/>
          <w:color w:val="C00000"/>
          <w:lang w:bidi="ar-EG"/>
        </w:rPr>
        <w:t xml:space="preserve">Celtic languages </w:t>
      </w:r>
      <w:r w:rsidRPr="00126660">
        <w:rPr>
          <w:b/>
          <w:bCs/>
          <w:color w:val="C00000"/>
          <w:rtl/>
        </w:rPr>
        <w:t xml:space="preserve">و </w:t>
      </w:r>
      <w:r w:rsidRPr="00126660">
        <w:rPr>
          <w:b/>
          <w:bCs/>
          <w:color w:val="C00000"/>
          <w:lang w:bidi="ar-EG"/>
        </w:rPr>
        <w:t xml:space="preserve">Brittany: History </w:t>
      </w:r>
      <w:r w:rsidRPr="00126660">
        <w:rPr>
          <w:b/>
          <w:bCs/>
          <w:color w:val="C00000"/>
          <w:rtl/>
        </w:rPr>
        <w:t>ومواد أيرلندا المبكرة</w:t>
      </w:r>
      <w:r w:rsidRPr="00126660">
        <w:rPr>
          <w:b/>
          <w:bCs/>
          <w:color w:val="C00000"/>
          <w:lang w:bidi="ar-EG"/>
        </w:rPr>
        <w:t xml:space="preserve">. </w:t>
      </w:r>
    </w:p>
    <w:p w14:paraId="627A141B" w14:textId="77777777" w:rsidR="00126660" w:rsidRPr="00126660" w:rsidRDefault="00126660" w:rsidP="00126660">
      <w:pPr>
        <w:numPr>
          <w:ilvl w:val="0"/>
          <w:numId w:val="3"/>
        </w:numPr>
        <w:bidi/>
        <w:rPr>
          <w:b/>
          <w:bCs/>
          <w:color w:val="C00000"/>
          <w:lang w:bidi="ar-EG"/>
        </w:rPr>
      </w:pPr>
      <w:r w:rsidRPr="00126660">
        <w:rPr>
          <w:b/>
          <w:bCs/>
          <w:color w:val="C00000"/>
          <w:lang w:bidi="ar-EG"/>
        </w:rPr>
        <w:t xml:space="preserve">Britannica, Visigoth </w:t>
      </w:r>
      <w:r w:rsidRPr="00126660">
        <w:rPr>
          <w:b/>
          <w:bCs/>
          <w:color w:val="C00000"/>
          <w:rtl/>
        </w:rPr>
        <w:t>ومواد الهجرة في ألمانيا وفرنسا</w:t>
      </w:r>
      <w:r w:rsidRPr="00126660">
        <w:rPr>
          <w:b/>
          <w:bCs/>
          <w:color w:val="C00000"/>
          <w:lang w:bidi="ar-EG"/>
        </w:rPr>
        <w:t xml:space="preserve">. </w:t>
      </w:r>
    </w:p>
    <w:p w14:paraId="00623F62" w14:textId="77777777" w:rsidR="00126660" w:rsidRPr="00126660" w:rsidRDefault="00126660" w:rsidP="00126660">
      <w:pPr>
        <w:numPr>
          <w:ilvl w:val="0"/>
          <w:numId w:val="3"/>
        </w:numPr>
        <w:bidi/>
        <w:rPr>
          <w:b/>
          <w:bCs/>
          <w:color w:val="C00000"/>
          <w:lang w:bidi="ar-EG"/>
        </w:rPr>
      </w:pPr>
      <w:r w:rsidRPr="00126660">
        <w:rPr>
          <w:b/>
          <w:bCs/>
          <w:color w:val="C00000"/>
          <w:lang w:bidi="ar-EG"/>
        </w:rPr>
        <w:t xml:space="preserve">Tacitus, Germania. </w:t>
      </w:r>
    </w:p>
    <w:p w14:paraId="54263179" w14:textId="77777777" w:rsidR="00126660" w:rsidRPr="00126660" w:rsidRDefault="00126660" w:rsidP="00126660">
      <w:pPr>
        <w:numPr>
          <w:ilvl w:val="0"/>
          <w:numId w:val="3"/>
        </w:numPr>
        <w:bidi/>
        <w:rPr>
          <w:b/>
          <w:bCs/>
          <w:color w:val="C00000"/>
          <w:lang w:bidi="ar-EG"/>
        </w:rPr>
      </w:pPr>
      <w:r w:rsidRPr="00126660">
        <w:rPr>
          <w:b/>
          <w:bCs/>
          <w:color w:val="C00000"/>
          <w:lang w:bidi="ar-EG"/>
        </w:rPr>
        <w:t xml:space="preserve">Julius Caesar, Gallic War, Book VI. </w:t>
      </w:r>
    </w:p>
    <w:p w14:paraId="5844C281" w14:textId="77777777" w:rsidR="00126660" w:rsidRPr="00126660" w:rsidRDefault="00126660" w:rsidP="00126660">
      <w:pPr>
        <w:numPr>
          <w:ilvl w:val="0"/>
          <w:numId w:val="3"/>
        </w:numPr>
        <w:bidi/>
        <w:rPr>
          <w:b/>
          <w:bCs/>
          <w:color w:val="C00000"/>
          <w:lang w:bidi="ar-EG"/>
        </w:rPr>
      </w:pPr>
      <w:r w:rsidRPr="00126660">
        <w:rPr>
          <w:b/>
          <w:bCs/>
          <w:color w:val="C00000"/>
          <w:lang w:bidi="ar-EG"/>
        </w:rPr>
        <w:t xml:space="preserve">Jordanes, </w:t>
      </w:r>
      <w:proofErr w:type="spellStart"/>
      <w:r w:rsidRPr="00126660">
        <w:rPr>
          <w:b/>
          <w:bCs/>
          <w:color w:val="C00000"/>
          <w:lang w:bidi="ar-EG"/>
        </w:rPr>
        <w:t>Getica</w:t>
      </w:r>
      <w:proofErr w:type="spellEnd"/>
      <w:r w:rsidRPr="00126660">
        <w:rPr>
          <w:b/>
          <w:bCs/>
          <w:color w:val="C00000"/>
          <w:lang w:bidi="ar-EG"/>
        </w:rPr>
        <w:t xml:space="preserve">. </w:t>
      </w:r>
    </w:p>
    <w:p w14:paraId="60E6A507" w14:textId="77777777" w:rsidR="00126660" w:rsidRPr="00126660" w:rsidRDefault="00126660" w:rsidP="00126660">
      <w:pPr>
        <w:numPr>
          <w:ilvl w:val="0"/>
          <w:numId w:val="3"/>
        </w:numPr>
        <w:bidi/>
        <w:rPr>
          <w:b/>
          <w:bCs/>
          <w:color w:val="C00000"/>
          <w:lang w:bidi="ar-EG"/>
        </w:rPr>
      </w:pPr>
      <w:r w:rsidRPr="00126660">
        <w:rPr>
          <w:b/>
          <w:bCs/>
          <w:color w:val="C00000"/>
          <w:rtl/>
        </w:rPr>
        <w:t xml:space="preserve">دراسات حديثة عن مصادر السلاف الأوائل، خاصة </w:t>
      </w:r>
      <w:r w:rsidRPr="00126660">
        <w:rPr>
          <w:b/>
          <w:bCs/>
          <w:color w:val="C00000"/>
          <w:lang w:bidi="ar-EG"/>
        </w:rPr>
        <w:t>The Making of the Slavs.</w:t>
      </w:r>
    </w:p>
    <w:p w14:paraId="5A830354" w14:textId="77777777" w:rsidR="00E238EC" w:rsidRDefault="00E238EC" w:rsidP="00E238EC">
      <w:pPr>
        <w:bidi/>
        <w:rPr>
          <w:b/>
          <w:bCs/>
          <w:color w:val="C00000"/>
          <w:lang w:bidi="ar-EG"/>
        </w:rPr>
      </w:pPr>
    </w:p>
    <w:p w14:paraId="7A1AF00B" w14:textId="77777777" w:rsidR="000437B9" w:rsidRDefault="000437B9" w:rsidP="000437B9">
      <w:pPr>
        <w:pBdr>
          <w:bottom w:val="single" w:sz="6" w:space="1" w:color="auto"/>
        </w:pBdr>
        <w:bidi/>
        <w:rPr>
          <w:b/>
          <w:bCs/>
          <w:color w:val="C00000"/>
          <w:lang w:bidi="ar-EG"/>
        </w:rPr>
      </w:pPr>
    </w:p>
    <w:p w14:paraId="79C6BC13" w14:textId="77777777" w:rsidR="000437B9" w:rsidRPr="000437B9" w:rsidRDefault="000437B9" w:rsidP="000437B9">
      <w:pPr>
        <w:bidi/>
        <w:rPr>
          <w:b/>
          <w:bCs/>
          <w:color w:val="C00000"/>
          <w:lang w:bidi="ar-EG"/>
        </w:rPr>
      </w:pPr>
    </w:p>
    <w:sectPr w:rsidR="000437B9" w:rsidRPr="00043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B43B1"/>
    <w:multiLevelType w:val="multilevel"/>
    <w:tmpl w:val="2C3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0803C9"/>
    <w:multiLevelType w:val="multilevel"/>
    <w:tmpl w:val="B19E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6F1668"/>
    <w:multiLevelType w:val="multilevel"/>
    <w:tmpl w:val="70BE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584364">
    <w:abstractNumId w:val="0"/>
  </w:num>
  <w:num w:numId="2" w16cid:durableId="938567028">
    <w:abstractNumId w:val="1"/>
  </w:num>
  <w:num w:numId="3" w16cid:durableId="1627851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92C"/>
    <w:rsid w:val="000437B9"/>
    <w:rsid w:val="00126660"/>
    <w:rsid w:val="0032192C"/>
    <w:rsid w:val="0044067D"/>
    <w:rsid w:val="005669E5"/>
    <w:rsid w:val="0084744B"/>
    <w:rsid w:val="009E573D"/>
    <w:rsid w:val="00A0189E"/>
    <w:rsid w:val="00E238EC"/>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6E946"/>
  <w15:chartTrackingRefBased/>
  <w15:docId w15:val="{2A663F8E-B2F5-4EDA-9181-A275AA798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9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9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92C"/>
    <w:rPr>
      <w:rFonts w:eastAsiaTheme="majorEastAsia" w:cstheme="majorBidi"/>
      <w:color w:val="272727" w:themeColor="text1" w:themeTint="D8"/>
    </w:rPr>
  </w:style>
  <w:style w:type="paragraph" w:styleId="Title">
    <w:name w:val="Title"/>
    <w:basedOn w:val="Normal"/>
    <w:next w:val="Normal"/>
    <w:link w:val="TitleChar"/>
    <w:uiPriority w:val="10"/>
    <w:qFormat/>
    <w:rsid w:val="00321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92C"/>
    <w:pPr>
      <w:spacing w:before="160"/>
      <w:jc w:val="center"/>
    </w:pPr>
    <w:rPr>
      <w:i/>
      <w:iCs/>
      <w:color w:val="404040" w:themeColor="text1" w:themeTint="BF"/>
    </w:rPr>
  </w:style>
  <w:style w:type="character" w:customStyle="1" w:styleId="QuoteChar">
    <w:name w:val="Quote Char"/>
    <w:basedOn w:val="DefaultParagraphFont"/>
    <w:link w:val="Quote"/>
    <w:uiPriority w:val="29"/>
    <w:rsid w:val="0032192C"/>
    <w:rPr>
      <w:i/>
      <w:iCs/>
      <w:color w:val="404040" w:themeColor="text1" w:themeTint="BF"/>
    </w:rPr>
  </w:style>
  <w:style w:type="paragraph" w:styleId="ListParagraph">
    <w:name w:val="List Paragraph"/>
    <w:basedOn w:val="Normal"/>
    <w:uiPriority w:val="34"/>
    <w:qFormat/>
    <w:rsid w:val="0032192C"/>
    <w:pPr>
      <w:ind w:left="720"/>
      <w:contextualSpacing/>
    </w:pPr>
  </w:style>
  <w:style w:type="character" w:styleId="IntenseEmphasis">
    <w:name w:val="Intense Emphasis"/>
    <w:basedOn w:val="DefaultParagraphFont"/>
    <w:uiPriority w:val="21"/>
    <w:qFormat/>
    <w:rsid w:val="0032192C"/>
    <w:rPr>
      <w:i/>
      <w:iCs/>
      <w:color w:val="0F4761" w:themeColor="accent1" w:themeShade="BF"/>
    </w:rPr>
  </w:style>
  <w:style w:type="paragraph" w:styleId="IntenseQuote">
    <w:name w:val="Intense Quote"/>
    <w:basedOn w:val="Normal"/>
    <w:next w:val="Normal"/>
    <w:link w:val="IntenseQuoteChar"/>
    <w:uiPriority w:val="30"/>
    <w:qFormat/>
    <w:rsid w:val="00321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92C"/>
    <w:rPr>
      <w:i/>
      <w:iCs/>
      <w:color w:val="0F4761" w:themeColor="accent1" w:themeShade="BF"/>
    </w:rPr>
  </w:style>
  <w:style w:type="character" w:styleId="IntenseReference">
    <w:name w:val="Intense Reference"/>
    <w:basedOn w:val="DefaultParagraphFont"/>
    <w:uiPriority w:val="32"/>
    <w:qFormat/>
    <w:rsid w:val="003219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20</Pages>
  <Words>8013</Words>
  <Characters>45679</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4</cp:revision>
  <dcterms:created xsi:type="dcterms:W3CDTF">2026-04-05T12:19:00Z</dcterms:created>
  <dcterms:modified xsi:type="dcterms:W3CDTF">2026-04-05T13:24:00Z</dcterms:modified>
</cp:coreProperties>
</file>