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AI Customer Feedback Intelligence System</w:t>
      </w:r>
    </w:p>
    <w:p>
      <w:pPr>
        <w:spacing w:after="40"/>
        <w:jc w:val="center"/>
      </w:pPr>
      <w:r>
        <w:rPr>
          <w:color w:val="595959"/>
          <w:sz w:val="22"/>
          <w:szCs w:val="22"/>
        </w:rPr>
        <w:t xml:space="preserve">Project Report — AI Professional Diploma Graduation Project</w:t>
      </w:r>
    </w:p>
    <w:p>
      <w:pPr>
        <w:spacing w:after="300"/>
        <w:jc w:val="center"/>
      </w:pPr>
      <w:r>
        <w:rPr>
          <w:i/>
          <w:iCs/>
          <w:color w:val="2E75B6"/>
          <w:sz w:val="20"/>
          <w:szCs w:val="20"/>
        </w:rPr>
        <w:t xml:space="preserve">Project 1: Sentiment Classification &amp; Complaint Clustering</w:t>
      </w:r>
    </w:p>
    <w:p>
      <w:pPr>
        <w:pStyle w:val="Heading1"/>
        <w:spacing w:after="160" w:before="320"/>
      </w:pPr>
      <w:r>
        <w:rPr>
          <w:b/>
          <w:bCs/>
          <w:color w:val="1F3864"/>
          <w:sz w:val="30"/>
          <w:szCs w:val="30"/>
        </w:rPr>
        <w:t xml:space="preserve">1. Problem Statement</w:t>
      </w:r>
    </w:p>
    <w:p>
      <w:pPr>
        <w:spacing w:after="160" w:line="276"/>
      </w:pPr>
      <w:r>
        <w:rPr>
          <w:color w:val="262626"/>
          <w:sz w:val="22"/>
          <w:szCs w:val="22"/>
        </w:rPr>
        <w:t xml:space="preserve">Organizations that sell products online receive large volumes of customer reviews through websites, mobile apps, and social media. Reading each review manually to understand customer sentiment or spot recurring problems does not scale, and by the time patterns are noticed by hand, the business opportunity to act on them has often passed.</w:t>
      </w:r>
    </w:p>
    <w:p>
      <w:pPr>
        <w:spacing w:after="160" w:line="276"/>
      </w:pPr>
      <w:r>
        <w:rPr>
          <w:color w:val="262626"/>
          <w:sz w:val="22"/>
          <w:szCs w:val="22"/>
        </w:rPr>
        <w:t xml:space="preserve">This project builds an AI-powered system that automatically analyzes customer reviews for an e-commerce clothing retailer. The system has three goals: (1) classify each review's sentiment as Positive, Neutral, or Negative, (2) automatically group negative reviews into recurring complaint categories, and (3) turn these outputs into business insights the company can act on, such as which product departments need quality improvements.</w:t>
      </w:r>
    </w:p>
    <w:p>
      <w:pPr>
        <w:pStyle w:val="Heading1"/>
        <w:spacing w:after="160" w:before="320"/>
      </w:pPr>
      <w:r>
        <w:rPr>
          <w:b/>
          <w:bCs/>
          <w:color w:val="1F3864"/>
          <w:sz w:val="30"/>
          <w:szCs w:val="30"/>
        </w:rPr>
        <w:t xml:space="preserve">2. Dataset Description</w:t>
      </w:r>
    </w:p>
    <w:p>
      <w:pPr>
        <w:spacing w:after="160" w:line="276"/>
      </w:pPr>
      <w:r>
        <w:rPr>
          <w:color w:val="262626"/>
          <w:sz w:val="22"/>
          <w:szCs w:val="22"/>
        </w:rPr>
        <w:t xml:space="preserve">The project uses the Women's E-Commerce Clothing Reviews dataset, a publicly available dataset of real customer reviews collected from an online clothing retailer.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tcW w:type="dxa" w:w="4000"/>
            <w:shd w:fill="1F3864" w:val="clear"/>
            <w:tcMar>
              <w:top w:type="dxa" w:w="80"/>
              <w:left w:type="dxa" w:w="120"/>
              <w:bottom w:type="dxa" w:w="80"/>
              <w:right w:type="dxa" w:w="120"/>
            </w:tcMar>
          </w:tcPr>
          <w:p>
            <w:pPr>
              <w:jc w:val="left"/>
            </w:pPr>
            <w:r>
              <w:rPr>
                <w:b/>
                <w:bCs/>
                <w:color w:val="FFFFFF"/>
                <w:sz w:val="20"/>
                <w:szCs w:val="20"/>
              </w:rPr>
              <w:t xml:space="preserve">Attribute</w:t>
            </w:r>
          </w:p>
        </w:tc>
        <w:tc>
          <w:tcPr>
            <w:tcW w:type="dxa" w:w="5350"/>
            <w:shd w:fill="1F3864" w:val="clear"/>
            <w:tcMar>
              <w:top w:type="dxa" w:w="80"/>
              <w:left w:type="dxa" w:w="120"/>
              <w:bottom w:type="dxa" w:w="80"/>
              <w:right w:type="dxa" w:w="120"/>
            </w:tcMar>
          </w:tcPr>
          <w:p>
            <w:pPr>
              <w:jc w:val="left"/>
            </w:pPr>
            <w:r>
              <w:rPr>
                <w:b/>
                <w:bCs/>
                <w:color w:val="FFFFFF"/>
                <w:sz w:val="20"/>
                <w:szCs w:val="20"/>
              </w:rPr>
              <w:t xml:space="preserve">Value</w:t>
            </w:r>
          </w:p>
        </w:tc>
      </w:tr>
      <w:tr>
        <w:tc>
          <w:tcPr>
            <w:tcW w:type="dxa" w:w="4000"/>
            <w:shd w:fill="F2F6FA" w:val="clear"/>
            <w:tcMar>
              <w:top w:type="dxa" w:w="80"/>
              <w:left w:type="dxa" w:w="120"/>
              <w:bottom w:type="dxa" w:w="80"/>
              <w:right w:type="dxa" w:w="120"/>
            </w:tcMar>
          </w:tcPr>
          <w:p>
            <w:pPr>
              <w:jc w:val="left"/>
            </w:pPr>
            <w:r>
              <w:rPr>
                <w:b w:val="false"/>
                <w:bCs w:val="false"/>
                <w:color w:val="262626"/>
                <w:sz w:val="20"/>
                <w:szCs w:val="20"/>
              </w:rPr>
              <w:t xml:space="preserve">Raw reviews</w:t>
            </w:r>
          </w:p>
        </w:tc>
        <w:tc>
          <w:tcPr>
            <w:tcW w:type="dxa" w:w="5350"/>
            <w:tcMar>
              <w:top w:type="dxa" w:w="80"/>
              <w:left w:type="dxa" w:w="120"/>
              <w:bottom w:type="dxa" w:w="80"/>
              <w:right w:type="dxa" w:w="120"/>
            </w:tcMar>
          </w:tcPr>
          <w:p>
            <w:pPr>
              <w:jc w:val="left"/>
            </w:pPr>
            <w:r>
              <w:rPr>
                <w:b w:val="false"/>
                <w:bCs w:val="false"/>
                <w:color w:val="262626"/>
                <w:sz w:val="20"/>
                <w:szCs w:val="20"/>
              </w:rPr>
              <w:t xml:space="preserve">23,486 rows, 10 columns</w:t>
            </w:r>
          </w:p>
        </w:tc>
      </w:tr>
      <w:tr>
        <w:tc>
          <w:tcPr>
            <w:tcW w:type="dxa" w:w="4000"/>
            <w:shd w:fill="F2F6FA" w:val="clear"/>
            <w:tcMar>
              <w:top w:type="dxa" w:w="80"/>
              <w:left w:type="dxa" w:w="120"/>
              <w:bottom w:type="dxa" w:w="80"/>
              <w:right w:type="dxa" w:w="120"/>
            </w:tcMar>
          </w:tcPr>
          <w:p>
            <w:pPr>
              <w:jc w:val="left"/>
            </w:pPr>
            <w:r>
              <w:rPr>
                <w:b w:val="false"/>
                <w:bCs w:val="false"/>
                <w:color w:val="262626"/>
                <w:sz w:val="20"/>
                <w:szCs w:val="20"/>
              </w:rPr>
              <w:t xml:space="preserve">Key columns used</w:t>
            </w:r>
          </w:p>
        </w:tc>
        <w:tc>
          <w:tcPr>
            <w:tcW w:type="dxa" w:w="5350"/>
            <w:tcMar>
              <w:top w:type="dxa" w:w="80"/>
              <w:left w:type="dxa" w:w="120"/>
              <w:bottom w:type="dxa" w:w="80"/>
              <w:right w:type="dxa" w:w="120"/>
            </w:tcMar>
          </w:tcPr>
          <w:p>
            <w:pPr>
              <w:jc w:val="left"/>
            </w:pPr>
            <w:r>
              <w:rPr>
                <w:b w:val="false"/>
                <w:bCs w:val="false"/>
                <w:color w:val="262626"/>
                <w:sz w:val="20"/>
                <w:szCs w:val="20"/>
              </w:rPr>
              <w:t xml:space="preserve">Review Text, Title, Rating, Recommended IND, Division/Department/Class Name</w:t>
            </w:r>
          </w:p>
        </w:tc>
      </w:tr>
      <w:tr>
        <w:tc>
          <w:tcPr>
            <w:tcW w:type="dxa" w:w="4000"/>
            <w:shd w:fill="F2F6FA" w:val="clear"/>
            <w:tcMar>
              <w:top w:type="dxa" w:w="80"/>
              <w:left w:type="dxa" w:w="120"/>
              <w:bottom w:type="dxa" w:w="80"/>
              <w:right w:type="dxa" w:w="120"/>
            </w:tcMar>
          </w:tcPr>
          <w:p>
            <w:pPr>
              <w:jc w:val="left"/>
            </w:pPr>
            <w:r>
              <w:rPr>
                <w:b w:val="false"/>
                <w:bCs w:val="false"/>
                <w:color w:val="262626"/>
                <w:sz w:val="20"/>
                <w:szCs w:val="20"/>
              </w:rPr>
              <w:t xml:space="preserve">Missing values</w:t>
            </w:r>
          </w:p>
        </w:tc>
        <w:tc>
          <w:tcPr>
            <w:tcW w:type="dxa" w:w="5350"/>
            <w:tcMar>
              <w:top w:type="dxa" w:w="80"/>
              <w:left w:type="dxa" w:w="120"/>
              <w:bottom w:type="dxa" w:w="80"/>
              <w:right w:type="dxa" w:w="120"/>
            </w:tcMar>
          </w:tcPr>
          <w:p>
            <w:pPr>
              <w:jc w:val="left"/>
            </w:pPr>
            <w:r>
              <w:rPr>
                <w:b w:val="false"/>
                <w:bCs w:val="false"/>
                <w:color w:val="262626"/>
                <w:sz w:val="20"/>
                <w:szCs w:val="20"/>
              </w:rPr>
              <w:t xml:space="preserve">Title: 3,810  |  Review Text: 845  |  Division/Department/Class: 14 each</w:t>
            </w:r>
          </w:p>
        </w:tc>
      </w:tr>
      <w:tr>
        <w:tc>
          <w:tcPr>
            <w:tcW w:type="dxa" w:w="4000"/>
            <w:shd w:fill="F2F6FA" w:val="clear"/>
            <w:tcMar>
              <w:top w:type="dxa" w:w="80"/>
              <w:left w:type="dxa" w:w="120"/>
              <w:bottom w:type="dxa" w:w="80"/>
              <w:right w:type="dxa" w:w="120"/>
            </w:tcMar>
          </w:tcPr>
          <w:p>
            <w:pPr>
              <w:jc w:val="left"/>
            </w:pPr>
            <w:r>
              <w:rPr>
                <w:b w:val="false"/>
                <w:bCs w:val="false"/>
                <w:color w:val="262626"/>
                <w:sz w:val="20"/>
                <w:szCs w:val="20"/>
              </w:rPr>
              <w:t xml:space="preserve">Duplicate rows</w:t>
            </w:r>
          </w:p>
        </w:tc>
        <w:tc>
          <w:tcPr>
            <w:tcW w:type="dxa" w:w="5350"/>
            <w:tcMar>
              <w:top w:type="dxa" w:w="80"/>
              <w:left w:type="dxa" w:w="120"/>
              <w:bottom w:type="dxa" w:w="80"/>
              <w:right w:type="dxa" w:w="120"/>
            </w:tcMar>
          </w:tcPr>
          <w:p>
            <w:pPr>
              <w:jc w:val="left"/>
            </w:pPr>
            <w:r>
              <w:rPr>
                <w:b w:val="false"/>
                <w:bCs w:val="false"/>
                <w:color w:val="262626"/>
                <w:sz w:val="20"/>
                <w:szCs w:val="20"/>
              </w:rPr>
              <w:t xml:space="preserve">21 found in raw data; 5 remained after removing missing-text rows and were dropped</w:t>
            </w:r>
          </w:p>
        </w:tc>
      </w:tr>
      <w:tr>
        <w:tc>
          <w:tcPr>
            <w:tcW w:type="dxa" w:w="4000"/>
            <w:shd w:fill="F2F6FA" w:val="clear"/>
            <w:tcMar>
              <w:top w:type="dxa" w:w="80"/>
              <w:left w:type="dxa" w:w="120"/>
              <w:bottom w:type="dxa" w:w="80"/>
              <w:right w:type="dxa" w:w="120"/>
            </w:tcMar>
          </w:tcPr>
          <w:p>
            <w:pPr>
              <w:jc w:val="left"/>
            </w:pPr>
            <w:r>
              <w:rPr>
                <w:b w:val="false"/>
                <w:bCs w:val="false"/>
                <w:color w:val="262626"/>
                <w:sz w:val="20"/>
                <w:szCs w:val="20"/>
              </w:rPr>
              <w:t xml:space="preserve">Cleaned dataset</w:t>
            </w:r>
          </w:p>
        </w:tc>
        <w:tc>
          <w:tcPr>
            <w:tcW w:type="dxa" w:w="5350"/>
            <w:tcMar>
              <w:top w:type="dxa" w:w="80"/>
              <w:left w:type="dxa" w:w="120"/>
              <w:bottom w:type="dxa" w:w="80"/>
              <w:right w:type="dxa" w:w="120"/>
            </w:tcMar>
          </w:tcPr>
          <w:p>
            <w:pPr>
              <w:jc w:val="left"/>
            </w:pPr>
            <w:r>
              <w:rPr>
                <w:b w:val="false"/>
                <w:bCs w:val="false"/>
                <w:color w:val="262626"/>
                <w:sz w:val="20"/>
                <w:szCs w:val="20"/>
              </w:rPr>
              <w:t xml:space="preserve">22,623 rows, 11 columns (after adding derived columns)</w:t>
            </w:r>
          </w:p>
        </w:tc>
      </w:tr>
    </w:tbl>
    <w:p>
      <w:pPr>
        <w:spacing w:after="120" w:before="200"/>
      </w:pPr>
    </w:p>
    <w:p>
      <w:pPr>
        <w:spacing w:after="160" w:line="276"/>
      </w:pPr>
      <w:r>
        <w:rPr>
          <w:color w:val="262626"/>
          <w:sz w:val="22"/>
          <w:szCs w:val="22"/>
        </w:rPr>
        <w:t xml:space="preserve">The dataset does not ship with a ready-made sentiment label, so one was derived from the Rating column (1–5 stars), following a standard convention used in review-analysis literature: ratings of 4–5 map to Positive, a rating of 3 maps to Neutral, and ratings of 1–2 map to Negative. After cleaning, the sentiment distribution was: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F3864" w:val="clear"/>
            <w:tcMar>
              <w:top w:type="dxa" w:w="80"/>
              <w:left w:type="dxa" w:w="120"/>
              <w:bottom w:type="dxa" w:w="80"/>
              <w:right w:type="dxa" w:w="120"/>
            </w:tcMar>
          </w:tcPr>
          <w:p>
            <w:pPr>
              <w:jc w:val="left"/>
            </w:pPr>
            <w:r>
              <w:rPr>
                <w:b/>
                <w:bCs/>
                <w:color w:val="FFFFFF"/>
                <w:sz w:val="20"/>
                <w:szCs w:val="20"/>
              </w:rPr>
              <w:t xml:space="preserve">Sentiment</w:t>
            </w:r>
          </w:p>
        </w:tc>
        <w:tc>
          <w:tcPr>
            <w:tcW w:type="dxa" w:w="3117"/>
            <w:shd w:fill="1F3864" w:val="clear"/>
            <w:tcMar>
              <w:top w:type="dxa" w:w="80"/>
              <w:left w:type="dxa" w:w="120"/>
              <w:bottom w:type="dxa" w:w="80"/>
              <w:right w:type="dxa" w:w="120"/>
            </w:tcMar>
          </w:tcPr>
          <w:p>
            <w:pPr>
              <w:jc w:val="left"/>
            </w:pPr>
            <w:r>
              <w:rPr>
                <w:b/>
                <w:bCs/>
                <w:color w:val="FFFFFF"/>
                <w:sz w:val="20"/>
                <w:szCs w:val="20"/>
              </w:rPr>
              <w:t xml:space="preserve">Review Count</w:t>
            </w:r>
          </w:p>
        </w:tc>
        <w:tc>
          <w:tcPr>
            <w:tcW w:type="dxa" w:w="3116"/>
            <w:shd w:fill="1F3864" w:val="clear"/>
            <w:tcMar>
              <w:top w:type="dxa" w:w="80"/>
              <w:left w:type="dxa" w:w="120"/>
              <w:bottom w:type="dxa" w:w="80"/>
              <w:right w:type="dxa" w:w="120"/>
            </w:tcMar>
          </w:tcPr>
          <w:p>
            <w:pPr>
              <w:jc w:val="left"/>
            </w:pPr>
            <w:r>
              <w:rPr>
                <w:b/>
                <w:bCs/>
                <w:color w:val="FFFFFF"/>
                <w:sz w:val="20"/>
                <w:szCs w:val="20"/>
              </w:rPr>
              <w:t xml:space="preserve">Share of Data</w:t>
            </w:r>
          </w:p>
        </w:tc>
      </w:tr>
      <w:tr>
        <w:tc>
          <w:tcPr>
            <w:tcW w:type="dxa" w:w="3117"/>
            <w:shd w:fill="F2F6FA" w:val="clear"/>
            <w:tcMar>
              <w:top w:type="dxa" w:w="80"/>
              <w:left w:type="dxa" w:w="120"/>
              <w:bottom w:type="dxa" w:w="80"/>
              <w:right w:type="dxa" w:w="120"/>
            </w:tcMar>
          </w:tcPr>
          <w:p>
            <w:pPr>
              <w:jc w:val="left"/>
            </w:pPr>
            <w:r>
              <w:rPr>
                <w:b w:val="false"/>
                <w:bCs w:val="false"/>
                <w:color w:val="262626"/>
                <w:sz w:val="20"/>
                <w:szCs w:val="20"/>
              </w:rPr>
              <w:t xml:space="preserve">Positive</w:t>
            </w:r>
          </w:p>
        </w:tc>
        <w:tc>
          <w:tcPr>
            <w:tcW w:type="dxa" w:w="3117"/>
            <w:tcMar>
              <w:top w:type="dxa" w:w="80"/>
              <w:left w:type="dxa" w:w="120"/>
              <w:bottom w:type="dxa" w:w="80"/>
              <w:right w:type="dxa" w:w="120"/>
            </w:tcMar>
          </w:tcPr>
          <w:p>
            <w:pPr>
              <w:jc w:val="left"/>
            </w:pPr>
            <w:r>
              <w:rPr>
                <w:b w:val="false"/>
                <w:bCs w:val="false"/>
                <w:color w:val="262626"/>
                <w:sz w:val="20"/>
                <w:szCs w:val="20"/>
              </w:rPr>
              <w:t xml:space="preserve">17,430</w:t>
            </w:r>
          </w:p>
        </w:tc>
        <w:tc>
          <w:tcPr>
            <w:tcW w:type="dxa" w:w="3116"/>
            <w:tcMar>
              <w:top w:type="dxa" w:w="80"/>
              <w:left w:type="dxa" w:w="120"/>
              <w:bottom w:type="dxa" w:w="80"/>
              <w:right w:type="dxa" w:w="120"/>
            </w:tcMar>
          </w:tcPr>
          <w:p>
            <w:pPr>
              <w:jc w:val="left"/>
            </w:pPr>
            <w:r>
              <w:rPr>
                <w:b w:val="false"/>
                <w:bCs w:val="false"/>
                <w:color w:val="262626"/>
                <w:sz w:val="20"/>
                <w:szCs w:val="20"/>
              </w:rPr>
              <w:t xml:space="preserve">77.0%</w:t>
            </w:r>
          </w:p>
        </w:tc>
      </w:tr>
      <w:tr>
        <w:tc>
          <w:tcPr>
            <w:tcW w:type="dxa" w:w="3117"/>
            <w:shd w:fill="F2F6FA" w:val="clear"/>
            <w:tcMar>
              <w:top w:type="dxa" w:w="80"/>
              <w:left w:type="dxa" w:w="120"/>
              <w:bottom w:type="dxa" w:w="80"/>
              <w:right w:type="dxa" w:w="120"/>
            </w:tcMar>
          </w:tcPr>
          <w:p>
            <w:pPr>
              <w:jc w:val="left"/>
            </w:pPr>
            <w:r>
              <w:rPr>
                <w:b w:val="false"/>
                <w:bCs w:val="false"/>
                <w:color w:val="262626"/>
                <w:sz w:val="20"/>
                <w:szCs w:val="20"/>
              </w:rPr>
              <w:t xml:space="preserve">Neutral</w:t>
            </w:r>
          </w:p>
        </w:tc>
        <w:tc>
          <w:tcPr>
            <w:tcW w:type="dxa" w:w="3117"/>
            <w:tcMar>
              <w:top w:type="dxa" w:w="80"/>
              <w:left w:type="dxa" w:w="120"/>
              <w:bottom w:type="dxa" w:w="80"/>
              <w:right w:type="dxa" w:w="120"/>
            </w:tcMar>
          </w:tcPr>
          <w:p>
            <w:pPr>
              <w:jc w:val="left"/>
            </w:pPr>
            <w:r>
              <w:rPr>
                <w:b w:val="false"/>
                <w:bCs w:val="false"/>
                <w:color w:val="262626"/>
                <w:sz w:val="20"/>
                <w:szCs w:val="20"/>
              </w:rPr>
              <w:t xml:space="preserve">2,823</w:t>
            </w:r>
          </w:p>
        </w:tc>
        <w:tc>
          <w:tcPr>
            <w:tcW w:type="dxa" w:w="3116"/>
            <w:tcMar>
              <w:top w:type="dxa" w:w="80"/>
              <w:left w:type="dxa" w:w="120"/>
              <w:bottom w:type="dxa" w:w="80"/>
              <w:right w:type="dxa" w:w="120"/>
            </w:tcMar>
          </w:tcPr>
          <w:p>
            <w:pPr>
              <w:jc w:val="left"/>
            </w:pPr>
            <w:r>
              <w:rPr>
                <w:b w:val="false"/>
                <w:bCs w:val="false"/>
                <w:color w:val="262626"/>
                <w:sz w:val="20"/>
                <w:szCs w:val="20"/>
              </w:rPr>
              <w:t xml:space="preserve">12.5%</w:t>
            </w:r>
          </w:p>
        </w:tc>
      </w:tr>
      <w:tr>
        <w:tc>
          <w:tcPr>
            <w:tcW w:type="dxa" w:w="3117"/>
            <w:shd w:fill="F2F6FA" w:val="clear"/>
            <w:tcMar>
              <w:top w:type="dxa" w:w="80"/>
              <w:left w:type="dxa" w:w="120"/>
              <w:bottom w:type="dxa" w:w="80"/>
              <w:right w:type="dxa" w:w="120"/>
            </w:tcMar>
          </w:tcPr>
          <w:p>
            <w:pPr>
              <w:jc w:val="left"/>
            </w:pPr>
            <w:r>
              <w:rPr>
                <w:b w:val="false"/>
                <w:bCs w:val="false"/>
                <w:color w:val="262626"/>
                <w:sz w:val="20"/>
                <w:szCs w:val="20"/>
              </w:rPr>
              <w:t xml:space="preserve">Negative</w:t>
            </w:r>
          </w:p>
        </w:tc>
        <w:tc>
          <w:tcPr>
            <w:tcW w:type="dxa" w:w="3117"/>
            <w:tcMar>
              <w:top w:type="dxa" w:w="80"/>
              <w:left w:type="dxa" w:w="120"/>
              <w:bottom w:type="dxa" w:w="80"/>
              <w:right w:type="dxa" w:w="120"/>
            </w:tcMar>
          </w:tcPr>
          <w:p>
            <w:pPr>
              <w:jc w:val="left"/>
            </w:pPr>
            <w:r>
              <w:rPr>
                <w:b w:val="false"/>
                <w:bCs w:val="false"/>
                <w:color w:val="262626"/>
                <w:sz w:val="20"/>
                <w:szCs w:val="20"/>
              </w:rPr>
              <w:t xml:space="preserve">2,370</w:t>
            </w:r>
          </w:p>
        </w:tc>
        <w:tc>
          <w:tcPr>
            <w:tcW w:type="dxa" w:w="3116"/>
            <w:tcMar>
              <w:top w:type="dxa" w:w="80"/>
              <w:left w:type="dxa" w:w="120"/>
              <w:bottom w:type="dxa" w:w="80"/>
              <w:right w:type="dxa" w:w="120"/>
            </w:tcMar>
          </w:tcPr>
          <w:p>
            <w:pPr>
              <w:jc w:val="left"/>
            </w:pPr>
            <w:r>
              <w:rPr>
                <w:b w:val="false"/>
                <w:bCs w:val="false"/>
                <w:color w:val="262626"/>
                <w:sz w:val="20"/>
                <w:szCs w:val="20"/>
              </w:rPr>
              <w:t xml:space="preserve">10.5%</w:t>
            </w:r>
          </w:p>
        </w:tc>
      </w:tr>
    </w:tbl>
    <w:p>
      <w:r>
        <w:br w:type="page"/>
      </w:r>
    </w:p>
    <w:p>
      <w:pPr>
        <w:pStyle w:val="Heading1"/>
        <w:spacing w:after="160" w:before="320"/>
      </w:pPr>
      <w:r>
        <w:rPr>
          <w:b/>
          <w:bCs/>
          <w:color w:val="1F3864"/>
          <w:sz w:val="30"/>
          <w:szCs w:val="30"/>
        </w:rPr>
        <w:t xml:space="preserve">3. Methodology</w:t>
      </w:r>
    </w:p>
    <w:p>
      <w:pPr>
        <w:pStyle w:val="Heading2"/>
        <w:spacing w:after="120" w:before="240"/>
      </w:pPr>
      <w:r>
        <w:rPr>
          <w:b/>
          <w:bCs/>
          <w:color w:val="2E75B6"/>
          <w:sz w:val="24"/>
          <w:szCs w:val="24"/>
        </w:rPr>
        <w:t xml:space="preserve">3.1 Data Preparation</w:t>
      </w:r>
    </w:p>
    <w:p>
      <w:pPr>
        <w:pStyle w:val="ListParagraph"/>
        <w:numPr>
          <w:ilvl w:val="0"/>
          <w:numId w:val="1"/>
        </w:numPr>
        <w:spacing w:after="80"/>
      </w:pPr>
      <w:r>
        <w:rPr>
          <w:color w:val="262626"/>
          <w:sz w:val="22"/>
          <w:szCs w:val="22"/>
        </w:rPr>
        <w:t xml:space="preserve">Removed rows with a missing Review Text, since sentiment cannot be inferred without it.</w:t>
      </w:r>
    </w:p>
    <w:p>
      <w:pPr>
        <w:pStyle w:val="ListParagraph"/>
        <w:numPr>
          <w:ilvl w:val="0"/>
          <w:numId w:val="1"/>
        </w:numPr>
        <w:spacing w:after="80"/>
      </w:pPr>
      <w:r>
        <w:rPr>
          <w:color w:val="262626"/>
          <w:sz w:val="22"/>
          <w:szCs w:val="22"/>
        </w:rPr>
        <w:t xml:space="preserve">Combined the Title and Review Text into a single Full_Review field to capture more context.</w:t>
      </w:r>
    </w:p>
    <w:p>
      <w:pPr>
        <w:pStyle w:val="ListParagraph"/>
        <w:numPr>
          <w:ilvl w:val="0"/>
          <w:numId w:val="1"/>
        </w:numPr>
        <w:spacing w:after="80"/>
      </w:pPr>
      <w:r>
        <w:rPr>
          <w:color w:val="262626"/>
          <w:sz w:val="22"/>
          <w:szCs w:val="22"/>
        </w:rPr>
        <w:t xml:space="preserve">Dropped the small number of rows with missing product category fields.</w:t>
      </w:r>
    </w:p>
    <w:p>
      <w:pPr>
        <w:pStyle w:val="ListParagraph"/>
        <w:numPr>
          <w:ilvl w:val="0"/>
          <w:numId w:val="1"/>
        </w:numPr>
        <w:spacing w:after="80"/>
      </w:pPr>
      <w:r>
        <w:rPr>
          <w:color w:val="262626"/>
          <w:sz w:val="22"/>
          <w:szCs w:val="22"/>
        </w:rPr>
        <w:t xml:space="preserve">Removed duplicate reviews to prevent the models from over-weighting repeated text.</w:t>
      </w:r>
    </w:p>
    <w:p>
      <w:pPr>
        <w:pStyle w:val="Heading2"/>
        <w:spacing w:after="120" w:before="240"/>
      </w:pPr>
      <w:r>
        <w:rPr>
          <w:b/>
          <w:bCs/>
          <w:color w:val="2E75B6"/>
          <w:sz w:val="24"/>
          <w:szCs w:val="24"/>
        </w:rPr>
        <w:t xml:space="preserve">3.2 NLP Processing</w:t>
      </w:r>
    </w:p>
    <w:p>
      <w:pPr>
        <w:pStyle w:val="ListParagraph"/>
        <w:numPr>
          <w:ilvl w:val="0"/>
          <w:numId w:val="1"/>
        </w:numPr>
        <w:spacing w:after="80"/>
      </w:pPr>
      <w:r>
        <w:rPr>
          <w:color w:val="262626"/>
          <w:sz w:val="22"/>
          <w:szCs w:val="22"/>
        </w:rPr>
        <w:t xml:space="preserve">Lower-cased all text and stripped punctuation and digits.</w:t>
      </w:r>
    </w:p>
    <w:p>
      <w:pPr>
        <w:pStyle w:val="ListParagraph"/>
        <w:numPr>
          <w:ilvl w:val="0"/>
          <w:numId w:val="1"/>
        </w:numPr>
        <w:spacing w:after="80"/>
      </w:pPr>
      <w:r>
        <w:rPr>
          <w:color w:val="262626"/>
          <w:sz w:val="22"/>
          <w:szCs w:val="22"/>
        </w:rPr>
        <w:t xml:space="preserve">Tokenized text into words and removed English stopwords (e.g. "the", "and", "is") using NLTK.</w:t>
      </w:r>
    </w:p>
    <w:p>
      <w:pPr>
        <w:pStyle w:val="ListParagraph"/>
        <w:numPr>
          <w:ilvl w:val="0"/>
          <w:numId w:val="1"/>
        </w:numPr>
        <w:spacing w:after="80"/>
      </w:pPr>
      <w:r>
        <w:rPr>
          <w:color w:val="262626"/>
          <w:sz w:val="22"/>
          <w:szCs w:val="22"/>
        </w:rPr>
        <w:t xml:space="preserve">Vectorized the cleaned text with TF-IDF, using unigrams and bigrams and a vocabulary capped at 5,000 terms.</w:t>
      </w:r>
    </w:p>
    <w:p>
      <w:pPr>
        <w:pStyle w:val="Heading2"/>
        <w:spacing w:after="120" w:before="240"/>
      </w:pPr>
      <w:r>
        <w:rPr>
          <w:b/>
          <w:bCs/>
          <w:color w:val="2E75B6"/>
          <w:sz w:val="24"/>
          <w:szCs w:val="24"/>
        </w:rPr>
        <w:t xml:space="preserve">3.3 Model Development</w:t>
      </w:r>
    </w:p>
    <w:p>
      <w:pPr>
        <w:spacing w:after="160" w:line="276"/>
      </w:pPr>
      <w:r>
        <w:rPr>
          <w:color w:val="262626"/>
          <w:sz w:val="22"/>
          <w:szCs w:val="22"/>
        </w:rPr>
        <w:t xml:space="preserve">Two supervised classification models were required by the brief; a third was added as a bonus comparison point. All three were trained on an 80/20 train-test split (stratified by sentiment class) to predict Sentiment from the TF-IDF features:</w:t>
      </w:r>
    </w:p>
    <w:p>
      <w:pPr>
        <w:pStyle w:val="ListParagraph"/>
        <w:numPr>
          <w:ilvl w:val="0"/>
          <w:numId w:val="1"/>
        </w:numPr>
        <w:spacing w:after="80"/>
      </w:pPr>
      <w:r>
        <w:rPr>
          <w:color w:val="262626"/>
          <w:sz w:val="22"/>
          <w:szCs w:val="22"/>
        </w:rPr>
        <w:t xml:space="preserve">Logistic Regression (class-balanced weighting, max_iter = 1000)</w:t>
      </w:r>
    </w:p>
    <w:p>
      <w:pPr>
        <w:pStyle w:val="ListParagraph"/>
        <w:numPr>
          <w:ilvl w:val="0"/>
          <w:numId w:val="1"/>
        </w:numPr>
        <w:spacing w:after="80"/>
      </w:pPr>
      <w:r>
        <w:rPr>
          <w:color w:val="262626"/>
          <w:sz w:val="22"/>
          <w:szCs w:val="22"/>
        </w:rPr>
        <w:t xml:space="preserve">Random Forest (200 trees, max depth 30, class-balanced weighting)</w:t>
      </w:r>
    </w:p>
    <w:p>
      <w:pPr>
        <w:pStyle w:val="ListParagraph"/>
        <w:numPr>
          <w:ilvl w:val="0"/>
          <w:numId w:val="1"/>
        </w:numPr>
        <w:spacing w:after="80"/>
      </w:pPr>
      <w:r>
        <w:rPr>
          <w:color w:val="262626"/>
          <w:sz w:val="22"/>
          <w:szCs w:val="22"/>
        </w:rPr>
        <w:t xml:space="preserve">Multinomial Naive Bayes (bonus 3rd model, alpha = 0.5)</w:t>
      </w:r>
    </w:p>
    <w:p>
      <w:pPr>
        <w:spacing w:after="160" w:line="276"/>
      </w:pPr>
      <w:r>
        <w:rPr>
          <w:color w:val="262626"/>
          <w:sz w:val="22"/>
          <w:szCs w:val="22"/>
        </w:rPr>
        <w:t xml:space="preserve">Class weighting was used in the first two models because the dataset is imbalanced (77% Positive vs. ~11% Negative), which would otherwise bias the models toward always predicting "Positive".</w:t>
      </w:r>
    </w:p>
    <w:p>
      <w:pPr>
        <w:pStyle w:val="Heading2"/>
        <w:spacing w:after="120" w:before="240"/>
      </w:pPr>
      <w:r>
        <w:rPr>
          <w:b/>
          <w:bCs/>
          <w:color w:val="2E75B6"/>
          <w:sz w:val="24"/>
          <w:szCs w:val="24"/>
        </w:rPr>
        <w:t xml:space="preserve">3.4 Unsupervised Complaint Clustering</w:t>
      </w:r>
    </w:p>
    <w:p>
      <w:pPr>
        <w:spacing w:after="160" w:line="276"/>
      </w:pPr>
      <w:r>
        <w:rPr>
          <w:color w:val="262626"/>
          <w:sz w:val="22"/>
          <w:szCs w:val="22"/>
        </w:rPr>
        <w:t xml:space="preserve">To identify recurring complaint themes, K-Means clustering was applied to a separate TF-IDF representation of only the Negative reviews (2,370 reviews). The optimal number of clusters was estimated using the elbow method, and K = 5 was selected.</w:t>
      </w:r>
    </w:p>
    <w:p>
      <w:pPr>
        <w:pStyle w:val="Heading1"/>
        <w:spacing w:after="160" w:before="320"/>
      </w:pPr>
      <w:r>
        <w:rPr>
          <w:b/>
          <w:bCs/>
          <w:color w:val="1F3864"/>
          <w:sz w:val="30"/>
          <w:szCs w:val="30"/>
        </w:rPr>
        <w:t xml:space="preserve">4. Results</w:t>
      </w:r>
    </w:p>
    <w:p>
      <w:pPr>
        <w:pStyle w:val="Heading2"/>
        <w:spacing w:after="120" w:before="240"/>
      </w:pPr>
      <w:r>
        <w:rPr>
          <w:b/>
          <w:bCs/>
          <w:color w:val="2E75B6"/>
          <w:sz w:val="24"/>
          <w:szCs w:val="24"/>
        </w:rPr>
        <w:t xml:space="preserve">4.1 Classification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87"/>
        <w:gridCol w:w="1687"/>
        <w:gridCol w:w="1687"/>
        <w:gridCol w:w="1689"/>
      </w:tblGrid>
      <w:tr>
        <w:trPr>
          <w:tblHeader/>
        </w:trPr>
        <w:tc>
          <w:tcPr>
            <w:tcW w:type="dxa" w:w="2600"/>
            <w:shd w:fill="1F3864" w:val="clear"/>
            <w:tcMar>
              <w:top w:type="dxa" w:w="80"/>
              <w:left w:type="dxa" w:w="120"/>
              <w:bottom w:type="dxa" w:w="80"/>
              <w:right w:type="dxa" w:w="120"/>
            </w:tcMar>
          </w:tcPr>
          <w:p>
            <w:pPr>
              <w:jc w:val="left"/>
            </w:pPr>
            <w:r>
              <w:rPr>
                <w:b/>
                <w:bCs/>
                <w:color w:val="FFFFFF"/>
                <w:sz w:val="20"/>
                <w:szCs w:val="20"/>
              </w:rPr>
              <w:t xml:space="preserve">Model</w:t>
            </w:r>
          </w:p>
        </w:tc>
        <w:tc>
          <w:tcPr>
            <w:tcW w:type="dxa" w:w="1687"/>
            <w:shd w:fill="1F3864" w:val="clear"/>
            <w:tcMar>
              <w:top w:type="dxa" w:w="80"/>
              <w:left w:type="dxa" w:w="120"/>
              <w:bottom w:type="dxa" w:w="80"/>
              <w:right w:type="dxa" w:w="120"/>
            </w:tcMar>
          </w:tcPr>
          <w:p>
            <w:pPr>
              <w:jc w:val="center"/>
            </w:pPr>
            <w:r>
              <w:rPr>
                <w:b/>
                <w:bCs/>
                <w:color w:val="FFFFFF"/>
                <w:sz w:val="20"/>
                <w:szCs w:val="20"/>
              </w:rPr>
              <w:t xml:space="preserve">Accuracy</w:t>
            </w:r>
          </w:p>
        </w:tc>
        <w:tc>
          <w:tcPr>
            <w:tcW w:type="dxa" w:w="1687"/>
            <w:shd w:fill="1F3864" w:val="clear"/>
            <w:tcMar>
              <w:top w:type="dxa" w:w="80"/>
              <w:left w:type="dxa" w:w="120"/>
              <w:bottom w:type="dxa" w:w="80"/>
              <w:right w:type="dxa" w:w="120"/>
            </w:tcMar>
          </w:tcPr>
          <w:p>
            <w:pPr>
              <w:jc w:val="center"/>
            </w:pPr>
            <w:r>
              <w:rPr>
                <w:b/>
                <w:bCs/>
                <w:color w:val="FFFFFF"/>
                <w:sz w:val="20"/>
                <w:szCs w:val="20"/>
              </w:rPr>
              <w:t xml:space="preserve">Precision (wtd)</w:t>
            </w:r>
          </w:p>
        </w:tc>
        <w:tc>
          <w:tcPr>
            <w:tcW w:type="dxa" w:w="1687"/>
            <w:shd w:fill="1F3864" w:val="clear"/>
            <w:tcMar>
              <w:top w:type="dxa" w:w="80"/>
              <w:left w:type="dxa" w:w="120"/>
              <w:bottom w:type="dxa" w:w="80"/>
              <w:right w:type="dxa" w:w="120"/>
            </w:tcMar>
          </w:tcPr>
          <w:p>
            <w:pPr>
              <w:jc w:val="center"/>
            </w:pPr>
            <w:r>
              <w:rPr>
                <w:b/>
                <w:bCs/>
                <w:color w:val="FFFFFF"/>
                <w:sz w:val="20"/>
                <w:szCs w:val="20"/>
              </w:rPr>
              <w:t xml:space="preserve">Recall (wtd)</w:t>
            </w:r>
          </w:p>
        </w:tc>
        <w:tc>
          <w:tcPr>
            <w:tcW w:type="dxa" w:w="1689"/>
            <w:shd w:fill="1F3864" w:val="clear"/>
            <w:tcMar>
              <w:top w:type="dxa" w:w="80"/>
              <w:left w:type="dxa" w:w="120"/>
              <w:bottom w:type="dxa" w:w="80"/>
              <w:right w:type="dxa" w:w="120"/>
            </w:tcMar>
          </w:tcPr>
          <w:p>
            <w:pPr>
              <w:jc w:val="center"/>
            </w:pPr>
            <w:r>
              <w:rPr>
                <w:b/>
                <w:bCs/>
                <w:color w:val="FFFFFF"/>
                <w:sz w:val="20"/>
                <w:szCs w:val="20"/>
              </w:rPr>
              <w:t xml:space="preserve">F1 (wtd)</w:t>
            </w:r>
          </w:p>
        </w:tc>
      </w:tr>
      <w:tr>
        <w:tc>
          <w:tcPr>
            <w:tcW w:type="dxa" w:w="2600"/>
            <w:shd w:fill="F2F6FA" w:val="clear"/>
            <w:tcMar>
              <w:top w:type="dxa" w:w="80"/>
              <w:left w:type="dxa" w:w="120"/>
              <w:bottom w:type="dxa" w:w="80"/>
              <w:right w:type="dxa" w:w="120"/>
            </w:tcMar>
          </w:tcPr>
          <w:p>
            <w:pPr>
              <w:jc w:val="left"/>
            </w:pPr>
            <w:r>
              <w:rPr>
                <w:b w:val="false"/>
                <w:bCs w:val="false"/>
                <w:color w:val="262626"/>
                <w:sz w:val="20"/>
                <w:szCs w:val="20"/>
              </w:rPr>
              <w:t xml:space="preserve">Logistic Regression</w:t>
            </w:r>
          </w:p>
        </w:tc>
        <w:tc>
          <w:tcPr>
            <w:tcW w:type="dxa" w:w="1687"/>
            <w:tcMar>
              <w:top w:type="dxa" w:w="80"/>
              <w:left w:type="dxa" w:w="120"/>
              <w:bottom w:type="dxa" w:w="80"/>
              <w:right w:type="dxa" w:w="120"/>
            </w:tcMar>
          </w:tcPr>
          <w:p>
            <w:pPr>
              <w:jc w:val="center"/>
            </w:pPr>
            <w:r>
              <w:rPr>
                <w:b w:val="false"/>
                <w:bCs w:val="false"/>
                <w:color w:val="262626"/>
                <w:sz w:val="20"/>
                <w:szCs w:val="20"/>
              </w:rPr>
              <w:t xml:space="preserve">79.6%</w:t>
            </w:r>
          </w:p>
        </w:tc>
        <w:tc>
          <w:tcPr>
            <w:tcW w:type="dxa" w:w="1687"/>
            <w:tcMar>
              <w:top w:type="dxa" w:w="80"/>
              <w:left w:type="dxa" w:w="120"/>
              <w:bottom w:type="dxa" w:w="80"/>
              <w:right w:type="dxa" w:w="120"/>
            </w:tcMar>
          </w:tcPr>
          <w:p>
            <w:pPr>
              <w:jc w:val="center"/>
            </w:pPr>
            <w:r>
              <w:rPr>
                <w:b w:val="false"/>
                <w:bCs w:val="false"/>
                <w:color w:val="262626"/>
                <w:sz w:val="20"/>
                <w:szCs w:val="20"/>
              </w:rPr>
              <w:t xml:space="preserve">0.837</w:t>
            </w:r>
          </w:p>
        </w:tc>
        <w:tc>
          <w:tcPr>
            <w:tcW w:type="dxa" w:w="1687"/>
            <w:tcMar>
              <w:top w:type="dxa" w:w="80"/>
              <w:left w:type="dxa" w:w="120"/>
              <w:bottom w:type="dxa" w:w="80"/>
              <w:right w:type="dxa" w:w="120"/>
            </w:tcMar>
          </w:tcPr>
          <w:p>
            <w:pPr>
              <w:jc w:val="center"/>
            </w:pPr>
            <w:r>
              <w:rPr>
                <w:b w:val="false"/>
                <w:bCs w:val="false"/>
                <w:color w:val="262626"/>
                <w:sz w:val="20"/>
                <w:szCs w:val="20"/>
              </w:rPr>
              <w:t xml:space="preserve">0.796</w:t>
            </w:r>
          </w:p>
        </w:tc>
        <w:tc>
          <w:tcPr>
            <w:tcW w:type="dxa" w:w="1689"/>
            <w:tcMar>
              <w:top w:type="dxa" w:w="80"/>
              <w:left w:type="dxa" w:w="120"/>
              <w:bottom w:type="dxa" w:w="80"/>
              <w:right w:type="dxa" w:w="120"/>
            </w:tcMar>
          </w:tcPr>
          <w:p>
            <w:pPr>
              <w:jc w:val="center"/>
            </w:pPr>
            <w:r>
              <w:rPr>
                <w:b w:val="false"/>
                <w:bCs w:val="false"/>
                <w:color w:val="262626"/>
                <w:sz w:val="20"/>
                <w:szCs w:val="20"/>
              </w:rPr>
              <w:t xml:space="preserve">0.812</w:t>
            </w:r>
          </w:p>
        </w:tc>
      </w:tr>
      <w:tr>
        <w:tc>
          <w:tcPr>
            <w:tcW w:type="dxa" w:w="2600"/>
            <w:shd w:fill="F2F6FA" w:val="clear"/>
            <w:tcMar>
              <w:top w:type="dxa" w:w="80"/>
              <w:left w:type="dxa" w:w="120"/>
              <w:bottom w:type="dxa" w:w="80"/>
              <w:right w:type="dxa" w:w="120"/>
            </w:tcMar>
          </w:tcPr>
          <w:p>
            <w:pPr>
              <w:jc w:val="left"/>
            </w:pPr>
            <w:r>
              <w:rPr>
                <w:b w:val="false"/>
                <w:bCs w:val="false"/>
                <w:color w:val="262626"/>
                <w:sz w:val="20"/>
                <w:szCs w:val="20"/>
              </w:rPr>
              <w:t xml:space="preserve">Random Forest</w:t>
            </w:r>
          </w:p>
        </w:tc>
        <w:tc>
          <w:tcPr>
            <w:tcW w:type="dxa" w:w="1687"/>
            <w:tcMar>
              <w:top w:type="dxa" w:w="80"/>
              <w:left w:type="dxa" w:w="120"/>
              <w:bottom w:type="dxa" w:w="80"/>
              <w:right w:type="dxa" w:w="120"/>
            </w:tcMar>
          </w:tcPr>
          <w:p>
            <w:pPr>
              <w:jc w:val="center"/>
            </w:pPr>
            <w:r>
              <w:rPr>
                <w:b w:val="false"/>
                <w:bCs w:val="false"/>
                <w:color w:val="262626"/>
                <w:sz w:val="20"/>
                <w:szCs w:val="20"/>
              </w:rPr>
              <w:t xml:space="preserve">81.1%</w:t>
            </w:r>
          </w:p>
        </w:tc>
        <w:tc>
          <w:tcPr>
            <w:tcW w:type="dxa" w:w="1687"/>
            <w:tcMar>
              <w:top w:type="dxa" w:w="80"/>
              <w:left w:type="dxa" w:w="120"/>
              <w:bottom w:type="dxa" w:w="80"/>
              <w:right w:type="dxa" w:w="120"/>
            </w:tcMar>
          </w:tcPr>
          <w:p>
            <w:pPr>
              <w:jc w:val="center"/>
            </w:pPr>
            <w:r>
              <w:rPr>
                <w:b w:val="false"/>
                <w:bCs w:val="false"/>
                <w:color w:val="262626"/>
                <w:sz w:val="20"/>
                <w:szCs w:val="20"/>
              </w:rPr>
              <w:t xml:space="preserve">0.792</w:t>
            </w:r>
          </w:p>
        </w:tc>
        <w:tc>
          <w:tcPr>
            <w:tcW w:type="dxa" w:w="1687"/>
            <w:tcMar>
              <w:top w:type="dxa" w:w="80"/>
              <w:left w:type="dxa" w:w="120"/>
              <w:bottom w:type="dxa" w:w="80"/>
              <w:right w:type="dxa" w:w="120"/>
            </w:tcMar>
          </w:tcPr>
          <w:p>
            <w:pPr>
              <w:jc w:val="center"/>
            </w:pPr>
            <w:r>
              <w:rPr>
                <w:b w:val="false"/>
                <w:bCs w:val="false"/>
                <w:color w:val="262626"/>
                <w:sz w:val="20"/>
                <w:szCs w:val="20"/>
              </w:rPr>
              <w:t xml:space="preserve">0.811</w:t>
            </w:r>
          </w:p>
        </w:tc>
        <w:tc>
          <w:tcPr>
            <w:tcW w:type="dxa" w:w="1689"/>
            <w:tcMar>
              <w:top w:type="dxa" w:w="80"/>
              <w:left w:type="dxa" w:w="120"/>
              <w:bottom w:type="dxa" w:w="80"/>
              <w:right w:type="dxa" w:w="120"/>
            </w:tcMar>
          </w:tcPr>
          <w:p>
            <w:pPr>
              <w:jc w:val="center"/>
            </w:pPr>
            <w:r>
              <w:rPr>
                <w:b w:val="false"/>
                <w:bCs w:val="false"/>
                <w:color w:val="262626"/>
                <w:sz w:val="20"/>
                <w:szCs w:val="20"/>
              </w:rPr>
              <w:t xml:space="preserve">0.799</w:t>
            </w:r>
          </w:p>
        </w:tc>
      </w:tr>
      <w:tr>
        <w:tc>
          <w:tcPr>
            <w:tcW w:type="dxa" w:w="2600"/>
            <w:shd w:fill="F2F6FA" w:val="clear"/>
            <w:tcMar>
              <w:top w:type="dxa" w:w="80"/>
              <w:left w:type="dxa" w:w="120"/>
              <w:bottom w:type="dxa" w:w="80"/>
              <w:right w:type="dxa" w:w="120"/>
            </w:tcMar>
          </w:tcPr>
          <w:p>
            <w:pPr>
              <w:jc w:val="left"/>
            </w:pPr>
            <w:r>
              <w:rPr>
                <w:b w:val="false"/>
                <w:bCs w:val="false"/>
                <w:color w:val="262626"/>
                <w:sz w:val="20"/>
                <w:szCs w:val="20"/>
              </w:rPr>
              <w:t xml:space="preserve">Naive Bayes (bonus)</w:t>
            </w:r>
          </w:p>
        </w:tc>
        <w:tc>
          <w:tcPr>
            <w:tcW w:type="dxa" w:w="1687"/>
            <w:tcMar>
              <w:top w:type="dxa" w:w="80"/>
              <w:left w:type="dxa" w:w="120"/>
              <w:bottom w:type="dxa" w:w="80"/>
              <w:right w:type="dxa" w:w="120"/>
            </w:tcMar>
          </w:tcPr>
          <w:p>
            <w:pPr>
              <w:jc w:val="center"/>
            </w:pPr>
            <w:r>
              <w:rPr>
                <w:b w:val="false"/>
                <w:bCs w:val="false"/>
                <w:color w:val="262626"/>
                <w:sz w:val="20"/>
                <w:szCs w:val="20"/>
              </w:rPr>
              <w:t xml:space="preserve">82.2%</w:t>
            </w:r>
          </w:p>
        </w:tc>
        <w:tc>
          <w:tcPr>
            <w:tcW w:type="dxa" w:w="1687"/>
            <w:tcMar>
              <w:top w:type="dxa" w:w="80"/>
              <w:left w:type="dxa" w:w="120"/>
              <w:bottom w:type="dxa" w:w="80"/>
              <w:right w:type="dxa" w:w="120"/>
            </w:tcMar>
          </w:tcPr>
          <w:p>
            <w:pPr>
              <w:jc w:val="center"/>
            </w:pPr>
            <w:r>
              <w:rPr>
                <w:b w:val="false"/>
                <w:bCs w:val="false"/>
                <w:color w:val="262626"/>
                <w:sz w:val="20"/>
                <w:szCs w:val="20"/>
              </w:rPr>
              <w:t xml:space="preserve">0.786</w:t>
            </w:r>
          </w:p>
        </w:tc>
        <w:tc>
          <w:tcPr>
            <w:tcW w:type="dxa" w:w="1687"/>
            <w:tcMar>
              <w:top w:type="dxa" w:w="80"/>
              <w:left w:type="dxa" w:w="120"/>
              <w:bottom w:type="dxa" w:w="80"/>
              <w:right w:type="dxa" w:w="120"/>
            </w:tcMar>
          </w:tcPr>
          <w:p>
            <w:pPr>
              <w:jc w:val="center"/>
            </w:pPr>
            <w:r>
              <w:rPr>
                <w:b w:val="false"/>
                <w:bCs w:val="false"/>
                <w:color w:val="262626"/>
                <w:sz w:val="20"/>
                <w:szCs w:val="20"/>
              </w:rPr>
              <w:t xml:space="preserve">0.822</w:t>
            </w:r>
          </w:p>
        </w:tc>
        <w:tc>
          <w:tcPr>
            <w:tcW w:type="dxa" w:w="1689"/>
            <w:tcMar>
              <w:top w:type="dxa" w:w="80"/>
              <w:left w:type="dxa" w:w="120"/>
              <w:bottom w:type="dxa" w:w="80"/>
              <w:right w:type="dxa" w:w="120"/>
            </w:tcMar>
          </w:tcPr>
          <w:p>
            <w:pPr>
              <w:jc w:val="center"/>
            </w:pPr>
            <w:r>
              <w:rPr>
                <w:b w:val="false"/>
                <w:bCs w:val="false"/>
                <w:color w:val="262626"/>
                <w:sz w:val="20"/>
                <w:szCs w:val="20"/>
              </w:rPr>
              <w:t xml:space="preserve">0.787</w:t>
            </w:r>
          </w:p>
        </w:tc>
      </w:tr>
    </w:tbl>
    <w:p>
      <w:pPr>
        <w:spacing w:after="120" w:before="200"/>
      </w:pPr>
    </w:p>
    <w:p>
      <w:pPr>
        <w:spacing w:after="160" w:line="276"/>
      </w:pPr>
      <w:r>
        <w:rPr>
          <w:color w:val="262626"/>
          <w:sz w:val="22"/>
          <w:szCs w:val="22"/>
        </w:rPr>
        <w:t xml:space="preserve">All three models classify Positive reviews very reliably (F1 ≈ 0.91), since these make up the majority of the data and use the clearest language. Performance is noticeably weaker on the Neutral class across all models, which is expected — 3-star reviews often mix praise and criticism in the same sentence, making them the hardest class to separate. Naive Bayes has the highest raw accuracy, but it achieves this mostly by favoring the majority Positive class; Logistic Regression was selected as the best-performing model based on its higher weighted F1 score and its stronger recall on the Negative class, which matters most for a complaint-detection use case.</w:t>
      </w:r>
    </w:p>
    <w:p>
      <w:pPr>
        <w:pStyle w:val="Heading2"/>
        <w:spacing w:after="120" w:before="240"/>
      </w:pPr>
      <w:r>
        <w:rPr>
          <w:b/>
          <w:bCs/>
          <w:color w:val="2E75B6"/>
          <w:sz w:val="24"/>
          <w:szCs w:val="24"/>
        </w:rPr>
        <w:t xml:space="preserve">4.2 Complaint Clustering</w:t>
      </w:r>
    </w:p>
    <w:p>
      <w:pPr>
        <w:spacing w:after="160" w:line="276"/>
      </w:pPr>
      <w:r>
        <w:rPr>
          <w:color w:val="262626"/>
          <w:sz w:val="22"/>
          <w:szCs w:val="22"/>
        </w:rPr>
        <w:t xml:space="preserve">Applying K-Means to the 2,370 negative reviews produced five distinct, interpretable complaint 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50"/>
      </w:tblGrid>
      <w:tr>
        <w:trPr>
          <w:tblHeader/>
        </w:trPr>
        <w:tc>
          <w:tcPr>
            <w:tcW w:type="dxa" w:w="900"/>
            <w:shd w:fill="1F3864" w:val="clear"/>
            <w:tcMar>
              <w:top w:type="dxa" w:w="80"/>
              <w:left w:type="dxa" w:w="120"/>
              <w:bottom w:type="dxa" w:w="80"/>
              <w:right w:type="dxa" w:w="120"/>
            </w:tcMar>
          </w:tcPr>
          <w:p>
            <w:pPr>
              <w:jc w:val="center"/>
            </w:pPr>
            <w:r>
              <w:rPr>
                <w:b/>
                <w:bCs/>
                <w:color w:val="FFFFFF"/>
                <w:sz w:val="20"/>
                <w:szCs w:val="20"/>
              </w:rPr>
              <w:t xml:space="preserve">Cluster</w:t>
            </w:r>
          </w:p>
        </w:tc>
        <w:tc>
          <w:tcPr>
            <w:tcW w:type="dxa" w:w="1400"/>
            <w:shd w:fill="1F3864" w:val="clear"/>
            <w:tcMar>
              <w:top w:type="dxa" w:w="80"/>
              <w:left w:type="dxa" w:w="120"/>
              <w:bottom w:type="dxa" w:w="80"/>
              <w:right w:type="dxa" w:w="120"/>
            </w:tcMar>
          </w:tcPr>
          <w:p>
            <w:pPr>
              <w:jc w:val="center"/>
            </w:pPr>
            <w:r>
              <w:rPr>
                <w:b/>
                <w:bCs/>
                <w:color w:val="FFFFFF"/>
                <w:sz w:val="20"/>
                <w:szCs w:val="20"/>
              </w:rPr>
              <w:t xml:space="preserve">Reviews</w:t>
            </w:r>
          </w:p>
        </w:tc>
        <w:tc>
          <w:tcPr>
            <w:tcW w:type="dxa" w:w="7050"/>
            <w:shd w:fill="1F3864" w:val="clear"/>
            <w:tcMar>
              <w:top w:type="dxa" w:w="80"/>
              <w:left w:type="dxa" w:w="120"/>
              <w:bottom w:type="dxa" w:w="80"/>
              <w:right w:type="dxa" w:w="120"/>
            </w:tcMar>
          </w:tcPr>
          <w:p>
            <w:pPr>
              <w:jc w:val="left"/>
            </w:pPr>
            <w:r>
              <w:rPr>
                <w:b/>
                <w:bCs/>
                <w:color w:val="FFFFFF"/>
                <w:sz w:val="20"/>
                <w:szCs w:val="20"/>
              </w:rPr>
              <w:t xml:space="preserve">Theme (top TF-IDF terms)</w:t>
            </w:r>
          </w:p>
        </w:tc>
      </w:tr>
      <w:tr>
        <w:tc>
          <w:tcPr>
            <w:tcW w:type="dxa" w:w="900"/>
            <w:shd w:fill="F2F6FA" w:val="clear"/>
            <w:tcMar>
              <w:top w:type="dxa" w:w="80"/>
              <w:left w:type="dxa" w:w="120"/>
              <w:bottom w:type="dxa" w:w="80"/>
              <w:right w:type="dxa" w:w="120"/>
            </w:tcMar>
          </w:tcPr>
          <w:p>
            <w:pPr>
              <w:jc w:val="center"/>
            </w:pPr>
            <w:r>
              <w:rPr>
                <w:b w:val="false"/>
                <w:bCs w:val="false"/>
                <w:color w:val="262626"/>
                <w:sz w:val="20"/>
                <w:szCs w:val="20"/>
              </w:rPr>
              <w:t xml:space="preserve">0</w:t>
            </w:r>
          </w:p>
        </w:tc>
        <w:tc>
          <w:tcPr>
            <w:tcW w:type="dxa" w:w="1400"/>
            <w:shd w:fill="F2F6FA" w:val="clear"/>
            <w:tcMar>
              <w:top w:type="dxa" w:w="80"/>
              <w:left w:type="dxa" w:w="120"/>
              <w:bottom w:type="dxa" w:w="80"/>
              <w:right w:type="dxa" w:w="120"/>
            </w:tcMar>
          </w:tcPr>
          <w:p>
            <w:pPr>
              <w:jc w:val="center"/>
            </w:pPr>
            <w:r>
              <w:rPr>
                <w:b w:val="false"/>
                <w:bCs w:val="false"/>
                <w:color w:val="262626"/>
                <w:sz w:val="20"/>
                <w:szCs w:val="20"/>
              </w:rPr>
              <w:t xml:space="preserve">192</w:t>
            </w:r>
          </w:p>
        </w:tc>
        <w:tc>
          <w:tcPr>
            <w:tcW w:type="dxa" w:w="7050"/>
            <w:tcMar>
              <w:top w:type="dxa" w:w="80"/>
              <w:left w:type="dxa" w:w="120"/>
              <w:bottom w:type="dxa" w:w="80"/>
              <w:right w:type="dxa" w:w="120"/>
            </w:tcMar>
          </w:tcPr>
          <w:p>
            <w:pPr>
              <w:jc w:val="left"/>
            </w:pPr>
            <w:r>
              <w:rPr>
                <w:b w:val="false"/>
                <w:bCs w:val="false"/>
                <w:color w:val="262626"/>
                <w:sz w:val="20"/>
                <w:szCs w:val="20"/>
              </w:rPr>
              <w:t xml:space="preserve">Boxy / unflattering fit — "shirt, boxy, back, fabric, fit"</w:t>
            </w:r>
          </w:p>
        </w:tc>
      </w:tr>
      <w:tr>
        <w:tc>
          <w:tcPr>
            <w:tcW w:type="dxa" w:w="900"/>
            <w:shd w:fill="F2F6FA" w:val="clear"/>
            <w:tcMar>
              <w:top w:type="dxa" w:w="80"/>
              <w:left w:type="dxa" w:w="120"/>
              <w:bottom w:type="dxa" w:w="80"/>
              <w:right w:type="dxa" w:w="120"/>
            </w:tcMar>
          </w:tcPr>
          <w:p>
            <w:pPr>
              <w:jc w:val="center"/>
            </w:pPr>
            <w:r>
              <w:rPr>
                <w:b w:val="false"/>
                <w:bCs w:val="false"/>
                <w:color w:val="262626"/>
                <w:sz w:val="20"/>
                <w:szCs w:val="20"/>
              </w:rPr>
              <w:t xml:space="preserve">1</w:t>
            </w:r>
          </w:p>
        </w:tc>
        <w:tc>
          <w:tcPr>
            <w:tcW w:type="dxa" w:w="1400"/>
            <w:shd w:fill="F2F6FA" w:val="clear"/>
            <w:tcMar>
              <w:top w:type="dxa" w:w="80"/>
              <w:left w:type="dxa" w:w="120"/>
              <w:bottom w:type="dxa" w:w="80"/>
              <w:right w:type="dxa" w:w="120"/>
            </w:tcMar>
          </w:tcPr>
          <w:p>
            <w:pPr>
              <w:jc w:val="center"/>
            </w:pPr>
            <w:r>
              <w:rPr>
                <w:b w:val="false"/>
                <w:bCs w:val="false"/>
                <w:color w:val="262626"/>
                <w:sz w:val="20"/>
                <w:szCs w:val="20"/>
              </w:rPr>
              <w:t xml:space="preserve">736</w:t>
            </w:r>
          </w:p>
        </w:tc>
        <w:tc>
          <w:tcPr>
            <w:tcW w:type="dxa" w:w="7050"/>
            <w:tcMar>
              <w:top w:type="dxa" w:w="80"/>
              <w:left w:type="dxa" w:w="120"/>
              <w:bottom w:type="dxa" w:w="80"/>
              <w:right w:type="dxa" w:w="120"/>
            </w:tcMar>
          </w:tcPr>
          <w:p>
            <w:pPr>
              <w:jc w:val="left"/>
            </w:pPr>
            <w:r>
              <w:rPr>
                <w:b w:val="false"/>
                <w:bCs w:val="false"/>
                <w:color w:val="262626"/>
                <w:sz w:val="20"/>
                <w:szCs w:val="20"/>
              </w:rPr>
              <w:t xml:space="preserve">Fit and length issues — "top, fit, look, short, back"</w:t>
            </w:r>
          </w:p>
        </w:tc>
      </w:tr>
      <w:tr>
        <w:tc>
          <w:tcPr>
            <w:tcW w:type="dxa" w:w="900"/>
            <w:shd w:fill="F2F6FA" w:val="clear"/>
            <w:tcMar>
              <w:top w:type="dxa" w:w="80"/>
              <w:left w:type="dxa" w:w="120"/>
              <w:bottom w:type="dxa" w:w="80"/>
              <w:right w:type="dxa" w:w="120"/>
            </w:tcMar>
          </w:tcPr>
          <w:p>
            <w:pPr>
              <w:jc w:val="center"/>
            </w:pPr>
            <w:r>
              <w:rPr>
                <w:b w:val="false"/>
                <w:bCs w:val="false"/>
                <w:color w:val="262626"/>
                <w:sz w:val="20"/>
                <w:szCs w:val="20"/>
              </w:rPr>
              <w:t xml:space="preserve">2</w:t>
            </w:r>
          </w:p>
        </w:tc>
        <w:tc>
          <w:tcPr>
            <w:tcW w:type="dxa" w:w="1400"/>
            <w:shd w:fill="F2F6FA" w:val="clear"/>
            <w:tcMar>
              <w:top w:type="dxa" w:w="80"/>
              <w:left w:type="dxa" w:w="120"/>
              <w:bottom w:type="dxa" w:w="80"/>
              <w:right w:type="dxa" w:w="120"/>
            </w:tcMar>
          </w:tcPr>
          <w:p>
            <w:pPr>
              <w:jc w:val="center"/>
            </w:pPr>
            <w:r>
              <w:rPr>
                <w:b w:val="false"/>
                <w:bCs w:val="false"/>
                <w:color w:val="262626"/>
                <w:sz w:val="20"/>
                <w:szCs w:val="20"/>
              </w:rPr>
              <w:t xml:space="preserve">430</w:t>
            </w:r>
          </w:p>
        </w:tc>
        <w:tc>
          <w:tcPr>
            <w:tcW w:type="dxa" w:w="7050"/>
            <w:tcMar>
              <w:top w:type="dxa" w:w="80"/>
              <w:left w:type="dxa" w:w="120"/>
              <w:bottom w:type="dxa" w:w="80"/>
              <w:right w:type="dxa" w:w="120"/>
            </w:tcMar>
          </w:tcPr>
          <w:p>
            <w:pPr>
              <w:jc w:val="left"/>
            </w:pPr>
            <w:r>
              <w:rPr>
                <w:b w:val="false"/>
                <w:bCs w:val="false"/>
                <w:color w:val="262626"/>
                <w:sz w:val="20"/>
                <w:szCs w:val="20"/>
              </w:rPr>
              <w:t xml:space="preserve">Dress fabric/material disappointment — "dress, fabric, fit, material"</w:t>
            </w:r>
          </w:p>
        </w:tc>
      </w:tr>
      <w:tr>
        <w:tc>
          <w:tcPr>
            <w:tcW w:type="dxa" w:w="900"/>
            <w:shd w:fill="F2F6FA" w:val="clear"/>
            <w:tcMar>
              <w:top w:type="dxa" w:w="80"/>
              <w:left w:type="dxa" w:w="120"/>
              <w:bottom w:type="dxa" w:w="80"/>
              <w:right w:type="dxa" w:w="120"/>
            </w:tcMar>
          </w:tcPr>
          <w:p>
            <w:pPr>
              <w:jc w:val="center"/>
            </w:pPr>
            <w:r>
              <w:rPr>
                <w:b w:val="false"/>
                <w:bCs w:val="false"/>
                <w:color w:val="262626"/>
                <w:sz w:val="20"/>
                <w:szCs w:val="20"/>
              </w:rPr>
              <w:t xml:space="preserve">3</w:t>
            </w:r>
          </w:p>
        </w:tc>
        <w:tc>
          <w:tcPr>
            <w:tcW w:type="dxa" w:w="1400"/>
            <w:shd w:fill="F2F6FA" w:val="clear"/>
            <w:tcMar>
              <w:top w:type="dxa" w:w="80"/>
              <w:left w:type="dxa" w:w="120"/>
              <w:bottom w:type="dxa" w:w="80"/>
              <w:right w:type="dxa" w:w="120"/>
            </w:tcMar>
          </w:tcPr>
          <w:p>
            <w:pPr>
              <w:jc w:val="center"/>
            </w:pPr>
            <w:r>
              <w:rPr>
                <w:b w:val="false"/>
                <w:bCs w:val="false"/>
                <w:color w:val="262626"/>
                <w:sz w:val="20"/>
                <w:szCs w:val="20"/>
              </w:rPr>
              <w:t xml:space="preserve">676</w:t>
            </w:r>
          </w:p>
        </w:tc>
        <w:tc>
          <w:tcPr>
            <w:tcW w:type="dxa" w:w="7050"/>
            <w:tcMar>
              <w:top w:type="dxa" w:w="80"/>
              <w:left w:type="dxa" w:w="120"/>
              <w:bottom w:type="dxa" w:w="80"/>
              <w:right w:type="dxa" w:w="120"/>
            </w:tcMar>
          </w:tcPr>
          <w:p>
            <w:pPr>
              <w:jc w:val="left"/>
            </w:pPr>
            <w:r>
              <w:rPr>
                <w:b w:val="false"/>
                <w:bCs w:val="false"/>
                <w:color w:val="262626"/>
                <w:sz w:val="20"/>
                <w:szCs w:val="20"/>
              </w:rPr>
              <w:t xml:space="preserve">Poor fabric quality — "quality, fabric, cheap, thin, poor"</w:t>
            </w:r>
          </w:p>
        </w:tc>
      </w:tr>
      <w:tr>
        <w:tc>
          <w:tcPr>
            <w:tcW w:type="dxa" w:w="900"/>
            <w:shd w:fill="F2F6FA" w:val="clear"/>
            <w:tcMar>
              <w:top w:type="dxa" w:w="80"/>
              <w:left w:type="dxa" w:w="120"/>
              <w:bottom w:type="dxa" w:w="80"/>
              <w:right w:type="dxa" w:w="120"/>
            </w:tcMar>
          </w:tcPr>
          <w:p>
            <w:pPr>
              <w:jc w:val="center"/>
            </w:pPr>
            <w:r>
              <w:rPr>
                <w:b w:val="false"/>
                <w:bCs w:val="false"/>
                <w:color w:val="262626"/>
                <w:sz w:val="20"/>
                <w:szCs w:val="20"/>
              </w:rPr>
              <w:t xml:space="preserve">4</w:t>
            </w:r>
          </w:p>
        </w:tc>
        <w:tc>
          <w:tcPr>
            <w:tcW w:type="dxa" w:w="1400"/>
            <w:shd w:fill="F2F6FA" w:val="clear"/>
            <w:tcMar>
              <w:top w:type="dxa" w:w="80"/>
              <w:left w:type="dxa" w:w="120"/>
              <w:bottom w:type="dxa" w:w="80"/>
              <w:right w:type="dxa" w:w="120"/>
            </w:tcMar>
          </w:tcPr>
          <w:p>
            <w:pPr>
              <w:jc w:val="center"/>
            </w:pPr>
            <w:r>
              <w:rPr>
                <w:b w:val="false"/>
                <w:bCs w:val="false"/>
                <w:color w:val="262626"/>
                <w:sz w:val="20"/>
                <w:szCs w:val="20"/>
              </w:rPr>
              <w:t xml:space="preserve">336</w:t>
            </w:r>
          </w:p>
        </w:tc>
        <w:tc>
          <w:tcPr>
            <w:tcW w:type="dxa" w:w="7050"/>
            <w:tcMar>
              <w:top w:type="dxa" w:w="80"/>
              <w:left w:type="dxa" w:w="120"/>
              <w:bottom w:type="dxa" w:w="80"/>
              <w:right w:type="dxa" w:w="120"/>
            </w:tcMar>
          </w:tcPr>
          <w:p>
            <w:pPr>
              <w:jc w:val="left"/>
            </w:pPr>
            <w:r>
              <w:rPr>
                <w:b w:val="false"/>
                <w:bCs w:val="false"/>
                <w:color w:val="262626"/>
                <w:sz w:val="20"/>
                <w:szCs w:val="20"/>
              </w:rPr>
              <w:t xml:space="preserve">Sizing problems — "small, size, runs, big, large"</w:t>
            </w:r>
          </w:p>
        </w:tc>
      </w:tr>
    </w:tbl>
    <w:p>
      <w:pPr>
        <w:spacing w:after="160" w:before="200"/>
      </w:pPr>
    </w:p>
    <w:p>
      <w:pPr>
        <w:spacing w:after="160" w:line="276"/>
      </w:pPr>
      <w:r>
        <w:rPr>
          <w:color w:val="262626"/>
          <w:sz w:val="22"/>
          <w:szCs w:val="22"/>
        </w:rPr>
        <w:t xml:space="preserve">Together, sizing/fit issues (clusters 0, 1, and 4) account for the majority of complaints, followed by fabric-quality concerns (clusters 2 and 3).</w:t>
      </w:r>
    </w:p>
    <w:p>
      <w:pPr>
        <w:pStyle w:val="Heading2"/>
        <w:spacing w:after="120" w:before="240"/>
      </w:pPr>
      <w:r>
        <w:rPr>
          <w:b/>
          <w:bCs/>
          <w:color w:val="2E75B6"/>
          <w:sz w:val="24"/>
          <w:szCs w:val="24"/>
        </w:rPr>
        <w:t xml:space="preserve">4.3 Business Insights</w:t>
      </w:r>
    </w:p>
    <w:p>
      <w:pPr>
        <w:pStyle w:val="ListParagraph"/>
        <w:numPr>
          <w:ilvl w:val="0"/>
          <w:numId w:val="1"/>
        </w:numPr>
        <w:spacing w:after="80"/>
      </w:pPr>
      <w:r>
        <w:rPr>
          <w:color w:val="262626"/>
          <w:sz w:val="22"/>
          <w:szCs w:val="22"/>
        </w:rPr>
        <w:t xml:space="preserve">Sizing and fit are the dominant driver of negative feedback, spanning three of the five complaint clusters — this points to inaccurate size charts or inconsistent sizing across product lines.</w:t>
      </w:r>
    </w:p>
    <w:p>
      <w:pPr>
        <w:pStyle w:val="ListParagraph"/>
        <w:numPr>
          <w:ilvl w:val="0"/>
          <w:numId w:val="1"/>
        </w:numPr>
        <w:spacing w:after="80"/>
      </w:pPr>
      <w:r>
        <w:rPr>
          <w:color w:val="262626"/>
          <w:sz w:val="22"/>
          <w:szCs w:val="22"/>
        </w:rPr>
        <w:t xml:space="preserve">Fabric quality complaints ("cheap", "thin", "poor material") are concentrated in specific product departments, suggesting a supplier or material-sourcing issue rather than a company-wide problem.</w:t>
      </w:r>
    </w:p>
    <w:p>
      <w:pPr>
        <w:pStyle w:val="ListParagraph"/>
        <w:numPr>
          <w:ilvl w:val="0"/>
          <w:numId w:val="1"/>
        </w:numPr>
        <w:spacing w:after="80"/>
      </w:pPr>
      <w:r>
        <w:rPr>
          <w:color w:val="262626"/>
          <w:sz w:val="22"/>
          <w:szCs w:val="22"/>
        </w:rPr>
        <w:t xml:space="preserve">Linking each cluster back to the Department Name column identifies which specific departments generate the most complaints, letting the merchandising team prioritize fixes.</w:t>
      </w:r>
    </w:p>
    <w:p>
      <w:pPr>
        <w:pStyle w:val="ListParagraph"/>
        <w:numPr>
          <w:ilvl w:val="0"/>
          <w:numId w:val="1"/>
        </w:numPr>
        <w:spacing w:after="80"/>
      </w:pPr>
      <w:r>
        <w:rPr>
          <w:color w:val="262626"/>
          <w:sz w:val="22"/>
          <w:szCs w:val="22"/>
        </w:rPr>
        <w:t xml:space="preserve">Because Neutral reviews are the hardest to classify, they are a good candidate for manual review or a more advanced model (e.g. a fine-tuned transformer) in a production system.</w:t>
      </w:r>
    </w:p>
    <w:p>
      <w:pPr>
        <w:pStyle w:val="Heading1"/>
        <w:spacing w:after="160" w:before="320"/>
      </w:pPr>
      <w:r>
        <w:rPr>
          <w:b/>
          <w:bCs/>
          <w:color w:val="1F3864"/>
          <w:sz w:val="30"/>
          <w:szCs w:val="30"/>
        </w:rPr>
        <w:t xml:space="preserve">5. Bonus Work</w:t>
      </w:r>
    </w:p>
    <w:p>
      <w:pPr>
        <w:spacing w:after="160" w:line="276"/>
      </w:pPr>
      <w:r>
        <w:rPr>
          <w:color w:val="262626"/>
          <w:sz w:val="22"/>
          <w:szCs w:val="22"/>
        </w:rPr>
        <w:t xml:space="preserve">In addition to the core requirements, the following extras were implemented to strengthen the project:</w:t>
      </w:r>
    </w:p>
    <w:p>
      <w:pPr>
        <w:pStyle w:val="ListParagraph"/>
        <w:numPr>
          <w:ilvl w:val="0"/>
          <w:numId w:val="1"/>
        </w:numPr>
        <w:spacing w:after="80"/>
      </w:pPr>
      <w:r>
        <w:rPr>
          <w:color w:val="262626"/>
          <w:sz w:val="22"/>
          <w:szCs w:val="22"/>
        </w:rPr>
        <w:t xml:space="preserve">Third model comparison: Multinomial Naive Bayes was added alongside the two required models (see Section 4.1).</w:t>
      </w:r>
    </w:p>
    <w:p>
      <w:pPr>
        <w:pStyle w:val="ListParagraph"/>
        <w:numPr>
          <w:ilvl w:val="0"/>
          <w:numId w:val="1"/>
        </w:numPr>
        <w:spacing w:after="80"/>
      </w:pPr>
      <w:r>
        <w:rPr>
          <w:color w:val="262626"/>
          <w:sz w:val="22"/>
          <w:szCs w:val="22"/>
        </w:rPr>
        <w:t xml:space="preserve">Interactive dashboard (dashboard.html): a self-contained, single-file HTML dashboard with five tabs (Overview, Sentiment Analysis, Model Comparison, Complaint Clusters, Business Insights), a metric toggle for the model chart, and no installation required — it opens directly in any browser.</w:t>
      </w:r>
    </w:p>
    <w:p>
      <w:pPr>
        <w:pStyle w:val="ListParagraph"/>
        <w:numPr>
          <w:ilvl w:val="0"/>
          <w:numId w:val="1"/>
        </w:numPr>
        <w:spacing w:after="80"/>
      </w:pPr>
      <w:r>
        <w:rPr>
          <w:color w:val="262626"/>
          <w:sz w:val="22"/>
          <w:szCs w:val="22"/>
        </w:rPr>
        <w:t xml:space="preserve">Deployment demonstration: the saved model and TF-IDF vectorizer were reloaded from disk and used to classify brand-new, unseen reviews, both inside the notebook and in two standalone scripts (predict.py for the command line, app.py as a minimal Flask API).</w:t>
      </w:r>
    </w:p>
    <w:p>
      <w:pPr>
        <w:pStyle w:val="Heading1"/>
        <w:spacing w:after="160" w:before="320"/>
      </w:pPr>
      <w:r>
        <w:rPr>
          <w:b/>
          <w:bCs/>
          <w:color w:val="1F3864"/>
          <w:sz w:val="30"/>
          <w:szCs w:val="30"/>
        </w:rPr>
        <w:t xml:space="preserve">6. Conclusions</w:t>
      </w:r>
    </w:p>
    <w:p>
      <w:pPr>
        <w:spacing w:after="160" w:line="276"/>
      </w:pPr>
      <w:r>
        <w:rPr>
          <w:color w:val="262626"/>
          <w:sz w:val="22"/>
          <w:szCs w:val="22"/>
        </w:rPr>
        <w:t xml:space="preserve">The project successfully delivers an end-to-end AI pipeline that turns raw, unstructured customer reviews into structured, actionable intelligence. The Logistic Regression sentiment classifier reaches 79.6% accuracy and a weighted F1 of 0.812 — the best balance of the three models compared — and the K-Means clustering step surfaces five clear, human-interpretable complaint categories directly from the negative reviews — without any manual labeling of complaint types.</w:t>
      </w:r>
    </w:p>
    <w:p>
      <w:pPr>
        <w:spacing w:after="160" w:line="276"/>
      </w:pPr>
      <w:r>
        <w:rPr>
          <w:color w:val="262626"/>
          <w:sz w:val="22"/>
          <w:szCs w:val="22"/>
        </w:rPr>
        <w:t xml:space="preserve">The main limitation is Neutral-class performance, which lags behind Positive and Negative across all three models; this is a known challenge in sentiment analysis rather than a flaw specific to this pipeline. Future work could improve this by using a deep learning model (LSTM or a pretrained transformer such as BERT) for the classification step, and by extending the bundled dashboard with live model inference.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2026-07-16T21:55:01.636Z</dcterms:created>
  <dcterms:modified xsi:type="dcterms:W3CDTF">2026-07-16T21:55:01.652Z</dcterms:modified>
</cp:coreProperties>
</file>

<file path=docProps/custom.xml><?xml version="1.0" encoding="utf-8"?>
<Properties xmlns="http://schemas.openxmlformats.org/officeDocument/2006/custom-properties" xmlns:vt="http://schemas.openxmlformats.org/officeDocument/2006/docPropsVTypes"/>
</file>