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urity-attack-surface-of-the-mvc-sow2"/>
    <w:p>
      <w:pPr>
        <w:pStyle w:val="Heading1"/>
      </w:pPr>
      <w:r>
        <w:t xml:space="preserve">Security attack surface of the MVC (SOW2)</w:t>
      </w:r>
    </w:p>
    <w:p>
      <w:pPr>
        <w:pStyle w:val="FirstParagraph"/>
      </w:pPr>
      <w:r>
        <w:t xml:space="preserve">Derived from the architecture export (System Architecture rev. 670544, 2026-08-02), the SRS (rev. 731696, 2026-10-08), the schematics (MVCU01K BOM02K), the CV22FS HW Programming Reference Manual 1.5 and the SOW1 Camera Interface Specification. Where something is my inference and not stated in a document, it says</w:t>
      </w:r>
      <w:r>
        <w:t xml:space="preserve"> </w:t>
      </w:r>
      <w:r>
        <w:rPr>
          <w:bCs/>
          <w:b/>
        </w:rPr>
        <w:t xml:space="preserve">(to confirm)</w:t>
      </w:r>
      <w:r>
        <w:t xml:space="preserve">.</w:t>
      </w:r>
    </w:p>
    <w:bookmarkStart w:id="20" w:name="X88088c20b0cfca5f6e4656f3078eee2f9406c71"/>
    <w:p>
      <w:pPr>
        <w:pStyle w:val="Heading2"/>
      </w:pPr>
      <w:r>
        <w:t xml:space="preserve">Architecture elements that are already cybersecurity-specific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4" w:type="dxa"/>
        <w:tblLayout w:type="fixed"/>
      </w:tblPr>
      <w:tblGrid>
        <w:gridCol w:w="4288"/>
        <w:gridCol w:w="1358"/>
        <w:gridCol w:w="4288"/>
      </w:tblGrid>
      <w:tr>
        <w:trPr>
          <w:tblHeader w:val="true"/>
          <w:tblHeader w:val="true"/>
        </w:trPr>
        <w:tc>
          <w:tcPr>
            <w:tcW w:w="428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Element</w:t>
            </w:r>
          </w:p>
        </w:tc>
        <w:tc>
          <w:tcPr>
            <w:tcW w:w="135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tcW w:w="428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Meaning</w:t>
            </w:r>
          </w:p>
        </w:tc>
      </w:tr>
      <w:tr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UCM_OA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with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ppSecurity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(CSRuntime-SoftwareIF) 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ppFlash</w:t>
            </w:r>
          </w:p>
        </w:tc>
        <w:tc>
          <w:tcPr>
            <w:tcW w:w="13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Update and configuration management (software download). Talks to the security runtime and to the flash</w:t>
            </w:r>
          </w:p>
        </w:tc>
      </w:tr>
      <w:tr>
        <w:tc>
          <w:tcPr>
            <w:tcW w:w="428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CS_APPL_OA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with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ppSecureStorage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ppSecureComm.</w:t>
            </w:r>
          </w:p>
        </w:tc>
        <w:tc>
          <w:tcPr>
            <w:tcW w:w="135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428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Cybersecurity application: secure storage and secure communication</w:t>
            </w:r>
          </w:p>
        </w:tc>
      </w:tr>
      <w:tr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SecurityData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(CSProgrammable) on flash and on the flash-access port</w:t>
            </w:r>
          </w:p>
        </w:tc>
        <w:tc>
          <w:tcPr>
            <w:tcW w:w="13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Security data region in the SPI flash</w:t>
            </w:r>
          </w:p>
        </w:tc>
      </w:tr>
      <w:tr>
        <w:tc>
          <w:tcPr>
            <w:tcW w:w="428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ppSPIneedleAdapter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ppFlashAccess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(SPI)</w:t>
            </w:r>
          </w:p>
        </w:tc>
        <w:tc>
          <w:tcPr>
            <w:tcW w:w="135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428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Physical SPI access to the flash. This is a production or service access path</w:t>
            </w:r>
          </w:p>
        </w:tc>
      </w:tr>
      <w:tr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ProductionData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RuntimeData</w:t>
            </w:r>
          </w:p>
        </w:tc>
        <w:tc>
          <w:tcPr>
            <w:tcW w:w="13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System Architecture</w:t>
            </w:r>
          </w:p>
        </w:tc>
        <w:tc>
          <w:tcPr>
            <w:tcW w:w="428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Production data block (integrity) and runtime data in NVM</w:t>
            </w:r>
          </w:p>
        </w:tc>
      </w:tr>
    </w:tbl>
    <w:bookmarkEnd w:id="20"/>
    <w:bookmarkStart w:id="21" w:name="interfaces-and-what-to-test"/>
    <w:p>
      <w:pPr>
        <w:pStyle w:val="Heading2"/>
      </w:pPr>
      <w:r>
        <w:t xml:space="preserve">Interfaces and what to test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1" w:type="dxa"/>
        <w:tblLayout w:type="fixed"/>
      </w:tblPr>
      <w:tblGrid>
        <w:gridCol w:w="666"/>
        <w:gridCol w:w="1853"/>
        <w:gridCol w:w="1853"/>
        <w:gridCol w:w="1853"/>
        <w:gridCol w:w="1853"/>
        <w:gridCol w:w="1853"/>
      </w:tblGrid>
      <w:tr>
        <w:trPr>
          <w:tblHeader w:val="true"/>
          <w:tblHeader w:val="true"/>
        </w:trPr>
        <w:tc>
          <w:tcPr>
            <w:tcW w:w="666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#</w:t>
            </w:r>
          </w:p>
        </w:tc>
        <w:tc>
          <w:tcPr>
            <w:tcW w:w="185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Interface</w:t>
            </w:r>
          </w:p>
        </w:tc>
        <w:tc>
          <w:tcPr>
            <w:tcW w:w="185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tcW w:w="185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Threat classes</w:t>
            </w:r>
          </w:p>
        </w:tc>
        <w:tc>
          <w:tcPr>
            <w:tcW w:w="185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 source</w:t>
            </w:r>
          </w:p>
        </w:tc>
        <w:tc>
          <w:tcPr>
            <w:tcW w:w="1853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Test area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Ethernet to vehicle ECU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(100/1000BASE-T1, PHY TJA1104A / TJA1121A, RGMII to SoC)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Schematic, architecture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ppEthernet</w:t>
            </w:r>
            <w:r>
              <w:rPr>
                <w:rFonts w:ascii="Arial" w:hAnsi="Arial"/>
                <w:sz w:val="17"/>
              </w:rPr>
              <w:t xml:space="preserve">, SRS ch.5 to 8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Spoofing, tampering, replay, flooding, malformed input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ch.5 (Ethernet, DHCP client), ch.6, ch.7 (SOME/IP), ch.23.1 (DTLS 1.3)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CS-DTLS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CS-SOMEIP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CS-ETH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DTLS 1.3 session with the vehicle ECU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(PSK, ECDHE, TLS_AES_128_GCM_SHA256)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23.1, 90 requirements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Handshake downgrade, replay, key reuse, weak randomness, fragmentation abuse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23.1.1 to 23.1.12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CS-DTLS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SOME/IP camera service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(getCamIdentification, setCamControl, setDataBlock, subscribeRoiVideo, etc.)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7.3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Unauthenticated control, malformed headers, exclusivity lock abuse, flood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7.1.3, 7.3.x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CS-SOMEIP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(existing tests cover header validation and flood)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4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Software download and rollback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(UCM: TransferStart, TransferData, TransferExit, ProcessSwPackage, Activate, Rollback, RevertProcessedSwPackages)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7.4.2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Unsigned or modified package, downgrade, interrupted update, unauthorised rollback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7.4.2, 23.4 (boot verification, anti-rollback)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CS-UCM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CS-BOOT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GMSL2 link to the SOW1 camera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(MAX96714 deserializer, MAX96717 serializer): I2C tunnel, GPIO forwarding, video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Schematic, SRS ch.15, SOW1 interface spec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Spoofed camera, manipulated I2C configuration, injected frames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23.2 (57 requirements), ch.20.3 (I2C manipulation use cases)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CS-SOW1</w:t>
            </w:r>
            <w:r>
              <w:rPr>
                <w:rFonts w:ascii="Arial" w:hAnsi="Arial"/>
                <w:sz w:val="17"/>
              </w:rPr>
              <w:t xml:space="preserve">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CS-GMSL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6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SOW1 authentication chain</w:t>
            </w:r>
            <w:r>
              <w:rPr>
                <w:rFonts w:ascii="Arial" w:hAnsi="Arial"/>
                <w:sz w:val="17"/>
              </w:rPr>
              <w:t xml:space="preserve">: Samsung Root public key verifies the imager's RSA device key, ECU generates session key plus row selection and sends it RSA-encrypted, imager embeds AES-CMAC in each frame footer (from frame 18 on), signed EEPROM verified with the Bosch public key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SOW1 Camera Interface Spec (Volvo D040574), SRS 23.2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Counterfeit camera, replayed frames, stale session key, unsigned EEPROM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23.2.1 to 23.2.7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CS-SOW1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7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Debug ports</w:t>
            </w:r>
            <w:r>
              <w:rPr>
                <w:rFonts w:ascii="Arial" w:hAnsi="Arial"/>
                <w:sz w:val="17"/>
              </w:rPr>
              <w:t xml:space="preserve">: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ISP_JTAG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(test points TP1200 to TP1203), the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UART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(APB) 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UART0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Style w:val="VerbatimChar"/>
                <w:rFonts w:ascii="Arial" w:hAnsi="Arial"/>
                <w:sz w:val="17"/>
              </w:rPr>
              <w:t xml:space="preserve">UART1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nets on the SoC. UART2 and UART3 appear only as alternate functions on SMIO pins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Schematic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Unauthorised debug access, unlock bypass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23.3 (39 requirements): JTAG locked by default in production, unlock only through UART challenge-response with fresh challenge, nonce, salt and session ID, validity period 30/60/120 s [X]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CS-DBG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External SPI NOR flash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(IS25WP01G-RILA3,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NORSPI_*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nets) 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secure boot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Schematic, SoC HW PRM section 2 (POC bits, secure boot strap, signed image size field, OTP ROM), SRS 23.4 (35 requirements)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Modified boot image, rollback, flash read-out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23.4: SHA-256, RSA 2048/3072/4096 [X], public key in OTP, boot stages Safety BST, Safety BLD, Safety OS, A53 BLD, ATF, OS image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CS-BOOT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9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DRAM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(scrambling AES engine, write-only key register, address translation tables per DRAM client)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23.5 (28 requirements)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Cold-boot or probing attack, DMA access outside range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23.5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CS-DRAM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10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NVM data blocks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(production data, software configuration, ImVer)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ch.13, architecture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Tampering with production or configuration data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ch.13, 23.4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CS-NVM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11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MACsec capability of the PHYs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(TJA1104A, TJA1121A) and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MACsec bench switch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(Technica TE-2004, MKA)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PHY datasheets, bench description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Layer-2 spoofing, unauthorised links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(to confirm)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whether MACsec is used on this product. No SRS requirement for it was found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CS-ETH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(only if used)</w:t>
            </w:r>
          </w:p>
        </w:tc>
      </w:tr>
      <w:tr>
        <w:tc>
          <w:tcPr>
            <w:tcW w:w="666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12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Time sync (gPTP) and FSYNC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ch.9, 10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Spoofed time master, frame-timing manipulation (also a safety goal)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ch.9, 10</w:t>
            </w:r>
          </w:p>
        </w:tc>
        <w:tc>
          <w:tcPr>
            <w:tcW w:w="1853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CS-ETH</w:t>
            </w:r>
          </w:p>
        </w:tc>
      </w:tr>
      <w:tr>
        <w:tc>
          <w:tcPr>
            <w:tcW w:w="666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Video stream (RTP) and SEI frame tagging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ch.8, 11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Stream injection, tag manipulation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SRS ch.8, 11, 23.1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bCs/>
                <w:rFonts w:ascii="Arial" w:hAnsi="Arial"/>
                <w:b/>
                <w:sz w:val="17"/>
              </w:rPr>
              <w:t xml:space="preserve">(to confirm whether the stream is inside DTLS)</w:t>
            </w:r>
          </w:p>
        </w:tc>
        <w:tc>
          <w:tcPr>
            <w:tcW w:w="1853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CS-DTLS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/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Style w:val="VerbatimChar"/>
                <w:rFonts w:ascii="Arial" w:hAnsi="Arial"/>
                <w:sz w:val="17"/>
              </w:rPr>
              <w:t xml:space="preserve">CS-ETH</w:t>
            </w:r>
          </w:p>
        </w:tc>
      </w:tr>
    </w:tbl>
    <w:bookmarkEnd w:id="21"/>
    <w:bookmarkStart w:id="22" w:name="open-points"/>
    <w:p>
      <w:pPr>
        <w:pStyle w:val="Heading2"/>
      </w:pPr>
      <w:r>
        <w:t xml:space="preserve">Open points</w:t>
      </w:r>
    </w:p>
    <w:p>
      <w:pPr>
        <w:numPr>
          <w:ilvl w:val="0"/>
          <w:numId w:val="1001"/>
        </w:numPr>
        <w:pStyle w:val="Compact"/>
      </w:pPr>
      <w:r>
        <w:t xml:space="preserve">Which traffic runs inside the DTLS session: only control and SOME/IP, or also RTP video? SRS 23.1 says "SOW2 to Vehicle ECU secure communication interface" without naming the payloads.</w:t>
      </w:r>
    </w:p>
    <w:p>
      <w:pPr>
        <w:numPr>
          <w:ilvl w:val="0"/>
          <w:numId w:val="1001"/>
        </w:numPr>
        <w:pStyle w:val="Compact"/>
      </w:pPr>
      <w:r>
        <w:t xml:space="preserve">Is MACsec used? Hardware and bench support it, but no requirement was found.</w:t>
      </w:r>
    </w:p>
    <w:p>
      <w:pPr>
        <w:numPr>
          <w:ilvl w:val="0"/>
          <w:numId w:val="1001"/>
        </w:numPr>
        <w:pStyle w:val="Compact"/>
      </w:pPr>
      <w:r>
        <w:t xml:space="preserve">ECU lifecycle states (production, development, service). SRS 23.3 refers to "production mode" and a "lifecycle state that permits debug unlock", and the states and their transitions are not defined in the documents I read.</w:t>
      </w:r>
    </w:p>
    <w:p>
      <w:pPr>
        <w:numPr>
          <w:ilvl w:val="0"/>
          <w:numId w:val="1001"/>
        </w:numPr>
        <w:pStyle w:val="Compact"/>
      </w:pPr>
      <w:r>
        <w:t xml:space="preserve">Samsung key-provisioning documents (see</w:t>
      </w:r>
      <w:r>
        <w:t xml:space="preserve"> </w:t>
      </w:r>
      <w:r>
        <w:rPr>
          <w:rStyle w:val="VerbatimChar"/>
        </w:rPr>
        <w:t xml:space="preserve">01_Repo_Analysis.docx</w:t>
      </w:r>
      <w:r>
        <w:t xml:space="preserve">, finding 6) are missing.</w:t>
      </w:r>
    </w:p>
    <w:p>
      <w:pPr>
        <w:numPr>
          <w:ilvl w:val="0"/>
          <w:numId w:val="1001"/>
        </w:numPr>
        <w:pStyle w:val="Compact"/>
      </w:pPr>
      <w:r>
        <w:t xml:space="preserve">52 SRS requirements still carry open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parameters. See</w:t>
      </w:r>
      <w:r>
        <w:t xml:space="preserve"> </w:t>
      </w:r>
      <w:r>
        <w:rPr>
          <w:rStyle w:val="VerbatimChar"/>
        </w:rPr>
        <w:t xml:space="preserve">03-Traceability/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DTLS role: the SRS says SOW2 is the DTLS</w:t>
      </w:r>
      <w:r>
        <w:t xml:space="preserve"> </w:t>
      </w:r>
      <w:r>
        <w:rPr>
          <w:bCs/>
          <w:b/>
        </w:rPr>
        <w:t xml:space="preserve">client</w:t>
      </w:r>
      <w:r>
        <w:t xml:space="preserve">. A vehicle-ECU simulator acting as the DTLS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is needed on the bench (see</w:t>
      </w:r>
      <w:r>
        <w:t xml:space="preserve"> </w:t>
      </w:r>
      <w:r>
        <w:rPr>
          <w:rStyle w:val="VerbatimChar"/>
        </w:rPr>
        <w:t xml:space="preserve">04-Test-Environment/</w:t>
      </w:r>
      <w:r>
        <w:t xml:space="preserve">).</w:t>
      </w:r>
    </w:p>
    <w:bookmarkEnd w:id="22"/>
    <w:bookmarkEnd w:id="23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02 Security Attack Surface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2026-10-15T12:00:52Z</dcterms:created>
  <dcterms:modified xsi:type="dcterms:W3CDTF">2026-10-15T12:00:52Z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