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11dc91ade098cb487865a2075aa0945e6cb5e6"/>
    <w:p>
      <w:pPr>
        <w:pStyle w:val="Heading1"/>
      </w:pPr>
      <w:r>
        <w:t xml:space="preserve">CS-Testing: cybersecurity test workspace (SOW2 Rear &amp; Trailer camera, MEKRA Vision Controller)</w:t>
      </w:r>
    </w:p>
    <w:p>
      <w:pPr>
        <w:pStyle w:val="FirstParagraph"/>
      </w:pPr>
      <w:r>
        <w:t xml:space="preserve">Scope:</w:t>
      </w:r>
      <w:r>
        <w:t xml:space="preserve"> </w:t>
      </w:r>
      <w:r>
        <w:rPr>
          <w:bCs/>
          <w:b/>
        </w:rPr>
        <w:t xml:space="preserve">system and software cybersecurity testing</w:t>
      </w:r>
      <w:r>
        <w:t xml:space="preserve"> </w:t>
      </w:r>
      <w:r>
        <w:t xml:space="preserve">of the MEKRA Vision Controller (MVC, project 11-P-01467 / 11-E-01405 SOW2).</w:t>
      </w:r>
    </w:p>
    <w:p>
      <w:pPr>
        <w:pStyle w:val="BodyText"/>
      </w:pPr>
      <w:r>
        <w:t xml:space="preserve">This workspace was built from the material already in</w:t>
      </w:r>
      <w:r>
        <w:t xml:space="preserve"> </w:t>
      </w:r>
      <w:r>
        <w:rPr>
          <w:rStyle w:val="VerbatimChar"/>
        </w:rPr>
        <w:t xml:space="preserve">Components Datasheets/</w:t>
      </w:r>
      <w:r>
        <w:t xml:space="preserve">.</w:t>
      </w:r>
      <w:r>
        <w:t xml:space="preserve"> </w:t>
      </w:r>
      <w:r>
        <w:rPr>
          <w:bCs/>
          <w:b/>
        </w:rPr>
        <w:t xml:space="preserve">No original file was moved or changed</w:t>
      </w:r>
      <w:r>
        <w:t xml:space="preserve">, because the Word documents link to the datasheets by relative path (see</w:t>
      </w:r>
      <w:r>
        <w:t xml:space="preserve"> </w:t>
      </w:r>
      <w:r>
        <w:rPr>
          <w:rStyle w:val="VerbatimChar"/>
        </w:rPr>
        <w:t xml:space="preserve">_page_links/README.md</w:t>
      </w:r>
      <w:r>
        <w:t xml:space="preserve">). Everything here points back to a source document.</w:t>
      </w:r>
    </w:p>
    <w:bookmarkStart w:id="20" w:name="layout"/>
    <w:p>
      <w:pPr>
        <w:pStyle w:val="Heading2"/>
      </w:pPr>
      <w:r>
        <w:t xml:space="preserve">Layout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5" w:type="dxa"/>
        <w:tblLayout w:type="fixed"/>
      </w:tblPr>
      <w:tblGrid>
        <w:gridCol w:w="2665"/>
        <w:gridCol w:w="7270"/>
      </w:tblGrid>
      <w:tr>
        <w:trPr>
          <w:tblHeader w:val="true"/>
          <w:tblHeader w:val="true"/>
        </w:trPr>
        <w:tc>
          <w:tcPr>
            <w:tcW w:w="2665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Folder</w:t>
            </w:r>
          </w:p>
        </w:tc>
        <w:tc>
          <w:tcPr>
            <w:tcW w:w="7270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Content</w:t>
            </w:r>
          </w:p>
        </w:tc>
      </w:tr>
      <w:tr>
        <w:tc>
          <w:tcPr>
            <w:tcW w:w="26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00-Analysis/</w:t>
            </w:r>
          </w:p>
        </w:tc>
        <w:tc>
          <w:tcPr>
            <w:tcW w:w="72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What is in the repo, the attack-surface map, and an index of every source document with its security relevance</w:t>
            </w:r>
          </w:p>
        </w:tc>
      </w:tr>
      <w:tr>
        <w:tc>
          <w:tcPr>
            <w:tcW w:w="266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01-System/</w:t>
            </w:r>
          </w:p>
        </w:tc>
        <w:tc>
          <w:tcPr>
            <w:tcW w:w="7270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System-level test areas: hardware interfaces, debug ports, flash, DRAM, SerDes/camera link, Ethernet</w:t>
            </w:r>
          </w:p>
        </w:tc>
      </w:tr>
      <w:tr>
        <w:tc>
          <w:tcPr>
            <w:tcW w:w="26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02-Software/</w:t>
            </w:r>
          </w:p>
        </w:tc>
        <w:tc>
          <w:tcPr>
            <w:tcW w:w="72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Software-level test areas: DTLS, SOME/IP, software download (UCM), secure boot, secure storage</w:t>
            </w:r>
          </w:p>
        </w:tc>
      </w:tr>
      <w:tr>
        <w:tc>
          <w:tcPr>
            <w:tcW w:w="266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03-Traceability/</w:t>
            </w:r>
          </w:p>
        </w:tc>
        <w:tc>
          <w:tcPr>
            <w:tcW w:w="7270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Requirement-to-test matrix. Loaded: the 249 SRS chapter 23 requirements, the 41 concept and 30 technical requirements of the first feature</w:t>
            </w:r>
          </w:p>
        </w:tc>
      </w:tr>
      <w:tr>
        <w:tc>
          <w:tcPr>
            <w:tcW w:w="266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04-Test-Environment/</w:t>
            </w:r>
          </w:p>
        </w:tc>
        <w:tc>
          <w:tcPr>
            <w:tcW w:w="727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What the existing bench can do for cybersecurity tests and what is missing</w:t>
            </w:r>
          </w:p>
        </w:tc>
      </w:tr>
      <w:tr>
        <w:tc>
          <w:tcPr>
            <w:tcW w:w="266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05-Requirements-Inbox/</w:t>
            </w:r>
          </w:p>
        </w:tc>
        <w:tc>
          <w:tcPr>
            <w:tcW w:w="7270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Drop your per-feature requirements here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(template included)</w:t>
            </w:r>
          </w:p>
        </w:tc>
      </w:tr>
    </w:tbl>
    <w:bookmarkEnd w:id="20"/>
    <w:bookmarkStart w:id="21" w:name="where-things-stand"/>
    <w:p>
      <w:pPr>
        <w:pStyle w:val="Heading2"/>
      </w:pPr>
      <w:r>
        <w:t xml:space="preserve">Where things stand</w:t>
      </w:r>
    </w:p>
    <w:p>
      <w:pPr>
        <w:numPr>
          <w:ilvl w:val="0"/>
          <w:numId w:val="1001"/>
        </w:numPr>
        <w:pStyle w:val="Compact"/>
      </w:pPr>
      <w:r>
        <w:t xml:space="preserve">249 cybersecurity requirements (SRS chapter 23, SW/HW/Mechanical Requirements rev. 731696, 2026-10-08) are extracted into</w:t>
      </w:r>
      <w:r>
        <w:t xml:space="preserve"> </w:t>
      </w:r>
      <w:r>
        <w:rPr>
          <w:rStyle w:val="VerbatimChar"/>
        </w:rPr>
        <w:t xml:space="preserve">03-Traceability/CS_Traceability.xlsx (sheet "SRS ch23")</w:t>
      </w:r>
      <w:r>
        <w:t xml:space="preserve">. All are</w:t>
      </w:r>
      <w:r>
        <w:t xml:space="preserve"> </w:t>
      </w:r>
      <w:r>
        <w:rPr>
          <w:bCs/>
          <w:b/>
        </w:rPr>
        <w:t xml:space="preserve">Draft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52 of the 249 still contain open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configuration choices (for example the RSA key length, the debug-unlock challenge validity of 30, 60 or 120 seconds, and the secure-boot failure action). These need a decision before a test can have a pass/fail threshold.</w:t>
      </w:r>
    </w:p>
    <w:p>
      <w:pPr>
        <w:numPr>
          <w:ilvl w:val="0"/>
          <w:numId w:val="1001"/>
        </w:numPr>
        <w:pStyle w:val="Compact"/>
      </w:pPr>
      <w:r>
        <w:t xml:space="preserve">27 of the 249 have no verification criteria in the SRS.</w:t>
      </w:r>
    </w:p>
    <w:p>
      <w:pPr>
        <w:numPr>
          <w:ilvl w:val="0"/>
          <w:numId w:val="1001"/>
        </w:numPr>
        <w:pStyle w:val="Compact"/>
      </w:pPr>
      <w:r>
        <w:t xml:space="preserve">Feature loaded:</w:t>
      </w:r>
      <w:r>
        <w:t xml:space="preserve"> </w:t>
      </w:r>
      <w:r>
        <w:rPr>
          <w:bCs/>
          <w:b/>
        </w:rPr>
        <w:t xml:space="preserve">Secure communication SOW1 to SOW2, Secure debug, Hardware security protection</w:t>
      </w:r>
      <w:r>
        <w:t xml:space="preserve"> </w:t>
      </w:r>
      <w:r>
        <w:t xml:space="preserve">(41 concept requirements and 30 technical requirements from Polarion). 46 test cases are specified in</w:t>
      </w:r>
      <w:r>
        <w:t xml:space="preserve"> </w:t>
      </w:r>
      <w:r>
        <w:rPr>
          <w:rStyle w:val="VerbatimChar"/>
        </w:rPr>
        <w:t xml:space="preserve">01-System/</w:t>
      </w:r>
      <w:r>
        <w:t xml:space="preserve"> </w:t>
      </w:r>
      <w:r>
        <w:t xml:space="preserve">(30 CS-SOW1, 15 CS-DBG, 1 CS-HWP). Findings and blockers:</w:t>
      </w:r>
      <w:r>
        <w:t xml:space="preserve"> </w:t>
      </w:r>
      <w:r>
        <w:rPr>
          <w:rStyle w:val="VerbatimChar"/>
        </w:rPr>
        <w:t xml:space="preserve">SecureComm_SOW1-SOW2_Feature_Summary.docx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No test scripts exist yet. The existing framework has SOME/IP and DHCP tests that can be reused (</w:t>
      </w:r>
      <w:r>
        <w:rPr>
          <w:rStyle w:val="VerbatimChar"/>
        </w:rPr>
        <w:t xml:space="preserve">04-Test-Environment/</w:t>
      </w:r>
      <w:r>
        <w:t xml:space="preserve">).</w:t>
      </w:r>
    </w:p>
    <w:bookmarkEnd w:id="21"/>
    <w:bookmarkStart w:id="22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Send the requirements for each feature. Put them in</w:t>
      </w:r>
      <w:r>
        <w:t xml:space="preserve"> </w:t>
      </w:r>
      <w:r>
        <w:rPr>
          <w:rStyle w:val="VerbatimChar"/>
        </w:rPr>
        <w:t xml:space="preserve">05-Requirements-Inbox/</w:t>
      </w:r>
      <w:r>
        <w:t xml:space="preserve"> </w:t>
      </w:r>
      <w:r>
        <w:t xml:space="preserve">or paste them in the chat. For each feature I will then add test cases, link them in the traceability matrix, and, once the missing bench items are settled, write the scripts in the existing iTestStudio format.</w:t>
      </w:r>
    </w:p>
    <w:bookmarkEnd w:id="22"/>
    <w:bookmarkStart w:id="23" w:name="naming"/>
    <w:p>
      <w:pPr>
        <w:pStyle w:val="Heading2"/>
      </w:pPr>
      <w:r>
        <w:t xml:space="preserve">Naming</w:t>
      </w:r>
    </w:p>
    <w:p>
      <w:pPr>
        <w:numPr>
          <w:ilvl w:val="0"/>
          <w:numId w:val="1002"/>
        </w:numPr>
        <w:pStyle w:val="Compact"/>
      </w:pPr>
      <w:r>
        <w:t xml:space="preserve">Test case ID:</w:t>
      </w:r>
      <w:r>
        <w:t xml:space="preserve"> </w:t>
      </w:r>
      <w:r>
        <w:rPr>
          <w:rStyle w:val="VerbatimChar"/>
        </w:rPr>
        <w:t xml:space="preserve">CS-&lt;AREA&gt;-&lt;nnn&gt;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CS-DTLS-001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CS-DBG-003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CS-BOOT-002</w:t>
      </w:r>
      <w:r>
        <w:t xml:space="preserve">. The areas are DTLS, SOW1, DBG, BOOT, DRAM, SOMEIP, UCM, ETH, GMSL, NVM.</w:t>
      </w:r>
    </w:p>
    <w:p>
      <w:pPr>
        <w:numPr>
          <w:ilvl w:val="0"/>
          <w:numId w:val="1002"/>
        </w:numPr>
        <w:pStyle w:val="Compact"/>
      </w:pPr>
      <w:r>
        <w:t xml:space="preserve">The test case ID is also the</w:t>
      </w:r>
      <w:r>
        <w:t xml:space="preserve"> </w:t>
      </w:r>
      <w:r>
        <w:rPr>
          <w:rStyle w:val="VerbatimChar"/>
        </w:rPr>
        <w:t xml:space="preserve">testcase_id</w:t>
      </w:r>
      <w:r>
        <w:t xml:space="preserve"> </w:t>
      </w:r>
      <w:r>
        <w:t xml:space="preserve">of a script in the existing framework, which needs a unique ID per script.</w:t>
      </w:r>
    </w:p>
    <w:bookmarkEnd w:id="23"/>
    <w:bookmarkEnd w:id="24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808080"/>
        <w:sz w:val="16"/>
      </w:rPr>
      <w:t xml:space="preserve">Mekra cybersecurity testing  |  README CS-Testing  |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Arial" w:cs="Arial" w:eastAsia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480"/>
    </w:pPr>
    <w:rPr>
      <w:rFonts w:ascii="Arial" w:cs="Arial" w:eastAsia="Arial" w:hAnsi="Arial"/>
      <w:i/>
      <w:color w:val="40404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7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2026-10-15T12:00:52Z</dcterms:created>
  <dcterms:modified xsi:type="dcterms:W3CDTF">2026-10-15T12:00:52Z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