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355"/>
          <w:sz w:val="42"/>
        </w:rPr>
        <w:t>SoC IDSP and MIPI CSI-2 Safety Requirements — Test Analysis</w:t>
      </w:r>
    </w:p>
    <w:p>
      <w:pPr>
        <w:spacing w:after="160"/>
      </w:pPr>
      <w:r>
        <w:rPr>
          <w:b/>
          <w:color w:val="2E5A88"/>
          <w:sz w:val="25"/>
        </w:rPr>
        <w:t>MVCU01 Vision Controller (11-P-01467) — 15 requirements from SG_1 and SG_3, allocated to Ambarella CV22FS software</w:t>
      </w:r>
    </w:p>
    <w:p>
      <w:pPr>
        <w:spacing w:after="200"/>
      </w:pPr>
      <w:r>
        <w:rPr>
          <w:b/>
          <w:color w:val="1F3355"/>
          <w:sz w:val="19"/>
        </w:rPr>
        <w:t>Headline: these split into two chains with completely different testability. The MIPI chain maps onto documented Ambarella safety mechanisms with real, citable registers and a usable injection path. The IDSP control-channel chain maps onto no documented mechanism at all — it is custom MEKRA software with no register map, no test point and no external observable. Only one of the 15 requirements can be tested without SoC-internal visibility.</w:t>
      </w:r>
    </w:p>
    <w:p>
      <w:pPr>
        <w:spacing w:after="120"/>
      </w:pPr>
      <w:r>
        <w:rPr>
          <w:b/>
          <w:color w:val="1F3355"/>
          <w:sz w:val="28"/>
        </w:rPr>
        <w:t>1.  The three groups</w:t>
      </w:r>
    </w:p>
    <w:tbl>
      <w:tblPr>
        <w:tblStyle w:val="TableGrid"/>
        <w:tblW w:type="auto" w:w="0"/>
        <w:tblLook w:firstColumn="1" w:firstRow="1" w:lastColumn="0" w:lastRow="0" w:noHBand="0" w:noVBand="1" w:val="04A0"/>
      </w:tblPr>
      <w:tblGrid>
        <w:gridCol w:w="3528"/>
        <w:gridCol w:w="3528"/>
        <w:gridCol w:w="3528"/>
        <w:gridCol w:w="3528"/>
      </w:tblGrid>
      <w:tr>
        <w:tc>
          <w:tcPr>
            <w:tcW w:type="dxa" w:w="3312"/>
          </w:tcPr>
          <w:p>
            <w:r/>
            <w:r>
              <w:rPr>
                <w:b/>
                <w:color w:val="1F3355"/>
                <w:sz w:val="16"/>
              </w:rPr>
              <w:t>Group</w:t>
            </w:r>
          </w:p>
        </w:tc>
        <w:tc>
          <w:tcPr>
            <w:tcW w:type="dxa" w:w="3600"/>
          </w:tcPr>
          <w:p>
            <w:r/>
            <w:r>
              <w:rPr>
                <w:b/>
                <w:color w:val="1F3355"/>
                <w:sz w:val="16"/>
              </w:rPr>
              <w:t>Requirements</w:t>
            </w:r>
          </w:p>
        </w:tc>
        <w:tc>
          <w:tcPr>
            <w:tcW w:type="dxa" w:w="1872"/>
          </w:tcPr>
          <w:p>
            <w:r/>
            <w:r>
              <w:rPr>
                <w:b/>
                <w:color w:val="1F3355"/>
                <w:sz w:val="16"/>
              </w:rPr>
              <w:t>Safety goal / ASIL</w:t>
            </w:r>
          </w:p>
        </w:tc>
        <w:tc>
          <w:tcPr>
            <w:tcW w:type="dxa" w:w="5760"/>
          </w:tcPr>
          <w:p>
            <w:r/>
            <w:r>
              <w:rPr>
                <w:b/>
                <w:color w:val="1F3355"/>
                <w:sz w:val="16"/>
              </w:rPr>
              <w:t>What it is</w:t>
            </w:r>
          </w:p>
        </w:tc>
      </w:tr>
      <w:tr>
        <w:tc>
          <w:tcPr>
            <w:tcW w:type="dxa" w:w="3312"/>
          </w:tcPr>
          <w:p>
            <w:r/>
            <w:r>
              <w:rPr>
                <w:b/>
                <w:sz w:val="16"/>
              </w:rPr>
              <w:t>A — IDSP control-channel test pattern</w:t>
            </w:r>
          </w:p>
        </w:tc>
        <w:tc>
          <w:tcPr>
            <w:tcW w:type="dxa" w:w="3600"/>
          </w:tcPr>
          <w:p>
            <w:r/>
            <w:r>
              <w:rPr>
                <w:b w:val="0"/>
                <w:sz w:val="16"/>
              </w:rPr>
              <w:t>MVC-100069, 100070, 100072, 100073, 100074, 100076, 100075, 100066, 100068, 100067  (10)</w:t>
            </w:r>
          </w:p>
        </w:tc>
        <w:tc>
          <w:tcPr>
            <w:tcW w:type="dxa" w:w="1872"/>
          </w:tcPr>
          <w:p>
            <w:r/>
            <w:r>
              <w:rPr>
                <w:b w:val="0"/>
                <w:sz w:val="16"/>
              </w:rPr>
              <w:t>SG_3 / ASIL A</w:t>
            </w:r>
          </w:p>
        </w:tc>
        <w:tc>
          <w:tcPr>
            <w:tcW w:type="dxa" w:w="5760"/>
          </w:tcPr>
          <w:p>
            <w:r/>
            <w:r>
              <w:rPr>
                <w:b w:val="0"/>
                <w:sz w:val="16"/>
              </w:rPr>
              <w:t>A second IDSP processing channel runs a static stripe-set pattern from DRAM through the same filter parameters as the live video channel every 3rd frame. Software then checks the output for ramp monotonicity, per-patch colour tolerance and high-frequency attenuation. A golden-pattern known-answer test of the image pipeline.</w:t>
            </w:r>
          </w:p>
        </w:tc>
      </w:tr>
      <w:tr>
        <w:tc>
          <w:tcPr>
            <w:tcW w:type="dxa" w:w="3312"/>
          </w:tcPr>
          <w:p>
            <w:r/>
            <w:r>
              <w:rPr>
                <w:b/>
                <w:sz w:val="16"/>
              </w:rPr>
              <w:t>B — MIPI CSI-2 ECC and CRC</w:t>
            </w:r>
          </w:p>
        </w:tc>
        <w:tc>
          <w:tcPr>
            <w:tcW w:type="dxa" w:w="3600"/>
          </w:tcPr>
          <w:p>
            <w:r/>
            <w:r>
              <w:rPr>
                <w:b w:val="0"/>
                <w:sz w:val="16"/>
              </w:rPr>
              <w:t>MVC-99786, 99788, 99789, 99790  (4)</w:t>
            </w:r>
          </w:p>
        </w:tc>
        <w:tc>
          <w:tcPr>
            <w:tcW w:type="dxa" w:w="1872"/>
          </w:tcPr>
          <w:p>
            <w:r/>
            <w:r>
              <w:rPr>
                <w:b w:val="0"/>
                <w:sz w:val="16"/>
              </w:rPr>
              <w:t>SG_1 / ASIL B</w:t>
            </w:r>
          </w:p>
        </w:tc>
        <w:tc>
          <w:tcPr>
            <w:tcW w:type="dxa" w:w="5760"/>
          </w:tcPr>
          <w:p>
            <w:r/>
            <w:r>
              <w:rPr>
                <w:b w:val="0"/>
                <w:sz w:val="16"/>
              </w:rPr>
              <w:t>Enable the CSI-2 packet-header ECC decoder and payload CRC checker in the VIN block, poll the VIN status register for error flags, and react to a confirmed error.</w:t>
            </w:r>
          </w:p>
        </w:tc>
      </w:tr>
      <w:tr>
        <w:tc>
          <w:tcPr>
            <w:tcW w:type="dxa" w:w="3312"/>
          </w:tcPr>
          <w:p>
            <w:r/>
            <w:r>
              <w:rPr>
                <w:b/>
                <w:sz w:val="16"/>
              </w:rPr>
              <w:t>C — I²C payload protection</w:t>
            </w:r>
          </w:p>
        </w:tc>
        <w:tc>
          <w:tcPr>
            <w:tcW w:type="dxa" w:w="3600"/>
          </w:tcPr>
          <w:p>
            <w:r/>
            <w:r>
              <w:rPr>
                <w:b w:val="0"/>
                <w:sz w:val="16"/>
              </w:rPr>
              <w:t>MVC-100755  (1)</w:t>
            </w:r>
          </w:p>
        </w:tc>
        <w:tc>
          <w:tcPr>
            <w:tcW w:type="dxa" w:w="1872"/>
          </w:tcPr>
          <w:p>
            <w:r/>
            <w:r>
              <w:rPr>
                <w:b w:val="0"/>
                <w:sz w:val="16"/>
              </w:rPr>
              <w:t>SG_3 / ASIL B</w:t>
            </w:r>
          </w:p>
        </w:tc>
        <w:tc>
          <w:tcPr>
            <w:tcW w:type="dxa" w:w="5760"/>
          </w:tcPr>
          <w:p>
            <w:r/>
            <w:r>
              <w:rPr>
                <w:b w:val="0"/>
                <w:sz w:val="16"/>
              </w:rPr>
              <w:t>CRC and message counter inside the AE/AWB configuration data sent from the SoC to the camera over I²C.</w:t>
            </w:r>
          </w:p>
        </w:tc>
      </w:tr>
    </w:tbl>
    <w:p>
      <w:pPr>
        <w:spacing w:after="40"/>
      </w:pPr>
    </w:p>
    <w:p>
      <w:pPr>
        <w:spacing w:after="80"/>
      </w:pPr>
      <w:r>
        <w:rPr>
          <w:b/>
          <w:color w:val="2E5A88"/>
          <w:sz w:val="23"/>
        </w:rPr>
        <w:t>1.1  Which documented safety mechanism each group maps to</w:t>
      </w:r>
    </w:p>
    <w:p>
      <w:pPr>
        <w:spacing w:after="100"/>
      </w:pPr>
      <w:r>
        <w:rPr>
          <w:b w:val="0"/>
          <w:sz w:val="19"/>
        </w:rPr>
        <w:t>Group B maps one-to-one onto mechanisms in the Ambarella CV2FS/CV22FS HW Safety Manual (SDK Draft v26). Group A does not.</w:t>
      </w:r>
    </w:p>
    <w:tbl>
      <w:tblPr>
        <w:tblStyle w:val="TableGrid"/>
        <w:tblW w:type="auto" w:w="0"/>
        <w:tblLook w:firstColumn="1" w:firstRow="1" w:lastColumn="0" w:lastRow="0" w:noHBand="0" w:noVBand="1" w:val="04A0"/>
      </w:tblPr>
      <w:tblGrid>
        <w:gridCol w:w="4704"/>
        <w:gridCol w:w="4704"/>
        <w:gridCol w:w="4704"/>
      </w:tblGrid>
      <w:tr>
        <w:tc>
          <w:tcPr>
            <w:tcW w:type="dxa" w:w="2160"/>
          </w:tcPr>
          <w:p>
            <w:r/>
            <w:r>
              <w:rPr>
                <w:b/>
                <w:color w:val="1F3355"/>
                <w:sz w:val="16"/>
              </w:rPr>
              <w:t>Requirement</w:t>
            </w:r>
          </w:p>
        </w:tc>
        <w:tc>
          <w:tcPr>
            <w:tcW w:type="dxa" w:w="2736"/>
          </w:tcPr>
          <w:p>
            <w:r/>
            <w:r>
              <w:rPr>
                <w:b/>
                <w:color w:val="1F3355"/>
                <w:sz w:val="16"/>
              </w:rPr>
              <w:t>Ambarella SM</w:t>
            </w:r>
          </w:p>
        </w:tc>
        <w:tc>
          <w:tcPr>
            <w:tcW w:type="dxa" w:w="9648"/>
          </w:tcPr>
          <w:p>
            <w:r/>
            <w:r>
              <w:rPr>
                <w:b/>
                <w:color w:val="1F3355"/>
                <w:sz w:val="16"/>
              </w:rPr>
              <w:t>Source</w:t>
            </w:r>
          </w:p>
        </w:tc>
      </w:tr>
      <w:tr>
        <w:tc>
          <w:tcPr>
            <w:tcW w:type="dxa" w:w="2160"/>
          </w:tcPr>
          <w:p>
            <w:r/>
            <w:r>
              <w:rPr>
                <w:b w:val="0"/>
                <w:sz w:val="16"/>
              </w:rPr>
              <w:t>MVC-99786</w:t>
            </w:r>
          </w:p>
        </w:tc>
        <w:tc>
          <w:tcPr>
            <w:tcW w:type="dxa" w:w="2736"/>
          </w:tcPr>
          <w:p>
            <w:r/>
            <w:r>
              <w:rPr>
                <w:b/>
                <w:color w:val="1B7F3B"/>
                <w:sz w:val="16"/>
              </w:rPr>
              <w:t>SM_HW_VIN_ECC</w:t>
            </w:r>
          </w:p>
        </w:tc>
        <w:tc>
          <w:tcPr>
            <w:tcW w:type="dxa" w:w="9648"/>
          </w:tcPr>
          <w:p>
            <w:r/>
            <w:r>
              <w:rPr>
                <w:b w:val="0"/>
                <w:sz w:val="16"/>
              </w:rPr>
              <w:t>Safety Manual §5.1.13 p.45. “SW shall enable this feature by setting MIPI_ECC_ENABLE in the VIN register.” Coverage 50% (99% for continuous multiple-bit error).</w:t>
            </w:r>
          </w:p>
        </w:tc>
      </w:tr>
      <w:tr>
        <w:tc>
          <w:tcPr>
            <w:tcW w:type="dxa" w:w="2160"/>
          </w:tcPr>
          <w:p>
            <w:r/>
            <w:r>
              <w:rPr>
                <w:b w:val="0"/>
                <w:sz w:val="16"/>
              </w:rPr>
              <w:t>MVC-99788</w:t>
            </w:r>
          </w:p>
        </w:tc>
        <w:tc>
          <w:tcPr>
            <w:tcW w:type="dxa" w:w="2736"/>
          </w:tcPr>
          <w:p>
            <w:r/>
            <w:r>
              <w:rPr>
                <w:b/>
                <w:color w:val="1B7F3B"/>
                <w:sz w:val="16"/>
              </w:rPr>
              <w:t>SM_HW_VIN_CRC</w:t>
            </w:r>
          </w:p>
        </w:tc>
        <w:tc>
          <w:tcPr>
            <w:tcW w:type="dxa" w:w="9648"/>
          </w:tcPr>
          <w:p>
            <w:r/>
            <w:r>
              <w:rPr>
                <w:b w:val="0"/>
                <w:sz w:val="16"/>
              </w:rPr>
              <w:t>Safety Manual §5.1.14 p.46. “SW shall set proper CRC_ERR_THRESHOLD in the VIN register.” Coverage 99%.</w:t>
            </w:r>
          </w:p>
        </w:tc>
      </w:tr>
      <w:tr>
        <w:tc>
          <w:tcPr>
            <w:tcW w:type="dxa" w:w="2160"/>
          </w:tcPr>
          <w:p>
            <w:r/>
            <w:r>
              <w:rPr>
                <w:b w:val="0"/>
                <w:sz w:val="16"/>
              </w:rPr>
              <w:t>MVC-99789</w:t>
            </w:r>
          </w:p>
        </w:tc>
        <w:tc>
          <w:tcPr>
            <w:tcW w:type="dxa" w:w="2736"/>
          </w:tcPr>
          <w:p>
            <w:r/>
            <w:r>
              <w:rPr>
                <w:b/>
                <w:color w:val="1B7F3B"/>
                <w:sz w:val="16"/>
              </w:rPr>
              <w:t>SM_HW_VIN_STATUS</w:t>
            </w:r>
          </w:p>
        </w:tc>
        <w:tc>
          <w:tcPr>
            <w:tcW w:type="dxa" w:w="9648"/>
          </w:tcPr>
          <w:p>
            <w:r/>
            <w:r>
              <w:rPr>
                <w:b w:val="0"/>
                <w:sz w:val="16"/>
              </w:rPr>
              <w:t>Safety Manual §5.1.15 pp.47–48. SDK API AmbaDiag_VinGetStatus(); reference code IoDiag_CheckVinStatus(). Records ECC/CRC errors, short line, short frame, FIFO overflow, MIPI control-packet sequence errors.</w:t>
            </w:r>
          </w:p>
        </w:tc>
      </w:tr>
      <w:tr>
        <w:tc>
          <w:tcPr>
            <w:tcW w:type="dxa" w:w="2160"/>
          </w:tcPr>
          <w:p>
            <w:r/>
            <w:r>
              <w:rPr>
                <w:b w:val="0"/>
                <w:sz w:val="16"/>
              </w:rPr>
              <w:t>MVC-99790</w:t>
            </w:r>
          </w:p>
        </w:tc>
        <w:tc>
          <w:tcPr>
            <w:tcW w:type="dxa" w:w="2736"/>
          </w:tcPr>
          <w:p>
            <w:r/>
            <w:r>
              <w:rPr>
                <w:b w:val="0"/>
                <w:sz w:val="16"/>
              </w:rPr>
              <w:t>Reaction to the above</w:t>
            </w:r>
          </w:p>
        </w:tc>
        <w:tc>
          <w:tcPr>
            <w:tcW w:type="dxa" w:w="9648"/>
          </w:tcPr>
          <w:p>
            <w:r/>
            <w:r>
              <w:rPr>
                <w:b w:val="0"/>
                <w:sz w:val="16"/>
              </w:rPr>
              <w:t>No separate SM — this is the system integrator's fault-reaction requirement.</w:t>
            </w:r>
          </w:p>
        </w:tc>
      </w:tr>
      <w:tr>
        <w:tc>
          <w:tcPr>
            <w:tcW w:type="dxa" w:w="2160"/>
          </w:tcPr>
          <w:p>
            <w:r/>
            <w:r>
              <w:rPr>
                <w:b/>
                <w:sz w:val="16"/>
              </w:rPr>
              <w:t>MVC-100066 – 100076 (all of group A)</w:t>
            </w:r>
          </w:p>
        </w:tc>
        <w:tc>
          <w:tcPr>
            <w:tcW w:type="dxa" w:w="2736"/>
          </w:tcPr>
          <w:p>
            <w:r/>
            <w:r>
              <w:rPr>
                <w:b/>
                <w:color w:val="B03022"/>
                <w:sz w:val="16"/>
              </w:rPr>
              <w:t>No matching SM</w:t>
            </w:r>
          </w:p>
        </w:tc>
        <w:tc>
          <w:tcPr>
            <w:tcW w:type="dxa" w:w="9648"/>
          </w:tcPr>
          <w:p>
            <w:r/>
            <w:r>
              <w:rPr>
                <w:b w:val="0"/>
                <w:sz w:val="16"/>
              </w:rPr>
              <w:t>The Safety Manual's IDSP mechanism is SM_HW_TESTFRAME (§5.1.12 pp.43–45): a golden-checksum test frame, coverage 60–90%, driven by AmbaDSP_TestFrameConfig() / AmbaDSP_TestFrameCtrl(). That is a checksum comparison, not a content-based stripe analysis. The control-channel mechanism our requirements describe is not documented anywhere in the Safety Manual or the Programming Reference Manual.</w:t>
            </w:r>
          </w:p>
        </w:tc>
      </w:tr>
    </w:tbl>
    <w:p>
      <w:pPr>
        <w:spacing w:after="40"/>
      </w:pPr>
    </w:p>
    <w:p>
      <w:pPr>
        <w:spacing w:after="160"/>
      </w:pPr>
      <w:r>
        <w:rPr>
          <w:b/>
          <w:color w:val="A86A0A"/>
          <w:sz w:val="19"/>
        </w:rPr>
        <w:t>Open question for the safety architect: is the control-channel mechanism being implemented instead of SM_HW_TESTFRAME, or alongside it? If instead, we lose Ambarella's 60–90% documented datapath coverage and replace it with a mechanism that has no vendor coverage figure. If alongside, SM_HW_TESTFRAME needs its own requirements — it currently has none in this set.</w:t>
      </w:r>
    </w:p>
    <w:p>
      <w:r>
        <w:br w:type="page"/>
      </w:r>
    </w:p>
    <w:p>
      <w:pPr>
        <w:spacing w:after="120"/>
      </w:pPr>
      <w:r>
        <w:rPr>
          <w:b/>
          <w:color w:val="1F3355"/>
          <w:sz w:val="28"/>
        </w:rPr>
        <w:t>2.  Registers — what we can actually cite</w:t>
      </w:r>
    </w:p>
    <w:p>
      <w:pPr>
        <w:spacing w:after="100"/>
      </w:pPr>
      <w:r>
        <w:rPr>
          <w:b w:val="0"/>
          <w:sz w:val="19"/>
        </w:rPr>
        <w:t>From the CV22FS Hardware Programming Reference Manual v1.5, §6 VIN, pp.72–76. Offsets are word offsets inside the VIN register block; the block base address must come from the SDK memory map and is not reproduced in those pages.</w:t>
      </w:r>
    </w:p>
    <w:p>
      <w:pPr>
        <w:spacing w:after="80"/>
      </w:pPr>
      <w:r>
        <w:rPr>
          <w:b/>
          <w:color w:val="2E5A88"/>
          <w:sz w:val="23"/>
        </w:rPr>
        <w:t>2.1  Configuration registers (group B initialisation)</w:t>
      </w:r>
    </w:p>
    <w:tbl>
      <w:tblPr>
        <w:tblStyle w:val="TableGrid"/>
        <w:tblW w:type="auto" w:w="0"/>
        <w:tblLook w:firstColumn="1" w:firstRow="1" w:lastColumn="0" w:lastRow="0" w:noHBand="0" w:noVBand="1" w:val="04A0"/>
      </w:tblPr>
      <w:tblGrid>
        <w:gridCol w:w="2822"/>
        <w:gridCol w:w="2822"/>
        <w:gridCol w:w="2822"/>
        <w:gridCol w:w="2822"/>
        <w:gridCol w:w="2822"/>
      </w:tblGrid>
      <w:tr>
        <w:tc>
          <w:tcPr>
            <w:tcW w:type="dxa" w:w="4176"/>
          </w:tcPr>
          <w:p>
            <w:r/>
            <w:r>
              <w:rPr>
                <w:b/>
                <w:color w:val="1F3355"/>
                <w:sz w:val="16"/>
              </w:rPr>
              <w:t>Register</w:t>
            </w:r>
          </w:p>
        </w:tc>
        <w:tc>
          <w:tcPr>
            <w:tcW w:type="dxa" w:w="1872"/>
          </w:tcPr>
          <w:p>
            <w:r/>
            <w:r>
              <w:rPr>
                <w:b/>
                <w:color w:val="1F3355"/>
                <w:sz w:val="16"/>
              </w:rPr>
              <w:t>Offset / bits</w:t>
            </w:r>
          </w:p>
        </w:tc>
        <w:tc>
          <w:tcPr>
            <w:tcW w:type="dxa" w:w="1152"/>
          </w:tcPr>
          <w:p>
            <w:r/>
            <w:r>
              <w:rPr>
                <w:b/>
                <w:color w:val="1F3355"/>
                <w:sz w:val="16"/>
              </w:rPr>
              <w:t>Access</w:t>
            </w:r>
          </w:p>
        </w:tc>
        <w:tc>
          <w:tcPr>
            <w:tcW w:type="dxa" w:w="1008"/>
          </w:tcPr>
          <w:p>
            <w:r/>
            <w:r>
              <w:rPr>
                <w:b/>
                <w:color w:val="1F3355"/>
                <w:sz w:val="16"/>
              </w:rPr>
              <w:t>Reset</w:t>
            </w:r>
          </w:p>
        </w:tc>
        <w:tc>
          <w:tcPr>
            <w:tcW w:type="dxa" w:w="6336"/>
          </w:tcPr>
          <w:p>
            <w:r/>
            <w:r>
              <w:rPr>
                <w:b/>
                <w:color w:val="1F3355"/>
                <w:sz w:val="16"/>
              </w:rPr>
              <w:t>Notes</w:t>
            </w:r>
          </w:p>
        </w:tc>
      </w:tr>
      <w:tr>
        <w:tc>
          <w:tcPr>
            <w:tcW w:type="dxa" w:w="4176"/>
          </w:tcPr>
          <w:p>
            <w:r/>
            <w:r>
              <w:rPr>
                <w:b/>
                <w:sz w:val="16"/>
              </w:rPr>
              <w:t>MIPI_ECC_ENABLE</w:t>
            </w:r>
          </w:p>
        </w:tc>
        <w:tc>
          <w:tcPr>
            <w:tcW w:type="dxa" w:w="1872"/>
          </w:tcPr>
          <w:p>
            <w:r/>
            <w:r>
              <w:rPr>
                <w:b w:val="0"/>
                <w:sz w:val="16"/>
              </w:rPr>
              <w:t>31, bit 13</w:t>
            </w:r>
          </w:p>
        </w:tc>
        <w:tc>
          <w:tcPr>
            <w:tcW w:type="dxa" w:w="1152"/>
          </w:tcPr>
          <w:p>
            <w:r/>
            <w:r>
              <w:rPr>
                <w:b w:val="0"/>
                <w:sz w:val="16"/>
              </w:rPr>
              <w:t>RW</w:t>
            </w:r>
          </w:p>
        </w:tc>
        <w:tc>
          <w:tcPr>
            <w:tcW w:type="dxa" w:w="1008"/>
          </w:tcPr>
          <w:p>
            <w:r/>
            <w:r>
              <w:rPr>
                <w:b w:val="0"/>
                <w:sz w:val="16"/>
              </w:rPr>
              <w:t>0</w:t>
            </w:r>
          </w:p>
        </w:tc>
        <w:tc>
          <w:tcPr>
            <w:tcW w:type="dxa" w:w="6336"/>
          </w:tcPr>
          <w:p>
            <w:r/>
            <w:r>
              <w:rPr>
                <w:b w:val="0"/>
                <w:color w:val="1B7F3B"/>
                <w:sz w:val="16"/>
              </w:rPr>
              <w:t>Directly satisfies MVC-99786. Read offset 31 and verify bit 13 == 1.</w:t>
            </w:r>
          </w:p>
        </w:tc>
      </w:tr>
      <w:tr>
        <w:tc>
          <w:tcPr>
            <w:tcW w:type="dxa" w:w="4176"/>
          </w:tcPr>
          <w:p>
            <w:r/>
            <w:r>
              <w:rPr>
                <w:b/>
                <w:sz w:val="16"/>
              </w:rPr>
              <w:t>MIPI_CRC_ERR_THRESHOLD</w:t>
            </w:r>
          </w:p>
        </w:tc>
        <w:tc>
          <w:tcPr>
            <w:tcW w:type="dxa" w:w="1872"/>
          </w:tcPr>
          <w:p>
            <w:r/>
            <w:r>
              <w:rPr>
                <w:b w:val="0"/>
                <w:sz w:val="16"/>
              </w:rPr>
              <w:t>61, bits 15:0</w:t>
            </w:r>
          </w:p>
        </w:tc>
        <w:tc>
          <w:tcPr>
            <w:tcW w:type="dxa" w:w="1152"/>
          </w:tcPr>
          <w:p>
            <w:r/>
            <w:r>
              <w:rPr>
                <w:b w:val="0"/>
                <w:sz w:val="16"/>
              </w:rPr>
              <w:t>RW</w:t>
            </w:r>
          </w:p>
        </w:tc>
        <w:tc>
          <w:tcPr>
            <w:tcW w:type="dxa" w:w="1008"/>
          </w:tcPr>
          <w:p>
            <w:r/>
            <w:r>
              <w:rPr>
                <w:b w:val="0"/>
                <w:sz w:val="16"/>
              </w:rPr>
              <w:t>0</w:t>
            </w:r>
          </w:p>
        </w:tc>
        <w:tc>
          <w:tcPr>
            <w:tcW w:type="dxa" w:w="6336"/>
          </w:tcPr>
          <w:p>
            <w:r/>
            <w:r>
              <w:rPr>
                <w:b w:val="0"/>
                <w:color w:val="B03022"/>
                <w:sz w:val="16"/>
              </w:rPr>
              <w:t>A 16-bit threshold value, not a bit. “Number of CRC err threshold that when crossed, error will be reported.” See defect D1.</w:t>
            </w:r>
          </w:p>
        </w:tc>
      </w:tr>
      <w:tr>
        <w:tc>
          <w:tcPr>
            <w:tcW w:type="dxa" w:w="4176"/>
          </w:tcPr>
          <w:p>
            <w:r/>
            <w:r>
              <w:rPr>
                <w:b w:val="0"/>
                <w:sz w:val="16"/>
              </w:rPr>
              <w:t>MIPI_CORR_ECC_ERR_THRESHOLD</w:t>
            </w:r>
          </w:p>
        </w:tc>
        <w:tc>
          <w:tcPr>
            <w:tcW w:type="dxa" w:w="1872"/>
          </w:tcPr>
          <w:p>
            <w:r/>
            <w:r>
              <w:rPr>
                <w:b w:val="0"/>
                <w:sz w:val="16"/>
              </w:rPr>
              <w:t>62, bits 15:0</w:t>
            </w:r>
          </w:p>
        </w:tc>
        <w:tc>
          <w:tcPr>
            <w:tcW w:type="dxa" w:w="1152"/>
          </w:tcPr>
          <w:p>
            <w:r/>
            <w:r>
              <w:rPr>
                <w:b w:val="0"/>
                <w:sz w:val="16"/>
              </w:rPr>
              <w:t>RW</w:t>
            </w:r>
          </w:p>
        </w:tc>
        <w:tc>
          <w:tcPr>
            <w:tcW w:type="dxa" w:w="1008"/>
          </w:tcPr>
          <w:p>
            <w:r/>
            <w:r>
              <w:rPr>
                <w:b w:val="0"/>
                <w:sz w:val="16"/>
              </w:rPr>
              <w:t>64</w:t>
            </w:r>
          </w:p>
        </w:tc>
        <w:tc>
          <w:tcPr>
            <w:tcW w:type="dxa" w:w="6336"/>
          </w:tcPr>
          <w:p>
            <w:r/>
            <w:r>
              <w:rPr>
                <w:b w:val="0"/>
                <w:sz w:val="16"/>
              </w:rPr>
              <w:t>Correctable-ECC counterpart threshold. Not referenced by any requirement in this set — possible gap.</w:t>
            </w:r>
          </w:p>
        </w:tc>
      </w:tr>
      <w:tr>
        <w:tc>
          <w:tcPr>
            <w:tcW w:type="dxa" w:w="4176"/>
          </w:tcPr>
          <w:p>
            <w:r/>
            <w:r>
              <w:rPr>
                <w:b w:val="0"/>
                <w:sz w:val="16"/>
              </w:rPr>
              <w:t>MIPI_FWD_ECC</w:t>
            </w:r>
          </w:p>
        </w:tc>
        <w:tc>
          <w:tcPr>
            <w:tcW w:type="dxa" w:w="1872"/>
          </w:tcPr>
          <w:p>
            <w:r/>
            <w:r>
              <w:rPr>
                <w:b w:val="0"/>
                <w:sz w:val="16"/>
              </w:rPr>
              <w:t>31, bit 14</w:t>
            </w:r>
          </w:p>
        </w:tc>
        <w:tc>
          <w:tcPr>
            <w:tcW w:type="dxa" w:w="1152"/>
          </w:tcPr>
          <w:p>
            <w:r/>
            <w:r>
              <w:rPr>
                <w:b w:val="0"/>
                <w:sz w:val="16"/>
              </w:rPr>
              <w:t>RW</w:t>
            </w:r>
          </w:p>
        </w:tc>
        <w:tc>
          <w:tcPr>
            <w:tcW w:type="dxa" w:w="1008"/>
          </w:tcPr>
          <w:p>
            <w:r/>
            <w:r>
              <w:rPr>
                <w:b/>
                <w:color w:val="B03022"/>
                <w:sz w:val="16"/>
              </w:rPr>
              <w:t>1</w:t>
            </w:r>
          </w:p>
        </w:tc>
        <w:tc>
          <w:tcPr>
            <w:tcW w:type="dxa" w:w="6336"/>
          </w:tcPr>
          <w:p>
            <w:r/>
            <w:r>
              <w:rPr>
                <w:b w:val="0"/>
                <w:sz w:val="16"/>
              </w:rPr>
              <w:t>“0 = Do not forward errored packets; 1 = Forward errored packets (default mode).” Defaults to forwarding corrupted frames downstream. Worth confirming the project sets this deliberately.</w:t>
            </w:r>
          </w:p>
        </w:tc>
      </w:tr>
      <w:tr>
        <w:tc>
          <w:tcPr>
            <w:tcW w:type="dxa" w:w="4176"/>
          </w:tcPr>
          <w:p>
            <w:r/>
            <w:r>
              <w:rPr>
                <w:b w:val="0"/>
                <w:sz w:val="16"/>
              </w:rPr>
              <w:t>CRC_ERR_INTR_MASK / ECC_CORR_ERR_INTR_MASK / ECC_UNCORR_ERR_INTR_MASK</w:t>
            </w:r>
          </w:p>
        </w:tc>
        <w:tc>
          <w:tcPr>
            <w:tcW w:type="dxa" w:w="1872"/>
          </w:tcPr>
          <w:p>
            <w:r/>
            <w:r>
              <w:rPr>
                <w:b w:val="0"/>
                <w:sz w:val="16"/>
              </w:rPr>
              <w:t>44, bits 10 / 11 / 12</w:t>
            </w:r>
          </w:p>
        </w:tc>
        <w:tc>
          <w:tcPr>
            <w:tcW w:type="dxa" w:w="1152"/>
          </w:tcPr>
          <w:p>
            <w:r/>
            <w:r>
              <w:rPr>
                <w:b w:val="0"/>
                <w:sz w:val="16"/>
              </w:rPr>
              <w:t>RW</w:t>
            </w:r>
          </w:p>
        </w:tc>
        <w:tc>
          <w:tcPr>
            <w:tcW w:type="dxa" w:w="1008"/>
          </w:tcPr>
          <w:p>
            <w:r/>
            <w:r>
              <w:rPr>
                <w:b w:val="0"/>
                <w:sz w:val="16"/>
              </w:rPr>
              <w:t>1</w:t>
            </w:r>
          </w:p>
        </w:tc>
        <w:tc>
          <w:tcPr>
            <w:tcW w:type="dxa" w:w="6336"/>
          </w:tcPr>
          <w:p>
            <w:r/>
            <w:r>
              <w:rPr>
                <w:b w:val="0"/>
                <w:sz w:val="16"/>
              </w:rPr>
              <w:t>Route the error to the Arm interrupt.</w:t>
            </w:r>
          </w:p>
        </w:tc>
      </w:tr>
      <w:tr>
        <w:tc>
          <w:tcPr>
            <w:tcW w:type="dxa" w:w="4176"/>
          </w:tcPr>
          <w:p>
            <w:r/>
            <w:r>
              <w:rPr>
                <w:b w:val="0"/>
                <w:sz w:val="16"/>
              </w:rPr>
              <w:t>*_ECR_MASK equivalents</w:t>
            </w:r>
          </w:p>
        </w:tc>
        <w:tc>
          <w:tcPr>
            <w:tcW w:type="dxa" w:w="1872"/>
          </w:tcPr>
          <w:p>
            <w:r/>
            <w:r>
              <w:rPr>
                <w:b w:val="0"/>
                <w:sz w:val="16"/>
              </w:rPr>
              <w:t>45, same bit order</w:t>
            </w:r>
          </w:p>
        </w:tc>
        <w:tc>
          <w:tcPr>
            <w:tcW w:type="dxa" w:w="1152"/>
          </w:tcPr>
          <w:p>
            <w:r/>
            <w:r>
              <w:rPr>
                <w:b w:val="0"/>
                <w:sz w:val="16"/>
              </w:rPr>
              <w:t>RW</w:t>
            </w:r>
          </w:p>
        </w:tc>
        <w:tc>
          <w:tcPr>
            <w:tcW w:type="dxa" w:w="1008"/>
          </w:tcPr>
          <w:p>
            <w:r/>
            <w:r>
              <w:rPr>
                <w:b w:val="0"/>
                <w:sz w:val="16"/>
              </w:rPr>
              <w:t>1</w:t>
            </w:r>
          </w:p>
        </w:tc>
        <w:tc>
          <w:tcPr>
            <w:tcW w:type="dxa" w:w="6336"/>
          </w:tcPr>
          <w:p>
            <w:r/>
            <w:r>
              <w:rPr>
                <w:b w:val="0"/>
                <w:sz w:val="16"/>
              </w:rPr>
              <w:t>Route the error to ERR_VLD, i.e. to the CEHU. Both paths are independently maskable (PRM §6.5.1 p.57).</w:t>
            </w:r>
          </w:p>
        </w:tc>
      </w:tr>
    </w:tbl>
    <w:p>
      <w:pPr>
        <w:spacing w:after="40"/>
      </w:pPr>
    </w:p>
    <w:p>
      <w:pPr>
        <w:spacing w:after="80"/>
      </w:pPr>
      <w:r>
        <w:rPr>
          <w:b/>
          <w:color w:val="2E5A88"/>
          <w:sz w:val="23"/>
        </w:rPr>
        <w:t>2.2  Status registers (group B detection)</w:t>
      </w:r>
    </w:p>
    <w:tbl>
      <w:tblPr>
        <w:tblStyle w:val="TableGrid"/>
        <w:tblW w:type="auto" w:w="0"/>
        <w:tblLook w:firstColumn="1" w:firstRow="1" w:lastColumn="0" w:lastRow="0" w:noHBand="0" w:noVBand="1" w:val="04A0"/>
      </w:tblPr>
      <w:tblGrid>
        <w:gridCol w:w="3528"/>
        <w:gridCol w:w="3528"/>
        <w:gridCol w:w="3528"/>
        <w:gridCol w:w="3528"/>
      </w:tblGrid>
      <w:tr>
        <w:tc>
          <w:tcPr>
            <w:tcW w:type="dxa" w:w="4176"/>
          </w:tcPr>
          <w:p>
            <w:r/>
            <w:r>
              <w:rPr>
                <w:b/>
                <w:color w:val="1F3355"/>
                <w:sz w:val="16"/>
              </w:rPr>
              <w:t>Register</w:t>
            </w:r>
          </w:p>
        </w:tc>
        <w:tc>
          <w:tcPr>
            <w:tcW w:type="dxa" w:w="1872"/>
          </w:tcPr>
          <w:p>
            <w:r/>
            <w:r>
              <w:rPr>
                <w:b/>
                <w:color w:val="1F3355"/>
                <w:sz w:val="16"/>
              </w:rPr>
              <w:t>Offset / bits</w:t>
            </w:r>
          </w:p>
        </w:tc>
        <w:tc>
          <w:tcPr>
            <w:tcW w:type="dxa" w:w="1152"/>
          </w:tcPr>
          <w:p>
            <w:r/>
            <w:r>
              <w:rPr>
                <w:b/>
                <w:color w:val="1F3355"/>
                <w:sz w:val="16"/>
              </w:rPr>
              <w:t>Access</w:t>
            </w:r>
          </w:p>
        </w:tc>
        <w:tc>
          <w:tcPr>
            <w:tcW w:type="dxa" w:w="7344"/>
          </w:tcPr>
          <w:p>
            <w:r/>
            <w:r>
              <w:rPr>
                <w:b/>
                <w:color w:val="1F3355"/>
                <w:sz w:val="16"/>
              </w:rPr>
              <w:t>Meaning</w:t>
            </w:r>
          </w:p>
        </w:tc>
      </w:tr>
      <w:tr>
        <w:tc>
          <w:tcPr>
            <w:tcW w:type="dxa" w:w="4176"/>
          </w:tcPr>
          <w:p>
            <w:r/>
            <w:r>
              <w:rPr>
                <w:b w:val="0"/>
                <w:sz w:val="16"/>
              </w:rPr>
              <w:t>MIPI_ECC_ERR_2BIT</w:t>
            </w:r>
          </w:p>
        </w:tc>
        <w:tc>
          <w:tcPr>
            <w:tcW w:type="dxa" w:w="1872"/>
          </w:tcPr>
          <w:p>
            <w:r/>
            <w:r>
              <w:rPr>
                <w:b w:val="0"/>
                <w:sz w:val="16"/>
              </w:rPr>
              <w:t>55, bit 0</w:t>
            </w:r>
          </w:p>
        </w:tc>
        <w:tc>
          <w:tcPr>
            <w:tcW w:type="dxa" w:w="1152"/>
          </w:tcPr>
          <w:p>
            <w:r/>
            <w:r>
              <w:rPr>
                <w:b/>
                <w:color w:val="B03022"/>
                <w:sz w:val="16"/>
              </w:rPr>
              <w:t>RWC</w:t>
            </w:r>
          </w:p>
        </w:tc>
        <w:tc>
          <w:tcPr>
            <w:tcW w:type="dxa" w:w="7344"/>
          </w:tcPr>
          <w:p>
            <w:r/>
            <w:r>
              <w:rPr>
                <w:b w:val="0"/>
                <w:sz w:val="16"/>
              </w:rPr>
              <w:t>2-bit uncorrectable ECC error — the packet-header error of MVC-99789.</w:t>
            </w:r>
          </w:p>
        </w:tc>
      </w:tr>
      <w:tr>
        <w:tc>
          <w:tcPr>
            <w:tcW w:type="dxa" w:w="4176"/>
          </w:tcPr>
          <w:p>
            <w:r/>
            <w:r>
              <w:rPr>
                <w:b w:val="0"/>
                <w:sz w:val="16"/>
              </w:rPr>
              <w:t>MIPI_ECC_ERR_1BIT</w:t>
            </w:r>
          </w:p>
        </w:tc>
        <w:tc>
          <w:tcPr>
            <w:tcW w:type="dxa" w:w="1872"/>
          </w:tcPr>
          <w:p>
            <w:r/>
            <w:r>
              <w:rPr>
                <w:b w:val="0"/>
                <w:sz w:val="16"/>
              </w:rPr>
              <w:t>55, bit 1</w:t>
            </w:r>
          </w:p>
        </w:tc>
        <w:tc>
          <w:tcPr>
            <w:tcW w:type="dxa" w:w="1152"/>
          </w:tcPr>
          <w:p>
            <w:r/>
            <w:r>
              <w:rPr>
                <w:b/>
                <w:color w:val="B03022"/>
                <w:sz w:val="16"/>
              </w:rPr>
              <w:t>RWC</w:t>
            </w:r>
          </w:p>
        </w:tc>
        <w:tc>
          <w:tcPr>
            <w:tcW w:type="dxa" w:w="7344"/>
          </w:tcPr>
          <w:p>
            <w:r/>
            <w:r>
              <w:rPr>
                <w:b w:val="0"/>
                <w:sz w:val="16"/>
              </w:rPr>
              <w:t>1-bit ECC error corrected.</w:t>
            </w:r>
          </w:p>
        </w:tc>
      </w:tr>
      <w:tr>
        <w:tc>
          <w:tcPr>
            <w:tcW w:type="dxa" w:w="4176"/>
          </w:tcPr>
          <w:p>
            <w:r/>
            <w:r>
              <w:rPr>
                <w:b w:val="0"/>
                <w:sz w:val="16"/>
              </w:rPr>
              <w:t>MIPI_CRC_ERROR</w:t>
            </w:r>
          </w:p>
        </w:tc>
        <w:tc>
          <w:tcPr>
            <w:tcW w:type="dxa" w:w="1872"/>
          </w:tcPr>
          <w:p>
            <w:r/>
            <w:r>
              <w:rPr>
                <w:b w:val="0"/>
                <w:sz w:val="16"/>
              </w:rPr>
              <w:t>55, bit 2</w:t>
            </w:r>
          </w:p>
        </w:tc>
        <w:tc>
          <w:tcPr>
            <w:tcW w:type="dxa" w:w="1152"/>
          </w:tcPr>
          <w:p>
            <w:r/>
            <w:r>
              <w:rPr>
                <w:b/>
                <w:color w:val="B03022"/>
                <w:sz w:val="16"/>
              </w:rPr>
              <w:t>RWC</w:t>
            </w:r>
          </w:p>
        </w:tc>
        <w:tc>
          <w:tcPr>
            <w:tcW w:type="dxa" w:w="7344"/>
          </w:tcPr>
          <w:p>
            <w:r/>
            <w:r>
              <w:rPr>
                <w:b w:val="0"/>
                <w:sz w:val="16"/>
              </w:rPr>
              <w:t>Long-packet CRC error — the payload error of MVC-99789.</w:t>
            </w:r>
          </w:p>
        </w:tc>
      </w:tr>
      <w:tr>
        <w:tc>
          <w:tcPr>
            <w:tcW w:type="dxa" w:w="4176"/>
          </w:tcPr>
          <w:p>
            <w:r/>
            <w:r>
              <w:rPr>
                <w:b w:val="0"/>
                <w:sz w:val="16"/>
              </w:rPr>
              <w:t>MIPI_ERR_FS</w:t>
            </w:r>
          </w:p>
        </w:tc>
        <w:tc>
          <w:tcPr>
            <w:tcW w:type="dxa" w:w="1872"/>
          </w:tcPr>
          <w:p>
            <w:r/>
            <w:r>
              <w:rPr>
                <w:b w:val="0"/>
                <w:sz w:val="16"/>
              </w:rPr>
              <w:t>55, bit 3</w:t>
            </w:r>
          </w:p>
        </w:tc>
        <w:tc>
          <w:tcPr>
            <w:tcW w:type="dxa" w:w="1152"/>
          </w:tcPr>
          <w:p>
            <w:r/>
            <w:r>
              <w:rPr>
                <w:b w:val="0"/>
                <w:sz w:val="16"/>
              </w:rPr>
              <w:t>RWC</w:t>
            </w:r>
          </w:p>
        </w:tc>
        <w:tc>
          <w:tcPr>
            <w:tcW w:type="dxa" w:w="7344"/>
          </w:tcPr>
          <w:p>
            <w:r/>
            <w:r>
              <w:rPr>
                <w:b w:val="0"/>
                <w:sz w:val="16"/>
              </w:rPr>
              <w:t>Frame-sync error (unpaired SOF or EOF).</w:t>
            </w:r>
          </w:p>
        </w:tc>
      </w:tr>
      <w:tr>
        <w:tc>
          <w:tcPr>
            <w:tcW w:type="dxa" w:w="4176"/>
          </w:tcPr>
          <w:p>
            <w:r/>
            <w:r>
              <w:rPr>
                <w:b w:val="0"/>
                <w:sz w:val="16"/>
              </w:rPr>
              <w:t>MIPI_NUM_CRC_ERR_PACKET</w:t>
            </w:r>
          </w:p>
        </w:tc>
        <w:tc>
          <w:tcPr>
            <w:tcW w:type="dxa" w:w="1872"/>
          </w:tcPr>
          <w:p>
            <w:r/>
            <w:r>
              <w:rPr>
                <w:b w:val="0"/>
                <w:sz w:val="16"/>
              </w:rPr>
              <w:t>59, bits 15:0</w:t>
            </w:r>
          </w:p>
        </w:tc>
        <w:tc>
          <w:tcPr>
            <w:tcW w:type="dxa" w:w="1152"/>
          </w:tcPr>
          <w:p>
            <w:r/>
            <w:r>
              <w:rPr>
                <w:b w:val="0"/>
                <w:sz w:val="16"/>
              </w:rPr>
              <w:t>RWC</w:t>
            </w:r>
          </w:p>
        </w:tc>
        <w:tc>
          <w:tcPr>
            <w:tcW w:type="dxa" w:w="7344"/>
          </w:tcPr>
          <w:p>
            <w:r/>
            <w:r>
              <w:rPr>
                <w:b w:val="0"/>
                <w:sz w:val="16"/>
              </w:rPr>
              <w:t>Count of packets with CRC errors. More useful than the flag for a graded injection.</w:t>
            </w:r>
          </w:p>
        </w:tc>
      </w:tr>
      <w:tr>
        <w:tc>
          <w:tcPr>
            <w:tcW w:type="dxa" w:w="4176"/>
          </w:tcPr>
          <w:p>
            <w:r/>
            <w:r>
              <w:rPr>
                <w:b w:val="0"/>
                <w:sz w:val="16"/>
              </w:rPr>
              <w:t>MIPI_NUM_CORR_ECC_ERR_PACKET</w:t>
            </w:r>
          </w:p>
        </w:tc>
        <w:tc>
          <w:tcPr>
            <w:tcW w:type="dxa" w:w="1872"/>
          </w:tcPr>
          <w:p>
            <w:r/>
            <w:r>
              <w:rPr>
                <w:b w:val="0"/>
                <w:sz w:val="16"/>
              </w:rPr>
              <w:t>63, bits 15:0</w:t>
            </w:r>
          </w:p>
        </w:tc>
        <w:tc>
          <w:tcPr>
            <w:tcW w:type="dxa" w:w="1152"/>
          </w:tcPr>
          <w:p>
            <w:r/>
            <w:r>
              <w:rPr>
                <w:b w:val="0"/>
                <w:sz w:val="16"/>
              </w:rPr>
              <w:t>RWC</w:t>
            </w:r>
          </w:p>
        </w:tc>
        <w:tc>
          <w:tcPr>
            <w:tcW w:type="dxa" w:w="7344"/>
          </w:tcPr>
          <w:p>
            <w:r/>
            <w:r>
              <w:rPr>
                <w:b w:val="0"/>
                <w:sz w:val="16"/>
              </w:rPr>
              <w:t>Count of packets with correctable ECC errors.</w:t>
            </w:r>
          </w:p>
        </w:tc>
      </w:tr>
      <w:tr>
        <w:tc>
          <w:tcPr>
            <w:tcW w:type="dxa" w:w="4176"/>
          </w:tcPr>
          <w:p>
            <w:r/>
            <w:r>
              <w:rPr>
                <w:b w:val="0"/>
                <w:sz w:val="16"/>
              </w:rPr>
              <w:t>MIPI_FRAME_NUMBER</w:t>
            </w:r>
          </w:p>
        </w:tc>
        <w:tc>
          <w:tcPr>
            <w:tcW w:type="dxa" w:w="1872"/>
          </w:tcPr>
          <w:p>
            <w:r/>
            <w:r>
              <w:rPr>
                <w:b w:val="0"/>
                <w:sz w:val="16"/>
              </w:rPr>
              <w:t>60, bits 15:0</w:t>
            </w:r>
          </w:p>
        </w:tc>
        <w:tc>
          <w:tcPr>
            <w:tcW w:type="dxa" w:w="1152"/>
          </w:tcPr>
          <w:p>
            <w:r/>
            <w:r>
              <w:rPr>
                <w:b w:val="0"/>
                <w:sz w:val="16"/>
              </w:rPr>
              <w:t>R</w:t>
            </w:r>
          </w:p>
        </w:tc>
        <w:tc>
          <w:tcPr>
            <w:tcW w:type="dxa" w:w="7344"/>
          </w:tcPr>
          <w:p>
            <w:r/>
            <w:r>
              <w:rPr>
                <w:b w:val="0"/>
                <w:sz w:val="16"/>
              </w:rPr>
              <w:t>Frame number from the short-packet header — lets a TC tie an error to a specific frame.</w:t>
            </w:r>
          </w:p>
        </w:tc>
      </w:tr>
    </w:tbl>
    <w:p>
      <w:pPr>
        <w:spacing w:after="40"/>
      </w:pPr>
    </w:p>
    <w:p>
      <w:pPr>
        <w:spacing w:after="120"/>
      </w:pPr>
      <w:r>
        <w:rPr>
          <w:b/>
          <w:color w:val="1F3355"/>
          <w:sz w:val="19"/>
        </w:rPr>
        <w:t>All the status bits are RWC (read/write-to-clear). As with the deserializer, that means they cannot be set by writing — register-write fault injection is not available for group B. The fault has to be real. Section 3 shows how.</w:t>
      </w:r>
    </w:p>
    <w:p>
      <w:pPr>
        <w:spacing w:after="80"/>
      </w:pPr>
      <w:r>
        <w:rPr>
          <w:b/>
          <w:color w:val="2E5A88"/>
          <w:sz w:val="23"/>
        </w:rPr>
        <w:t>2.3  A built-in error-insertion register</w:t>
      </w:r>
    </w:p>
    <w:tbl>
      <w:tblPr>
        <w:tblStyle w:val="TableGrid"/>
        <w:tblW w:type="auto" w:w="0"/>
        <w:tblLook w:firstColumn="1" w:firstRow="1" w:lastColumn="0" w:lastRow="0" w:noHBand="0" w:noVBand="1" w:val="04A0"/>
      </w:tblPr>
      <w:tblGrid>
        <w:gridCol w:w="3528"/>
        <w:gridCol w:w="3528"/>
        <w:gridCol w:w="3528"/>
        <w:gridCol w:w="3528"/>
      </w:tblGrid>
      <w:tr>
        <w:tc>
          <w:tcPr>
            <w:tcW w:type="dxa" w:w="4176"/>
          </w:tcPr>
          <w:p>
            <w:r/>
            <w:r>
              <w:rPr>
                <w:b/>
                <w:color w:val="1F3355"/>
                <w:sz w:val="16"/>
              </w:rPr>
              <w:t>Register</w:t>
            </w:r>
          </w:p>
        </w:tc>
        <w:tc>
          <w:tcPr>
            <w:tcW w:type="dxa" w:w="1872"/>
          </w:tcPr>
          <w:p>
            <w:r/>
            <w:r>
              <w:rPr>
                <w:b/>
                <w:color w:val="1F3355"/>
                <w:sz w:val="16"/>
              </w:rPr>
              <w:t>Offset / bits</w:t>
            </w:r>
          </w:p>
        </w:tc>
        <w:tc>
          <w:tcPr>
            <w:tcW w:type="dxa" w:w="1152"/>
          </w:tcPr>
          <w:p>
            <w:r/>
            <w:r>
              <w:rPr>
                <w:b/>
                <w:color w:val="1F3355"/>
                <w:sz w:val="16"/>
              </w:rPr>
              <w:t>Access</w:t>
            </w:r>
          </w:p>
        </w:tc>
        <w:tc>
          <w:tcPr>
            <w:tcW w:type="dxa" w:w="7344"/>
          </w:tcPr>
          <w:p>
            <w:r/>
            <w:r>
              <w:rPr>
                <w:b/>
                <w:color w:val="1F3355"/>
                <w:sz w:val="16"/>
              </w:rPr>
              <w:t>What it does</w:t>
            </w:r>
          </w:p>
        </w:tc>
      </w:tr>
      <w:tr>
        <w:tc>
          <w:tcPr>
            <w:tcW w:type="dxa" w:w="4176"/>
          </w:tcPr>
          <w:p>
            <w:r/>
            <w:r>
              <w:rPr>
                <w:b/>
                <w:sz w:val="16"/>
              </w:rPr>
              <w:t>ERROR_INSERT_FATAL</w:t>
            </w:r>
          </w:p>
        </w:tc>
        <w:tc>
          <w:tcPr>
            <w:tcW w:type="dxa" w:w="1872"/>
          </w:tcPr>
          <w:p>
            <w:r/>
            <w:r>
              <w:rPr>
                <w:b w:val="0"/>
                <w:sz w:val="16"/>
              </w:rPr>
              <w:t>65524, bit 0</w:t>
            </w:r>
          </w:p>
        </w:tc>
        <w:tc>
          <w:tcPr>
            <w:tcW w:type="dxa" w:w="1152"/>
          </w:tcPr>
          <w:p>
            <w:r/>
            <w:r>
              <w:rPr>
                <w:b w:val="0"/>
                <w:sz w:val="16"/>
              </w:rPr>
              <w:t>RW</w:t>
            </w:r>
          </w:p>
        </w:tc>
        <w:tc>
          <w:tcPr>
            <w:tcW w:type="dxa" w:w="7344"/>
          </w:tcPr>
          <w:p>
            <w:r/>
            <w:r>
              <w:rPr>
                <w:b w:val="0"/>
                <w:sz w:val="16"/>
              </w:rPr>
              <w:t>“Insert fatal error”</w:t>
            </w:r>
          </w:p>
        </w:tc>
      </w:tr>
      <w:tr>
        <w:tc>
          <w:tcPr>
            <w:tcW w:type="dxa" w:w="4176"/>
          </w:tcPr>
          <w:p>
            <w:r/>
            <w:r>
              <w:rPr>
                <w:b/>
                <w:sz w:val="16"/>
              </w:rPr>
              <w:t>ERROR_INSERT_NON_FATAL</w:t>
            </w:r>
          </w:p>
        </w:tc>
        <w:tc>
          <w:tcPr>
            <w:tcW w:type="dxa" w:w="1872"/>
          </w:tcPr>
          <w:p>
            <w:r/>
            <w:r>
              <w:rPr>
                <w:b w:val="0"/>
                <w:sz w:val="16"/>
              </w:rPr>
              <w:t>65524, bit 1</w:t>
            </w:r>
          </w:p>
        </w:tc>
        <w:tc>
          <w:tcPr>
            <w:tcW w:type="dxa" w:w="1152"/>
          </w:tcPr>
          <w:p>
            <w:r/>
            <w:r>
              <w:rPr>
                <w:b w:val="0"/>
                <w:sz w:val="16"/>
              </w:rPr>
              <w:t>RW</w:t>
            </w:r>
          </w:p>
        </w:tc>
        <w:tc>
          <w:tcPr>
            <w:tcW w:type="dxa" w:w="7344"/>
          </w:tcPr>
          <w:p>
            <w:r/>
            <w:r>
              <w:rPr>
                <w:b w:val="0"/>
                <w:sz w:val="16"/>
              </w:rPr>
              <w:t>“Insert non-fatal error”</w:t>
            </w:r>
          </w:p>
        </w:tc>
      </w:tr>
      <w:tr>
        <w:tc>
          <w:tcPr>
            <w:tcW w:type="dxa" w:w="4176"/>
          </w:tcPr>
          <w:p>
            <w:r/>
            <w:r>
              <w:rPr>
                <w:b w:val="0"/>
                <w:sz w:val="16"/>
              </w:rPr>
              <w:t>ERROR_STATUS_0 / _1 (count, module ID)</w:t>
            </w:r>
          </w:p>
        </w:tc>
        <w:tc>
          <w:tcPr>
            <w:tcW w:type="dxa" w:w="1872"/>
          </w:tcPr>
          <w:p>
            <w:r/>
            <w:r>
              <w:rPr>
                <w:b w:val="0"/>
                <w:sz w:val="16"/>
              </w:rPr>
              <w:t>65520 / 65522</w:t>
            </w:r>
          </w:p>
        </w:tc>
        <w:tc>
          <w:tcPr>
            <w:tcW w:type="dxa" w:w="1152"/>
          </w:tcPr>
          <w:p>
            <w:r/>
            <w:r>
              <w:rPr>
                <w:b w:val="0"/>
                <w:sz w:val="16"/>
              </w:rPr>
              <w:t>RW</w:t>
            </w:r>
          </w:p>
        </w:tc>
        <w:tc>
          <w:tcPr>
            <w:tcW w:type="dxa" w:w="7344"/>
          </w:tcPr>
          <w:p>
            <w:r/>
            <w:r>
              <w:rPr>
                <w:b w:val="0"/>
                <w:sz w:val="16"/>
              </w:rPr>
              <w:t>Fatal and non-fatal error counts plus the module ID that raised them.</w:t>
            </w:r>
          </w:p>
        </w:tc>
      </w:tr>
    </w:tbl>
    <w:p>
      <w:pPr>
        <w:spacing w:after="40"/>
      </w:pPr>
    </w:p>
    <w:p>
      <w:pPr>
        <w:spacing w:after="120"/>
      </w:pPr>
      <w:r>
        <w:rPr>
          <w:b/>
          <w:color w:val="A86A0A"/>
          <w:sz w:val="19"/>
        </w:rPr>
        <w:t>Useful, but be precise about what it proves: this exercises the VIN error-reporting path into the CEHU. It does not set MIPI_CRC_ERROR or MIPI_ECC_ERR_2BIT, so it does not verify the CRC or ECC checker itself. Good for the reaction half of MVC-99790; not sufficient for MVC-99789.</w:t>
      </w:r>
    </w:p>
    <w:p>
      <w:r>
        <w:br w:type="page"/>
      </w:r>
    </w:p>
    <w:p>
      <w:pPr>
        <w:spacing w:after="120"/>
      </w:pPr>
      <w:r>
        <w:rPr>
          <w:b/>
          <w:color w:val="1F3355"/>
          <w:sz w:val="28"/>
        </w:rPr>
        <w:t>3.  Fault injection — what is actually possible</w:t>
      </w:r>
    </w:p>
    <w:p>
      <w:pPr>
        <w:spacing w:after="80"/>
      </w:pPr>
      <w:r>
        <w:rPr>
          <w:b/>
          <w:color w:val="2E5A88"/>
          <w:sz w:val="23"/>
        </w:rPr>
        <w:t>3.1  Group B: real CSI-2 errors via the serializer link error generator</w:t>
      </w:r>
    </w:p>
    <w:p>
      <w:pPr>
        <w:spacing w:after="100"/>
      </w:pPr>
      <w:r>
        <w:rPr>
          <w:b w:val="0"/>
          <w:sz w:val="19"/>
        </w:rPr>
        <w:t>The camera link runs in tunnel mode, so the CSI-2 packet headers and CRCs are generated by the imager and carried across GMSL unchanged — the deserializer does not recompute them. A GMSL forward-channel bit error that is not recovered therefore arrives at the SoC as a genuine CSI-2 CRC or ECC error. The MAX96717 serializer has a register-controlled error generator for exactly this, reachable over the pass-through I²C.</w:t>
      </w:r>
    </w:p>
    <w:tbl>
      <w:tblPr>
        <w:tblStyle w:val="TableGrid"/>
        <w:tblW w:type="auto" w:w="0"/>
        <w:tblLook w:firstColumn="1" w:firstRow="1" w:lastColumn="0" w:lastRow="0" w:noHBand="0" w:noVBand="1" w:val="04A0"/>
      </w:tblPr>
      <w:tblGrid>
        <w:gridCol w:w="3528"/>
        <w:gridCol w:w="3528"/>
        <w:gridCol w:w="3528"/>
        <w:gridCol w:w="3528"/>
      </w:tblGrid>
      <w:tr>
        <w:tc>
          <w:tcPr>
            <w:tcW w:type="dxa" w:w="2016"/>
          </w:tcPr>
          <w:p>
            <w:r/>
            <w:r>
              <w:rPr>
                <w:b/>
                <w:color w:val="1F3355"/>
                <w:sz w:val="16"/>
              </w:rPr>
              <w:t>Register</w:t>
            </w:r>
          </w:p>
        </w:tc>
        <w:tc>
          <w:tcPr>
            <w:tcW w:type="dxa" w:w="2592"/>
          </w:tcPr>
          <w:p>
            <w:r/>
            <w:r>
              <w:rPr>
                <w:b/>
                <w:color w:val="1F3355"/>
                <w:sz w:val="16"/>
              </w:rPr>
              <w:t>Field / bits</w:t>
            </w:r>
          </w:p>
        </w:tc>
        <w:tc>
          <w:tcPr>
            <w:tcW w:type="dxa" w:w="2016"/>
          </w:tcPr>
          <w:p>
            <w:r/>
            <w:r>
              <w:rPr>
                <w:b/>
                <w:color w:val="1F3355"/>
                <w:sz w:val="16"/>
              </w:rPr>
              <w:t>Access</w:t>
            </w:r>
          </w:p>
        </w:tc>
        <w:tc>
          <w:tcPr>
            <w:tcW w:type="dxa" w:w="7920"/>
          </w:tcPr>
          <w:p>
            <w:r/>
            <w:r>
              <w:rPr>
                <w:b/>
                <w:color w:val="1F3355"/>
                <w:sz w:val="16"/>
              </w:rPr>
              <w:t>Setting</w:t>
            </w:r>
          </w:p>
        </w:tc>
      </w:tr>
      <w:tr>
        <w:tc>
          <w:tcPr>
            <w:tcW w:type="dxa" w:w="2016"/>
          </w:tcPr>
          <w:p>
            <w:r/>
            <w:r>
              <w:rPr>
                <w:b/>
                <w:sz w:val="16"/>
              </w:rPr>
              <w:t>TX1 (0x29)</w:t>
            </w:r>
          </w:p>
        </w:tc>
        <w:tc>
          <w:tcPr>
            <w:tcW w:type="dxa" w:w="2592"/>
          </w:tcPr>
          <w:p>
            <w:r/>
            <w:r>
              <w:rPr>
                <w:b w:val="0"/>
                <w:sz w:val="16"/>
              </w:rPr>
              <w:t>ERRG_EN_A, bit 4</w:t>
            </w:r>
          </w:p>
        </w:tc>
        <w:tc>
          <w:tcPr>
            <w:tcW w:type="dxa" w:w="2016"/>
          </w:tcPr>
          <w:p>
            <w:r/>
            <w:r>
              <w:rPr>
                <w:b w:val="0"/>
                <w:sz w:val="16"/>
              </w:rPr>
              <w:t>RW, reset 0</w:t>
            </w:r>
          </w:p>
        </w:tc>
        <w:tc>
          <w:tcPr>
            <w:tcW w:type="dxa" w:w="7920"/>
          </w:tcPr>
          <w:p>
            <w:r/>
            <w:r>
              <w:rPr>
                <w:b w:val="0"/>
                <w:sz w:val="16"/>
              </w:rPr>
              <w:t>“Error Generator Enable for GMSL Link. Error injection applies to all data going across the link.”  [MAX96717 datasheet p.108]</w:t>
            </w:r>
          </w:p>
        </w:tc>
      </w:tr>
      <w:tr>
        <w:tc>
          <w:tcPr>
            <w:tcW w:type="dxa" w:w="2016"/>
          </w:tcPr>
          <w:p>
            <w:r/>
            <w:r>
              <w:rPr>
                <w:b/>
                <w:sz w:val="16"/>
              </w:rPr>
              <w:t>TX2 (0x2A)</w:t>
            </w:r>
          </w:p>
        </w:tc>
        <w:tc>
          <w:tcPr>
            <w:tcW w:type="dxa" w:w="2592"/>
          </w:tcPr>
          <w:p>
            <w:r/>
            <w:r>
              <w:rPr>
                <w:b w:val="0"/>
                <w:sz w:val="16"/>
              </w:rPr>
              <w:t>ERRG_CNT, bits 7:6</w:t>
            </w:r>
          </w:p>
        </w:tc>
        <w:tc>
          <w:tcPr>
            <w:tcW w:type="dxa" w:w="2016"/>
          </w:tcPr>
          <w:p>
            <w:r/>
            <w:r>
              <w:rPr>
                <w:b w:val="0"/>
                <w:sz w:val="16"/>
              </w:rPr>
              <w:t>RW, reset 0b00</w:t>
            </w:r>
          </w:p>
        </w:tc>
        <w:tc>
          <w:tcPr>
            <w:tcW w:type="dxa" w:w="7920"/>
          </w:tcPr>
          <w:p>
            <w:r/>
            <w:r>
              <w:rPr>
                <w:b w:val="0"/>
                <w:sz w:val="16"/>
              </w:rPr>
              <w:t>Number of errors: 00 = continuous, 01 = 16, 10 = 128, 11 = 1024. Use 01 for a bounded, near-single-frame injection.</w:t>
            </w:r>
          </w:p>
        </w:tc>
      </w:tr>
      <w:tr>
        <w:tc>
          <w:tcPr>
            <w:tcW w:type="dxa" w:w="2016"/>
          </w:tcPr>
          <w:p>
            <w:r/>
            <w:r>
              <w:rPr>
                <w:b w:val="0"/>
                <w:sz w:val="16"/>
              </w:rPr>
            </w:r>
          </w:p>
        </w:tc>
        <w:tc>
          <w:tcPr>
            <w:tcW w:type="dxa" w:w="2592"/>
          </w:tcPr>
          <w:p>
            <w:r/>
            <w:r>
              <w:rPr>
                <w:b w:val="0"/>
                <w:sz w:val="16"/>
              </w:rPr>
              <w:t>ERRG_RATE, bits 5:4</w:t>
            </w:r>
          </w:p>
        </w:tc>
        <w:tc>
          <w:tcPr>
            <w:tcW w:type="dxa" w:w="2016"/>
          </w:tcPr>
          <w:p>
            <w:r/>
            <w:r>
              <w:rPr>
                <w:b w:val="0"/>
                <w:sz w:val="16"/>
              </w:rPr>
              <w:t>RW, reset 0b10</w:t>
            </w:r>
          </w:p>
        </w:tc>
        <w:tc>
          <w:tcPr>
            <w:tcW w:type="dxa" w:w="7920"/>
          </w:tcPr>
          <w:p>
            <w:r/>
            <w:r>
              <w:rPr>
                <w:b w:val="0"/>
                <w:sz w:val="16"/>
              </w:rPr>
              <w:t>Average bit error rate: 1 in 5120 / 81920 / 1310720 / 20971520 bits.</w:t>
            </w:r>
          </w:p>
        </w:tc>
      </w:tr>
      <w:tr>
        <w:tc>
          <w:tcPr>
            <w:tcW w:type="dxa" w:w="2016"/>
          </w:tcPr>
          <w:p>
            <w:r/>
            <w:r>
              <w:rPr>
                <w:b w:val="0"/>
                <w:sz w:val="16"/>
              </w:rPr>
            </w:r>
          </w:p>
        </w:tc>
        <w:tc>
          <w:tcPr>
            <w:tcW w:type="dxa" w:w="2592"/>
          </w:tcPr>
          <w:p>
            <w:r/>
            <w:r>
              <w:rPr>
                <w:b w:val="0"/>
                <w:sz w:val="16"/>
              </w:rPr>
              <w:t>ERRG_BURST, bits 3:1</w:t>
            </w:r>
          </w:p>
        </w:tc>
        <w:tc>
          <w:tcPr>
            <w:tcW w:type="dxa" w:w="2016"/>
          </w:tcPr>
          <w:p>
            <w:r/>
            <w:r>
              <w:rPr>
                <w:b w:val="0"/>
                <w:sz w:val="16"/>
              </w:rPr>
              <w:t>RW, reset 0b000</w:t>
            </w:r>
          </w:p>
        </w:tc>
        <w:tc>
          <w:tcPr>
            <w:tcW w:type="dxa" w:w="7920"/>
          </w:tcPr>
          <w:p>
            <w:r/>
            <w:r>
              <w:rPr>
                <w:b w:val="0"/>
                <w:sz w:val="16"/>
              </w:rPr>
              <w:t>Burst length 1, 2, 3, 4, 8, 12, 16 or 20 bits.</w:t>
            </w:r>
          </w:p>
        </w:tc>
      </w:tr>
      <w:tr>
        <w:tc>
          <w:tcPr>
            <w:tcW w:type="dxa" w:w="2016"/>
          </w:tcPr>
          <w:p>
            <w:r/>
            <w:r>
              <w:rPr>
                <w:b w:val="0"/>
                <w:sz w:val="16"/>
              </w:rPr>
            </w:r>
          </w:p>
        </w:tc>
        <w:tc>
          <w:tcPr>
            <w:tcW w:type="dxa" w:w="2592"/>
          </w:tcPr>
          <w:p>
            <w:r/>
            <w:r>
              <w:rPr>
                <w:b w:val="0"/>
                <w:sz w:val="16"/>
              </w:rPr>
              <w:t>ERRG_PER, bit 0</w:t>
            </w:r>
          </w:p>
        </w:tc>
        <w:tc>
          <w:tcPr>
            <w:tcW w:type="dxa" w:w="2016"/>
          </w:tcPr>
          <w:p>
            <w:r/>
            <w:r>
              <w:rPr>
                <w:b w:val="0"/>
                <w:sz w:val="16"/>
              </w:rPr>
              <w:t>RW, reset 0b0</w:t>
            </w:r>
          </w:p>
        </w:tc>
        <w:tc>
          <w:tcPr>
            <w:tcW w:type="dxa" w:w="7920"/>
          </w:tcPr>
          <w:p>
            <w:r/>
            <w:r>
              <w:rPr>
                <w:b w:val="0"/>
                <w:sz w:val="16"/>
              </w:rPr>
              <w:t>0 = pseudorandom, 1 = periodic. Periodic gives a more repeatable test.</w:t>
            </w:r>
          </w:p>
        </w:tc>
      </w:tr>
      <w:tr>
        <w:tc>
          <w:tcPr>
            <w:tcW w:type="dxa" w:w="2016"/>
          </w:tcPr>
          <w:p>
            <w:r/>
            <w:r>
              <w:rPr>
                <w:b w:val="0"/>
                <w:sz w:val="16"/>
              </w:rPr>
              <w:t>TX0 (0x28)</w:t>
            </w:r>
          </w:p>
        </w:tc>
        <w:tc>
          <w:tcPr>
            <w:tcW w:type="dxa" w:w="2592"/>
          </w:tcPr>
          <w:p>
            <w:r/>
            <w:r>
              <w:rPr>
                <w:b w:val="0"/>
                <w:sz w:val="16"/>
              </w:rPr>
              <w:t>TX_FEC_EN, bit 1</w:t>
            </w:r>
          </w:p>
        </w:tc>
        <w:tc>
          <w:tcPr>
            <w:tcW w:type="dxa" w:w="2016"/>
          </w:tcPr>
          <w:p>
            <w:r/>
            <w:r>
              <w:rPr>
                <w:b w:val="0"/>
                <w:sz w:val="16"/>
              </w:rPr>
              <w:t>RW</w:t>
            </w:r>
          </w:p>
        </w:tc>
        <w:tc>
          <w:tcPr>
            <w:tcW w:type="dxa" w:w="7920"/>
          </w:tcPr>
          <w:p>
            <w:r/>
            <w:r>
              <w:rPr>
                <w:b w:val="0"/>
                <w:sz w:val="16"/>
              </w:rPr>
              <w:t>FEC is off by default in GMSL2. Confirm it is off, otherwise injected errors may be corrected before they reach the SoC.</w:t>
            </w:r>
          </w:p>
        </w:tc>
      </w:tr>
    </w:tbl>
    <w:p>
      <w:pPr>
        <w:spacing w:after="40"/>
      </w:pPr>
    </w:p>
    <w:p>
      <w:pPr>
        <w:spacing w:after="120"/>
      </w:pPr>
      <w:r>
        <w:rPr>
          <w:b/>
          <w:color w:val="A86A0A"/>
          <w:sz w:val="19"/>
        </w:rPr>
        <w:t>Honest limitation: the generator is a bit-error source across the whole link. You cannot choose whether a given error lands in a packet header (→ ECC error) or in the payload (→ CRC error), so MVC-99789's wording “inject a single frame with corrupted payload CRC” is not literally achievable. The workable test is to inject at a low rate and read the two counters at offsets 59 and 63 to establish which error type occurred, using MIPI_FRAME_NUMBER to bound it to a frame.</w:t>
      </w:r>
    </w:p>
    <w:p>
      <w:pPr>
        <w:spacing w:after="80"/>
      </w:pPr>
      <w:r>
        <w:rPr>
          <w:b w:val="0"/>
          <w:sz w:val="18"/>
        </w:rPr>
        <w:t>Note this also gives us the deserializer-side equivalent for other work: the MAX96714 has the same TX1/TX2 pair at 0x29/0x2A for the reverse channel, and MEM_ECC0/1/2 for intentional memory-ECC injection [MAX96714 datasheet p.36, p.44, p.78].</w:t>
      </w:r>
    </w:p>
    <w:p>
      <w:pPr>
        <w:spacing w:after="80"/>
      </w:pPr>
      <w:r>
        <w:rPr>
          <w:b/>
          <w:color w:val="2E5A88"/>
          <w:sz w:val="23"/>
        </w:rPr>
        <w:t>3.2  Group A: inject at the source, not at the output</w:t>
      </w:r>
    </w:p>
    <w:p>
      <w:pPr>
        <w:spacing w:after="100"/>
      </w:pPr>
      <w:r>
        <w:rPr>
          <w:b w:val="0"/>
          <w:sz w:val="19"/>
        </w:rPr>
        <w:t>The three checker requirements (MVC-100075 monotonicity, MVC-100066 colour, MVC-100068 high frequency) all say “after capture, inject … into the captured data”. Writing into the Preview Data buffer between capture and check means halting the SoC at a breakpoint, which destroys the 3-frame scheduling and makes MVC-100067's timing unmeasurable in the same run.</w:t>
      </w:r>
    </w:p>
    <w:p>
      <w:pPr>
        <w:spacing w:after="80"/>
      </w:pPr>
      <w:r>
        <w:rPr>
          <w:b/>
          <w:color w:val="1B7F3B"/>
          <w:sz w:val="19"/>
        </w:rPr>
        <w:t>Better approach: corrupt the static test pattern in the reserved DRAM buffer instead — the buffer that MVC-100069 loads and MVC-100074's ring pointer references. One write, no halting, and every control-channel execution then produces a failing result. That gives the continuous 200 ms fault MVC-100067 needs, with the system free-running.</w:t>
      </w:r>
    </w:p>
    <w:p>
      <w:pPr>
        <w:spacing w:after="100"/>
      </w:pPr>
      <w:r>
        <w:rPr>
          <w:b w:val="0"/>
          <w:sz w:val="19"/>
        </w:rPr>
        <w:t>For a defined t0, prepare a second, corrupted pattern buffer and switch the ring-buffer pointer to it at the moment of injection. That needs a small test hook, but it is the cleanest way to get a precise fault-onset instant without a debugger in the loop.</w:t>
      </w:r>
    </w:p>
    <w:p>
      <w:pPr>
        <w:spacing w:after="120"/>
      </w:pPr>
      <w:r>
        <w:rPr>
          <w:b/>
          <w:color w:val="A86A0A"/>
          <w:sz w:val="19"/>
        </w:rPr>
        <w:t>Caveat to record in the TC: corrupting the source proves the checker and the reaction chain work. It does not prove the checker would catch a genuine IDSP degradation, because the IDSP is functioning correctly in this test. State this as an explicit assumption — it is the standard and accepted technique for validating a known-answer test, but it should not be claimed as coverage of the IDSP itself.</w:t>
      </w:r>
    </w:p>
    <w:p>
      <w:r>
        <w:br w:type="page"/>
      </w:r>
    </w:p>
    <w:p>
      <w:pPr>
        <w:spacing w:after="120"/>
      </w:pPr>
      <w:r>
        <w:rPr>
          <w:b/>
          <w:color w:val="1F3355"/>
          <w:sz w:val="28"/>
        </w:rPr>
        <w:t>4.  Defects and inconsistencies found</w:t>
      </w:r>
    </w:p>
    <w:tbl>
      <w:tblPr>
        <w:tblStyle w:val="TableGrid"/>
        <w:tblW w:type="auto" w:w="0"/>
        <w:tblLook w:firstColumn="1" w:firstRow="1" w:lastColumn="0" w:lastRow="0" w:noHBand="0" w:noVBand="1" w:val="04A0"/>
      </w:tblPr>
      <w:tblGrid>
        <w:gridCol w:w="3528"/>
        <w:gridCol w:w="3528"/>
        <w:gridCol w:w="3528"/>
        <w:gridCol w:w="3528"/>
      </w:tblGrid>
      <w:tr>
        <w:tc>
          <w:tcPr>
            <w:tcW w:type="dxa" w:w="576"/>
          </w:tcPr>
          <w:p>
            <w:r/>
            <w:r>
              <w:rPr>
                <w:b/>
                <w:color w:val="1F3355"/>
                <w:sz w:val="16"/>
              </w:rPr>
              <w:t>#</w:t>
            </w:r>
          </w:p>
        </w:tc>
        <w:tc>
          <w:tcPr>
            <w:tcW w:type="dxa" w:w="2304"/>
          </w:tcPr>
          <w:p>
            <w:r/>
            <w:r>
              <w:rPr>
                <w:b/>
                <w:color w:val="1F3355"/>
                <w:sz w:val="16"/>
              </w:rPr>
              <w:t>Requirement</w:t>
            </w:r>
          </w:p>
        </w:tc>
        <w:tc>
          <w:tcPr>
            <w:tcW w:type="dxa" w:w="5760"/>
          </w:tcPr>
          <w:p>
            <w:r/>
            <w:r>
              <w:rPr>
                <w:b/>
                <w:color w:val="1F3355"/>
                <w:sz w:val="16"/>
              </w:rPr>
              <w:t>Finding</w:t>
            </w:r>
          </w:p>
        </w:tc>
        <w:tc>
          <w:tcPr>
            <w:tcW w:type="dxa" w:w="5904"/>
          </w:tcPr>
          <w:p>
            <w:r/>
            <w:r>
              <w:rPr>
                <w:b/>
                <w:color w:val="1F3355"/>
                <w:sz w:val="16"/>
              </w:rPr>
              <w:t>Recommendation</w:t>
            </w:r>
          </w:p>
        </w:tc>
      </w:tr>
      <w:tr>
        <w:tc>
          <w:tcPr>
            <w:tcW w:type="dxa" w:w="576"/>
          </w:tcPr>
          <w:p>
            <w:r/>
            <w:r>
              <w:rPr>
                <w:b/>
                <w:color w:val="B03022"/>
                <w:sz w:val="16"/>
              </w:rPr>
              <w:t>D1</w:t>
            </w:r>
          </w:p>
        </w:tc>
        <w:tc>
          <w:tcPr>
            <w:tcW w:type="dxa" w:w="2304"/>
          </w:tcPr>
          <w:p>
            <w:r/>
            <w:r>
              <w:rPr>
                <w:b w:val="0"/>
                <w:sz w:val="16"/>
              </w:rPr>
              <w:t>MVC-99788</w:t>
            </w:r>
          </w:p>
        </w:tc>
        <w:tc>
          <w:tcPr>
            <w:tcW w:type="dxa" w:w="5760"/>
          </w:tcPr>
          <w:p>
            <w:r/>
            <w:r>
              <w:rPr>
                <w:b w:val="0"/>
                <w:sz w:val="16"/>
              </w:rPr>
              <w:t>The verification criteria say “Read the VIN configuration register containing CRC_ERR_THRESHOLD bit — Verify the bit value = 1”. MIPI_CRC_ERR_THRESHOLD is a 16-bit RW field at offset 61 with reset 0, not a bit. A threshold of 1 would also be a real design decision (report on the first CRC error), not a generic ‘enabled’ flag.</w:t>
            </w:r>
          </w:p>
        </w:tc>
        <w:tc>
          <w:tcPr>
            <w:tcW w:type="dxa" w:w="5904"/>
          </w:tcPr>
          <w:p>
            <w:r/>
            <w:r>
              <w:rPr>
                <w:b w:val="0"/>
                <w:sz w:val="16"/>
              </w:rPr>
              <w:t>Rewrite the check as: read offset 61 and verify it equals the project-defined threshold from the design spec. Ask the safety architect what that value is — it is a system-level tuning decision the Safety Manual explicitly assigns to the system integrator.</w:t>
            </w:r>
          </w:p>
        </w:tc>
      </w:tr>
      <w:tr>
        <w:tc>
          <w:tcPr>
            <w:tcW w:type="dxa" w:w="576"/>
          </w:tcPr>
          <w:p>
            <w:r/>
            <w:r>
              <w:rPr>
                <w:b/>
                <w:color w:val="B03022"/>
                <w:sz w:val="16"/>
              </w:rPr>
              <w:t>D2</w:t>
            </w:r>
          </w:p>
        </w:tc>
        <w:tc>
          <w:tcPr>
            <w:tcW w:type="dxa" w:w="2304"/>
          </w:tcPr>
          <w:p>
            <w:r/>
            <w:r>
              <w:rPr>
                <w:b w:val="0"/>
                <w:sz w:val="16"/>
              </w:rPr>
              <w:t>MVC-99790</w:t>
            </w:r>
          </w:p>
        </w:tc>
        <w:tc>
          <w:tcPr>
            <w:tcW w:type="dxa" w:w="5760"/>
          </w:tcPr>
          <w:p>
            <w:r/>
            <w:r>
              <w:rPr>
                <w:b w:val="0"/>
                <w:sz w:val="16"/>
              </w:rPr>
              <w:t>FDTI is set to 100 ms. The Safety Manual gives an error detect time of 99 ms for SM_HW_VIN_ECC, SM_HW_VIN_CRC and SM_HW_VIN_STATUS alike (pp.45–47). That consumes essentially the whole budget, leaving about 1 ms for software to poll the status register and confirm the fault.</w:t>
            </w:r>
          </w:p>
        </w:tc>
        <w:tc>
          <w:tcPr>
            <w:tcW w:type="dxa" w:w="5904"/>
          </w:tcPr>
          <w:p>
            <w:r/>
            <w:r>
              <w:rPr>
                <w:b w:val="0"/>
                <w:sz w:val="16"/>
              </w:rPr>
              <w:t>Raise before writing the TC. Either the polling interval must be far shorter than Ambarella's 99 ms figure and that shorter interval must be justified, or the FDTI must be relaxed. As written the requirement looks unachievable.</w:t>
            </w:r>
          </w:p>
        </w:tc>
      </w:tr>
      <w:tr>
        <w:tc>
          <w:tcPr>
            <w:tcW w:type="dxa" w:w="576"/>
          </w:tcPr>
          <w:p>
            <w:r/>
            <w:r>
              <w:rPr>
                <w:b/>
                <w:color w:val="B03022"/>
                <w:sz w:val="16"/>
              </w:rPr>
              <w:t>D3</w:t>
            </w:r>
          </w:p>
        </w:tc>
        <w:tc>
          <w:tcPr>
            <w:tcW w:type="dxa" w:w="2304"/>
          </w:tcPr>
          <w:p>
            <w:r/>
            <w:r>
              <w:rPr>
                <w:b w:val="0"/>
                <w:sz w:val="16"/>
              </w:rPr>
              <w:t>MVC-100067 with MVC-100073</w:t>
            </w:r>
          </w:p>
        </w:tc>
        <w:tc>
          <w:tcPr>
            <w:tcW w:type="dxa" w:w="5760"/>
          </w:tcPr>
          <w:p>
            <w:r/>
            <w:r>
              <w:rPr>
                <w:b w:val="0"/>
                <w:sz w:val="16"/>
              </w:rPr>
              <w:t>The control channel runs every 100 ms (3 frames at 30 fps). Worst case a deterioration starts just after an execution, so up to 100 ms passes before the first failing frame. Add FDTI 150 ms and FRTI 50 ms and the total is exactly 300 ms — precisely the limit in MVC-97951, with zero margin.</w:t>
            </w:r>
          </w:p>
        </w:tc>
        <w:tc>
          <w:tcPr>
            <w:tcW w:type="dxa" w:w="5904"/>
          </w:tcPr>
          <w:p>
            <w:r/>
            <w:r>
              <w:rPr>
                <w:b w:val="0"/>
                <w:sz w:val="16"/>
              </w:rPr>
              <w:t>Confirm whether the 150 ms FDTI is measured from fault occurrence or from the first failed control-channel execution. MVC-100067's own criteria say ‘start timer at first failed frame’, which is the second reading and is what produces the zero-margin chain.</w:t>
            </w:r>
          </w:p>
        </w:tc>
      </w:tr>
      <w:tr>
        <w:tc>
          <w:tcPr>
            <w:tcW w:type="dxa" w:w="576"/>
          </w:tcPr>
          <w:p>
            <w:r/>
            <w:r>
              <w:rPr>
                <w:b/>
                <w:color w:val="A86A0A"/>
                <w:sz w:val="16"/>
              </w:rPr>
              <w:t>D4</w:t>
            </w:r>
          </w:p>
        </w:tc>
        <w:tc>
          <w:tcPr>
            <w:tcW w:type="dxa" w:w="2304"/>
          </w:tcPr>
          <w:p>
            <w:r/>
            <w:r>
              <w:rPr>
                <w:b w:val="0"/>
                <w:sz w:val="16"/>
              </w:rPr>
              <w:t>MVC-100073</w:t>
            </w:r>
          </w:p>
        </w:tc>
        <w:tc>
          <w:tcPr>
            <w:tcW w:type="dxa" w:w="5760"/>
          </w:tcPr>
          <w:p>
            <w:r/>
            <w:r>
              <w:rPr>
                <w:b w:val="0"/>
                <w:sz w:val="16"/>
              </w:rPr>
              <w:t>The 100 ms figure depends on the stream being 30 fps, which the requirement assumes rather than states.</w:t>
            </w:r>
          </w:p>
        </w:tc>
        <w:tc>
          <w:tcPr>
            <w:tcW w:type="dxa" w:w="5904"/>
          </w:tcPr>
          <w:p>
            <w:r/>
            <w:r>
              <w:rPr>
                <w:b w:val="0"/>
                <w:sz w:val="16"/>
              </w:rPr>
              <w:t>Confirm the rear and trailer camera frame rate. If it is not 30 fps the expected period changes and the TC's pass criterion with it.</w:t>
            </w:r>
          </w:p>
        </w:tc>
      </w:tr>
      <w:tr>
        <w:tc>
          <w:tcPr>
            <w:tcW w:type="dxa" w:w="576"/>
          </w:tcPr>
          <w:p>
            <w:r/>
            <w:r>
              <w:rPr>
                <w:b/>
                <w:color w:val="A86A0A"/>
                <w:sz w:val="16"/>
              </w:rPr>
              <w:t>D5</w:t>
            </w:r>
          </w:p>
        </w:tc>
        <w:tc>
          <w:tcPr>
            <w:tcW w:type="dxa" w:w="2304"/>
          </w:tcPr>
          <w:p>
            <w:r/>
            <w:r>
              <w:rPr>
                <w:b w:val="0"/>
                <w:sz w:val="16"/>
              </w:rPr>
              <w:t>MVC-100069, 100072, 100074</w:t>
            </w:r>
          </w:p>
        </w:tc>
        <w:tc>
          <w:tcPr>
            <w:tcW w:type="dxa" w:w="5760"/>
          </w:tcPr>
          <w:p>
            <w:r/>
            <w:r>
              <w:rPr>
                <w:b w:val="0"/>
                <w:sz w:val="16"/>
              </w:rPr>
              <w:t>All three are marked ‘Not testable, checked by Review’, but MVC-100070's own criteria — ‘read the memory location pointed to by the input buffer address, verify the pattern data is present’ — already tests the content of 100069 and the pointer of 100074.</w:t>
            </w:r>
          </w:p>
        </w:tc>
        <w:tc>
          <w:tcPr>
            <w:tcW w:type="dxa" w:w="5904"/>
          </w:tcPr>
          <w:p>
            <w:r/>
            <w:r>
              <w:rPr>
                <w:b w:val="0"/>
                <w:sz w:val="16"/>
              </w:rPr>
              <w:t>No change to the classification needed, but one memory dump at the ring-buffer address can serve as test evidence supporting all four. Worth doing once rather than reviewing three of them separately.</w:t>
            </w:r>
          </w:p>
        </w:tc>
      </w:tr>
      <w:tr>
        <w:tc>
          <w:tcPr>
            <w:tcW w:type="dxa" w:w="576"/>
          </w:tcPr>
          <w:p>
            <w:r/>
            <w:r>
              <w:rPr>
                <w:b/>
                <w:color w:val="A86A0A"/>
                <w:sz w:val="16"/>
              </w:rPr>
              <w:t>D6</w:t>
            </w:r>
          </w:p>
        </w:tc>
        <w:tc>
          <w:tcPr>
            <w:tcW w:type="dxa" w:w="2304"/>
          </w:tcPr>
          <w:p>
            <w:r/>
            <w:r>
              <w:rPr>
                <w:b w:val="0"/>
                <w:sz w:val="16"/>
              </w:rPr>
              <w:t>MVC-99786</w:t>
            </w:r>
          </w:p>
        </w:tc>
        <w:tc>
          <w:tcPr>
            <w:tcW w:type="dxa" w:w="5760"/>
          </w:tcPr>
          <w:p>
            <w:r/>
            <w:r>
              <w:rPr>
                <w:b w:val="0"/>
                <w:sz w:val="16"/>
              </w:rPr>
              <w:t>The Safety Manual gives SM_HW_VIN_ECC a failure-mode coverage of only 50%, rising to 99% only for continuous multiple-bit errors.</w:t>
            </w:r>
          </w:p>
        </w:tc>
        <w:tc>
          <w:tcPr>
            <w:tcW w:type="dxa" w:w="5904"/>
          </w:tcPr>
          <w:p>
            <w:r/>
            <w:r>
              <w:rPr>
                <w:b w:val="0"/>
                <w:sz w:val="16"/>
              </w:rPr>
              <w:t>Not a test issue, but confirm the FMEDA uses 50% and not 99% for the single-error case.</w:t>
            </w:r>
          </w:p>
        </w:tc>
      </w:tr>
      <w:tr>
        <w:tc>
          <w:tcPr>
            <w:tcW w:type="dxa" w:w="576"/>
          </w:tcPr>
          <w:p>
            <w:r/>
            <w:r>
              <w:rPr>
                <w:b/>
                <w:color w:val="A86A0A"/>
                <w:sz w:val="16"/>
              </w:rPr>
              <w:t>D7</w:t>
            </w:r>
          </w:p>
        </w:tc>
        <w:tc>
          <w:tcPr>
            <w:tcW w:type="dxa" w:w="2304"/>
          </w:tcPr>
          <w:p>
            <w:r/>
            <w:r>
              <w:rPr>
                <w:b w:val="0"/>
                <w:sz w:val="16"/>
              </w:rPr>
              <w:t>Group B as a whole</w:t>
            </w:r>
          </w:p>
        </w:tc>
        <w:tc>
          <w:tcPr>
            <w:tcW w:type="dxa" w:w="5760"/>
          </w:tcPr>
          <w:p>
            <w:r/>
            <w:r>
              <w:rPr>
                <w:b w:val="0"/>
                <w:sz w:val="16"/>
              </w:rPr>
              <w:t>MIPI_CORR_ECC_ERR_THRESHOLD (offset 62, reset 64) has no requirement covering it, and MIPI_FWD_ECC defaults to forwarding errored packets downstream.</w:t>
            </w:r>
          </w:p>
        </w:tc>
        <w:tc>
          <w:tcPr>
            <w:tcW w:type="dxa" w:w="5904"/>
          </w:tcPr>
          <w:p>
            <w:r/>
            <w:r>
              <w:rPr>
                <w:b w:val="0"/>
                <w:sz w:val="16"/>
              </w:rPr>
              <w:t>Ask whether both are deliberate. A default of 64 correctable errors before reporting is a substantial tolerance that nothing in this set justifies.</w:t>
            </w:r>
          </w:p>
        </w:tc>
      </w:tr>
    </w:tbl>
    <w:p>
      <w:pPr>
        <w:spacing w:after="40"/>
      </w:pPr>
    </w:p>
    <w:p>
      <w:r>
        <w:br w:type="page"/>
      </w:r>
    </w:p>
    <w:p>
      <w:pPr>
        <w:spacing w:after="120"/>
      </w:pPr>
      <w:r>
        <w:rPr>
          <w:b/>
          <w:color w:val="1F3355"/>
          <w:sz w:val="28"/>
        </w:rPr>
        <w:t>5.  Test level and what each requirement needs</w:t>
      </w:r>
    </w:p>
    <w:p>
      <w:pPr>
        <w:spacing w:after="100"/>
      </w:pPr>
      <w:r>
        <w:rPr>
          <w:b w:val="0"/>
          <w:sz w:val="19"/>
        </w:rPr>
        <w:t>Level uses our strict rule: SYS = observable and controllable from outside using test points only, no board modification and no debugger. SW = needs Lauterbach/JTAG or software instrumentation. Note this is a different axis from the requirement's own Allocation field (HSI or SW), which is a requirements-engineering attribute, not a statement about how we test it.</w:t>
      </w:r>
    </w:p>
    <w:tbl>
      <w:tblPr>
        <w:tblStyle w:val="TableGrid"/>
        <w:tblW w:type="auto" w:w="0"/>
        <w:tblLook w:firstColumn="1" w:firstRow="1" w:lastColumn="0" w:lastRow="0" w:noHBand="0" w:noVBand="1" w:val="04A0"/>
      </w:tblPr>
      <w:tblGrid>
        <w:gridCol w:w="3528"/>
        <w:gridCol w:w="3528"/>
        <w:gridCol w:w="3528"/>
        <w:gridCol w:w="3528"/>
      </w:tblGrid>
      <w:tr>
        <w:tc>
          <w:tcPr>
            <w:tcW w:type="dxa" w:w="3456"/>
          </w:tcPr>
          <w:p>
            <w:r/>
            <w:r>
              <w:rPr>
                <w:b/>
                <w:color w:val="1F3355"/>
                <w:sz w:val="16"/>
              </w:rPr>
              <w:t>Requirement</w:t>
            </w:r>
          </w:p>
        </w:tc>
        <w:tc>
          <w:tcPr>
            <w:tcW w:type="dxa" w:w="1152"/>
          </w:tcPr>
          <w:p>
            <w:r/>
            <w:r>
              <w:rPr>
                <w:b/>
                <w:color w:val="1F3355"/>
                <w:sz w:val="16"/>
              </w:rPr>
              <w:t>Method</w:t>
            </w:r>
          </w:p>
        </w:tc>
        <w:tc>
          <w:tcPr>
            <w:tcW w:type="dxa" w:w="1296"/>
          </w:tcPr>
          <w:p>
            <w:r/>
            <w:r>
              <w:rPr>
                <w:b/>
                <w:color w:val="1F3355"/>
                <w:sz w:val="16"/>
              </w:rPr>
              <w:t>Level</w:t>
            </w:r>
          </w:p>
        </w:tc>
        <w:tc>
          <w:tcPr>
            <w:tcW w:type="dxa" w:w="8640"/>
          </w:tcPr>
          <w:p>
            <w:r/>
            <w:r>
              <w:rPr>
                <w:b/>
                <w:color w:val="1F3355"/>
                <w:sz w:val="16"/>
              </w:rPr>
              <w:t>What the test needs</w:t>
            </w:r>
          </w:p>
        </w:tc>
      </w:tr>
      <w:tr>
        <w:tc>
          <w:tcPr>
            <w:tcW w:type="dxa" w:w="3456"/>
          </w:tcPr>
          <w:p>
            <w:r/>
            <w:r>
              <w:rPr>
                <w:b w:val="0"/>
                <w:sz w:val="16"/>
              </w:rPr>
              <w:t>MVC-100069  Load pattern into DRAM</w:t>
            </w:r>
          </w:p>
        </w:tc>
        <w:tc>
          <w:tcPr>
            <w:tcW w:type="dxa" w:w="1152"/>
          </w:tcPr>
          <w:p>
            <w:r/>
            <w:r>
              <w:rPr>
                <w:b w:val="0"/>
                <w:sz w:val="16"/>
              </w:rPr>
              <w:t>Review</w:t>
            </w:r>
          </w:p>
        </w:tc>
        <w:tc>
          <w:tcPr>
            <w:tcW w:type="dxa" w:w="1296"/>
          </w:tcPr>
          <w:p>
            <w:r/>
            <w:r>
              <w:rPr>
                <w:b/>
                <w:color w:val="2E5A88"/>
                <w:sz w:val="16"/>
              </w:rPr>
              <w:t>SW</w:t>
            </w:r>
          </w:p>
        </w:tc>
        <w:tc>
          <w:tcPr>
            <w:tcW w:type="dxa" w:w="8640"/>
          </w:tcPr>
          <w:p>
            <w:r/>
            <w:r>
              <w:rPr>
                <w:b w:val="0"/>
                <w:sz w:val="16"/>
              </w:rPr>
              <w:t>Memory dump at the reserved buffer address via Lauterbach. Covered by the same dump as MVC-100070.</w:t>
            </w:r>
          </w:p>
        </w:tc>
      </w:tr>
      <w:tr>
        <w:tc>
          <w:tcPr>
            <w:tcW w:type="dxa" w:w="3456"/>
          </w:tcPr>
          <w:p>
            <w:r/>
            <w:r>
              <w:rPr>
                <w:b w:val="0"/>
                <w:sz w:val="16"/>
              </w:rPr>
              <w:t>MVC-100070  Configure IDSP control channel</w:t>
            </w:r>
          </w:p>
        </w:tc>
        <w:tc>
          <w:tcPr>
            <w:tcW w:type="dxa" w:w="1152"/>
          </w:tcPr>
          <w:p>
            <w:r/>
            <w:r>
              <w:rPr>
                <w:b w:val="0"/>
                <w:sz w:val="16"/>
              </w:rPr>
              <w:t>Test</w:t>
            </w:r>
          </w:p>
        </w:tc>
        <w:tc>
          <w:tcPr>
            <w:tcW w:type="dxa" w:w="1296"/>
          </w:tcPr>
          <w:p>
            <w:r/>
            <w:r>
              <w:rPr>
                <w:b/>
                <w:color w:val="2E5A88"/>
                <w:sz w:val="16"/>
              </w:rPr>
              <w:t>SW</w:t>
            </w:r>
          </w:p>
        </w:tc>
        <w:tc>
          <w:tcPr>
            <w:tcW w:type="dxa" w:w="8640"/>
          </w:tcPr>
          <w:p>
            <w:r/>
            <w:r>
              <w:rPr>
                <w:b w:val="0"/>
                <w:sz w:val="16"/>
              </w:rPr>
              <w:t>Read the channel configuration and dump the buffer at the input-buffer address. No register documentation exists for this — addresses must come from the SDK or the map file.</w:t>
            </w:r>
          </w:p>
        </w:tc>
      </w:tr>
      <w:tr>
        <w:tc>
          <w:tcPr>
            <w:tcW w:type="dxa" w:w="3456"/>
          </w:tcPr>
          <w:p>
            <w:r/>
            <w:r>
              <w:rPr>
                <w:b w:val="0"/>
                <w:sz w:val="16"/>
              </w:rPr>
              <w:t>MVC-100072  Same IDSP parameter set</w:t>
            </w:r>
          </w:p>
        </w:tc>
        <w:tc>
          <w:tcPr>
            <w:tcW w:type="dxa" w:w="1152"/>
          </w:tcPr>
          <w:p>
            <w:r/>
            <w:r>
              <w:rPr>
                <w:b w:val="0"/>
                <w:sz w:val="16"/>
              </w:rPr>
              <w:t>Review</w:t>
            </w:r>
          </w:p>
        </w:tc>
        <w:tc>
          <w:tcPr>
            <w:tcW w:type="dxa" w:w="1296"/>
          </w:tcPr>
          <w:p>
            <w:r/>
            <w:r>
              <w:rPr>
                <w:b/>
                <w:color w:val="2E5A88"/>
                <w:sz w:val="16"/>
              </w:rPr>
              <w:t>SW</w:t>
            </w:r>
          </w:p>
        </w:tc>
        <w:tc>
          <w:tcPr>
            <w:tcW w:type="dxa" w:w="8640"/>
          </w:tcPr>
          <w:p>
            <w:r/>
            <w:r>
              <w:rPr>
                <w:b w:val="0"/>
                <w:sz w:val="16"/>
              </w:rPr>
              <w:t>Code inspection. Compare the configuration structure used to program both channels.</w:t>
            </w:r>
          </w:p>
        </w:tc>
      </w:tr>
      <w:tr>
        <w:tc>
          <w:tcPr>
            <w:tcW w:type="dxa" w:w="3456"/>
          </w:tcPr>
          <w:p>
            <w:r/>
            <w:r>
              <w:rPr>
                <w:b w:val="0"/>
                <w:sz w:val="16"/>
              </w:rPr>
              <w:t>MVC-100074  Ring buffer pointer</w:t>
            </w:r>
          </w:p>
        </w:tc>
        <w:tc>
          <w:tcPr>
            <w:tcW w:type="dxa" w:w="1152"/>
          </w:tcPr>
          <w:p>
            <w:r/>
            <w:r>
              <w:rPr>
                <w:b w:val="0"/>
                <w:sz w:val="16"/>
              </w:rPr>
              <w:t>Review</w:t>
            </w:r>
          </w:p>
        </w:tc>
        <w:tc>
          <w:tcPr>
            <w:tcW w:type="dxa" w:w="1296"/>
          </w:tcPr>
          <w:p>
            <w:r/>
            <w:r>
              <w:rPr>
                <w:b/>
                <w:color w:val="2E5A88"/>
                <w:sz w:val="16"/>
              </w:rPr>
              <w:t>SW</w:t>
            </w:r>
          </w:p>
        </w:tc>
        <w:tc>
          <w:tcPr>
            <w:tcW w:type="dxa" w:w="8640"/>
          </w:tcPr>
          <w:p>
            <w:r/>
            <w:r>
              <w:rPr>
                <w:b w:val="0"/>
                <w:sz w:val="16"/>
              </w:rPr>
              <w:t>Read the ring-buffer pointer and confirm it equals the test-pattern buffer address.</w:t>
            </w:r>
          </w:p>
        </w:tc>
      </w:tr>
      <w:tr>
        <w:tc>
          <w:tcPr>
            <w:tcW w:type="dxa" w:w="3456"/>
          </w:tcPr>
          <w:p>
            <w:r/>
            <w:r>
              <w:rPr>
                <w:b w:val="0"/>
                <w:sz w:val="16"/>
              </w:rPr>
              <w:t>MVC-100073  Every 3rd frame scheduling</w:t>
            </w:r>
          </w:p>
        </w:tc>
        <w:tc>
          <w:tcPr>
            <w:tcW w:type="dxa" w:w="1152"/>
          </w:tcPr>
          <w:p>
            <w:r/>
            <w:r>
              <w:rPr>
                <w:b w:val="0"/>
                <w:sz w:val="16"/>
              </w:rPr>
              <w:t>Test</w:t>
            </w:r>
          </w:p>
        </w:tc>
        <w:tc>
          <w:tcPr>
            <w:tcW w:type="dxa" w:w="1296"/>
          </w:tcPr>
          <w:p>
            <w:r/>
            <w:r>
              <w:rPr>
                <w:b/>
                <w:color w:val="2E5A88"/>
                <w:sz w:val="16"/>
              </w:rPr>
              <w:t>SW</w:t>
            </w:r>
          </w:p>
        </w:tc>
        <w:tc>
          <w:tcPr>
            <w:tcW w:type="dxa" w:w="8640"/>
          </w:tcPr>
          <w:p>
            <w:r/>
            <w:r>
              <w:rPr>
                <w:b w:val="0"/>
                <w:sz w:val="16"/>
              </w:rPr>
              <w:t>Control-channel executions are not externally visible. Needs either a GPIO toggled on each completion, or a trace. A free SoC GPIO with a test point would make this measurable on the Saleae.</w:t>
            </w:r>
          </w:p>
        </w:tc>
      </w:tr>
      <w:tr>
        <w:tc>
          <w:tcPr>
            <w:tcW w:type="dxa" w:w="3456"/>
          </w:tcPr>
          <w:p>
            <w:r/>
            <w:r>
              <w:rPr>
                <w:b w:val="0"/>
                <w:sz w:val="16"/>
              </w:rPr>
              <w:t>MVC-100076  Capture Preview Data output</w:t>
            </w:r>
          </w:p>
        </w:tc>
        <w:tc>
          <w:tcPr>
            <w:tcW w:type="dxa" w:w="1152"/>
          </w:tcPr>
          <w:p>
            <w:r/>
            <w:r>
              <w:rPr>
                <w:b w:val="0"/>
                <w:sz w:val="16"/>
              </w:rPr>
              <w:t>Test</w:t>
            </w:r>
          </w:p>
        </w:tc>
        <w:tc>
          <w:tcPr>
            <w:tcW w:type="dxa" w:w="1296"/>
          </w:tcPr>
          <w:p>
            <w:r/>
            <w:r>
              <w:rPr>
                <w:b/>
                <w:color w:val="2E5A88"/>
                <w:sz w:val="16"/>
              </w:rPr>
              <w:t>SW</w:t>
            </w:r>
          </w:p>
        </w:tc>
        <w:tc>
          <w:tcPr>
            <w:tcW w:type="dxa" w:w="8640"/>
          </w:tcPr>
          <w:p>
            <w:r/>
            <w:r>
              <w:rPr>
                <w:b w:val="0"/>
                <w:sz w:val="16"/>
              </w:rPr>
              <w:t>Dump the Preview Data buffer after a control-channel completion and compare against the expected processed pattern. Needs a golden reference image — which does not exist yet.</w:t>
            </w:r>
          </w:p>
        </w:tc>
      </w:tr>
      <w:tr>
        <w:tc>
          <w:tcPr>
            <w:tcW w:type="dxa" w:w="3456"/>
          </w:tcPr>
          <w:p>
            <w:r/>
            <w:r>
              <w:rPr>
                <w:b w:val="0"/>
                <w:sz w:val="16"/>
              </w:rPr>
              <w:t>MVC-100075  Monotonicity check</w:t>
            </w:r>
          </w:p>
        </w:tc>
        <w:tc>
          <w:tcPr>
            <w:tcW w:type="dxa" w:w="1152"/>
          </w:tcPr>
          <w:p>
            <w:r/>
            <w:r>
              <w:rPr>
                <w:b w:val="0"/>
                <w:sz w:val="16"/>
              </w:rPr>
              <w:t>Test</w:t>
            </w:r>
          </w:p>
        </w:tc>
        <w:tc>
          <w:tcPr>
            <w:tcW w:type="dxa" w:w="1296"/>
          </w:tcPr>
          <w:p>
            <w:r/>
            <w:r>
              <w:rPr>
                <w:b/>
                <w:color w:val="2E5A88"/>
                <w:sz w:val="16"/>
              </w:rPr>
              <w:t>SW</w:t>
            </w:r>
          </w:p>
        </w:tc>
        <w:tc>
          <w:tcPr>
            <w:tcW w:type="dxa" w:w="8640"/>
          </w:tcPr>
          <w:p>
            <w:r/>
            <w:r>
              <w:rPr>
                <w:b w:val="0"/>
                <w:sz w:val="16"/>
              </w:rPr>
              <w:t>Source-pattern corruption per §3.2, then confirm the fault flag.</w:t>
            </w:r>
          </w:p>
        </w:tc>
      </w:tr>
      <w:tr>
        <w:tc>
          <w:tcPr>
            <w:tcW w:type="dxa" w:w="3456"/>
          </w:tcPr>
          <w:p>
            <w:r/>
            <w:r>
              <w:rPr>
                <w:b w:val="0"/>
                <w:sz w:val="16"/>
              </w:rPr>
              <w:t>MVC-100066  Colour tolerance check</w:t>
            </w:r>
          </w:p>
        </w:tc>
        <w:tc>
          <w:tcPr>
            <w:tcW w:type="dxa" w:w="1152"/>
          </w:tcPr>
          <w:p>
            <w:r/>
            <w:r>
              <w:rPr>
                <w:b w:val="0"/>
                <w:sz w:val="16"/>
              </w:rPr>
              <w:t>Test</w:t>
            </w:r>
          </w:p>
        </w:tc>
        <w:tc>
          <w:tcPr>
            <w:tcW w:type="dxa" w:w="1296"/>
          </w:tcPr>
          <w:p>
            <w:r/>
            <w:r>
              <w:rPr>
                <w:b/>
                <w:color w:val="2E5A88"/>
                <w:sz w:val="16"/>
              </w:rPr>
              <w:t>SW</w:t>
            </w:r>
          </w:p>
        </w:tc>
        <w:tc>
          <w:tcPr>
            <w:tcW w:type="dxa" w:w="8640"/>
          </w:tcPr>
          <w:p>
            <w:r/>
            <w:r>
              <w:rPr>
                <w:b w:val="0"/>
                <w:sz w:val="16"/>
              </w:rPr>
              <w:t>As above, with a patch driven outside tolerance.</w:t>
            </w:r>
          </w:p>
        </w:tc>
      </w:tr>
      <w:tr>
        <w:tc>
          <w:tcPr>
            <w:tcW w:type="dxa" w:w="3456"/>
          </w:tcPr>
          <w:p>
            <w:r/>
            <w:r>
              <w:rPr>
                <w:b w:val="0"/>
                <w:sz w:val="16"/>
              </w:rPr>
              <w:t>MVC-100068  High-frequency attenuation</w:t>
            </w:r>
          </w:p>
        </w:tc>
        <w:tc>
          <w:tcPr>
            <w:tcW w:type="dxa" w:w="1152"/>
          </w:tcPr>
          <w:p>
            <w:r/>
            <w:r>
              <w:rPr>
                <w:b w:val="0"/>
                <w:sz w:val="16"/>
              </w:rPr>
              <w:t>Test</w:t>
            </w:r>
          </w:p>
        </w:tc>
        <w:tc>
          <w:tcPr>
            <w:tcW w:type="dxa" w:w="1296"/>
          </w:tcPr>
          <w:p>
            <w:r/>
            <w:r>
              <w:rPr>
                <w:b/>
                <w:color w:val="2E5A88"/>
                <w:sz w:val="16"/>
              </w:rPr>
              <w:t>SW</w:t>
            </w:r>
          </w:p>
        </w:tc>
        <w:tc>
          <w:tcPr>
            <w:tcW w:type="dxa" w:w="8640"/>
          </w:tcPr>
          <w:p>
            <w:r/>
            <w:r>
              <w:rPr>
                <w:b w:val="0"/>
                <w:sz w:val="16"/>
              </w:rPr>
              <w:t>As above, with a low-pass filtered pattern.</w:t>
            </w:r>
          </w:p>
        </w:tc>
      </w:tr>
      <w:tr>
        <w:tc>
          <w:tcPr>
            <w:tcW w:type="dxa" w:w="3456"/>
          </w:tcPr>
          <w:p>
            <w:r/>
            <w:r>
              <w:rPr>
                <w:b w:val="0"/>
                <w:sz w:val="16"/>
              </w:rPr>
              <w:t>MVC-100067  Reaction, 150 ms + 50 ms</w:t>
            </w:r>
          </w:p>
        </w:tc>
        <w:tc>
          <w:tcPr>
            <w:tcW w:type="dxa" w:w="1152"/>
          </w:tcPr>
          <w:p>
            <w:r/>
            <w:r>
              <w:rPr>
                <w:b w:val="0"/>
                <w:sz w:val="16"/>
              </w:rPr>
              <w:t>Test</w:t>
            </w:r>
          </w:p>
        </w:tc>
        <w:tc>
          <w:tcPr>
            <w:tcW w:type="dxa" w:w="1296"/>
          </w:tcPr>
          <w:p>
            <w:r/>
            <w:r>
              <w:rPr>
                <w:b/>
                <w:color w:val="2E5A88"/>
                <w:sz w:val="16"/>
              </w:rPr>
              <w:t>SW + SYS</w:t>
            </w:r>
          </w:p>
        </w:tc>
        <w:tc>
          <w:tcPr>
            <w:tcW w:type="dxa" w:w="8640"/>
          </w:tcPr>
          <w:p>
            <w:r/>
            <w:r>
              <w:rPr>
                <w:b w:val="0"/>
                <w:sz w:val="16"/>
              </w:rPr>
              <w:t>Hybrid. The confirmation flag is internal (SW); PHY inactive is externally observable (SYS). See §6 on measuring the split.</w:t>
            </w:r>
          </w:p>
        </w:tc>
      </w:tr>
      <w:tr>
        <w:tc>
          <w:tcPr>
            <w:tcW w:type="dxa" w:w="3456"/>
          </w:tcPr>
          <w:p>
            <w:r/>
            <w:r>
              <w:rPr>
                <w:b w:val="0"/>
                <w:sz w:val="16"/>
              </w:rPr>
              <w:t>MVC-99786  MIPI_ECC_ENABLE</w:t>
            </w:r>
          </w:p>
        </w:tc>
        <w:tc>
          <w:tcPr>
            <w:tcW w:type="dxa" w:w="1152"/>
          </w:tcPr>
          <w:p>
            <w:r/>
            <w:r>
              <w:rPr>
                <w:b w:val="0"/>
                <w:sz w:val="16"/>
              </w:rPr>
              <w:t>Test</w:t>
            </w:r>
          </w:p>
        </w:tc>
        <w:tc>
          <w:tcPr>
            <w:tcW w:type="dxa" w:w="1296"/>
          </w:tcPr>
          <w:p>
            <w:r/>
            <w:r>
              <w:rPr>
                <w:b/>
                <w:color w:val="2E5A88"/>
                <w:sz w:val="16"/>
              </w:rPr>
              <w:t>SW</w:t>
            </w:r>
          </w:p>
        </w:tc>
        <w:tc>
          <w:tcPr>
            <w:tcW w:type="dxa" w:w="8640"/>
          </w:tcPr>
          <w:p>
            <w:r/>
            <w:r>
              <w:rPr>
                <w:b w:val="0"/>
                <w:sz w:val="16"/>
              </w:rPr>
              <w:t>Read VIN offset 31 bit 13. Register is known and citable.</w:t>
            </w:r>
          </w:p>
        </w:tc>
      </w:tr>
      <w:tr>
        <w:tc>
          <w:tcPr>
            <w:tcW w:type="dxa" w:w="3456"/>
          </w:tcPr>
          <w:p>
            <w:r/>
            <w:r>
              <w:rPr>
                <w:b w:val="0"/>
                <w:sz w:val="16"/>
              </w:rPr>
              <w:t>MVC-99788  CRC threshold</w:t>
            </w:r>
          </w:p>
        </w:tc>
        <w:tc>
          <w:tcPr>
            <w:tcW w:type="dxa" w:w="1152"/>
          </w:tcPr>
          <w:p>
            <w:r/>
            <w:r>
              <w:rPr>
                <w:b w:val="0"/>
                <w:sz w:val="16"/>
              </w:rPr>
              <w:t>Test</w:t>
            </w:r>
          </w:p>
        </w:tc>
        <w:tc>
          <w:tcPr>
            <w:tcW w:type="dxa" w:w="1296"/>
          </w:tcPr>
          <w:p>
            <w:r/>
            <w:r>
              <w:rPr>
                <w:b/>
                <w:color w:val="2E5A88"/>
                <w:sz w:val="16"/>
              </w:rPr>
              <w:t>SW</w:t>
            </w:r>
          </w:p>
        </w:tc>
        <w:tc>
          <w:tcPr>
            <w:tcW w:type="dxa" w:w="8640"/>
          </w:tcPr>
          <w:p>
            <w:r/>
            <w:r>
              <w:rPr>
                <w:b w:val="0"/>
                <w:sz w:val="16"/>
              </w:rPr>
              <w:t>Read VIN offset 61. Blocked on the threshold value — see D1.</w:t>
            </w:r>
          </w:p>
        </w:tc>
      </w:tr>
      <w:tr>
        <w:tc>
          <w:tcPr>
            <w:tcW w:type="dxa" w:w="3456"/>
          </w:tcPr>
          <w:p>
            <w:r/>
            <w:r>
              <w:rPr>
                <w:b w:val="0"/>
                <w:sz w:val="16"/>
              </w:rPr>
              <w:t>MVC-99789  Poll status for CRC/ECC flags</w:t>
            </w:r>
          </w:p>
        </w:tc>
        <w:tc>
          <w:tcPr>
            <w:tcW w:type="dxa" w:w="1152"/>
          </w:tcPr>
          <w:p>
            <w:r/>
            <w:r>
              <w:rPr>
                <w:b w:val="0"/>
                <w:sz w:val="16"/>
              </w:rPr>
              <w:t>Test</w:t>
            </w:r>
          </w:p>
        </w:tc>
        <w:tc>
          <w:tcPr>
            <w:tcW w:type="dxa" w:w="1296"/>
          </w:tcPr>
          <w:p>
            <w:r/>
            <w:r>
              <w:rPr>
                <w:b/>
                <w:color w:val="2E5A88"/>
                <w:sz w:val="16"/>
              </w:rPr>
              <w:t>SW</w:t>
            </w:r>
          </w:p>
        </w:tc>
        <w:tc>
          <w:tcPr>
            <w:tcW w:type="dxa" w:w="8640"/>
          </w:tcPr>
          <w:p>
            <w:r/>
            <w:r>
              <w:rPr>
                <w:b w:val="0"/>
                <w:sz w:val="16"/>
              </w:rPr>
              <w:t>Injection is external (serializer ERRG over I²C, §3.1); observation is internal (VIN offset 55 and counters 59/63).</w:t>
            </w:r>
          </w:p>
        </w:tc>
      </w:tr>
      <w:tr>
        <w:tc>
          <w:tcPr>
            <w:tcW w:type="dxa" w:w="3456"/>
          </w:tcPr>
          <w:p>
            <w:r/>
            <w:r>
              <w:rPr>
                <w:b w:val="0"/>
                <w:sz w:val="16"/>
              </w:rPr>
              <w:t>MVC-99790  Reaction, 100 ms + 200 ms</w:t>
            </w:r>
          </w:p>
        </w:tc>
        <w:tc>
          <w:tcPr>
            <w:tcW w:type="dxa" w:w="1152"/>
          </w:tcPr>
          <w:p>
            <w:r/>
            <w:r>
              <w:rPr>
                <w:b w:val="0"/>
                <w:sz w:val="16"/>
              </w:rPr>
              <w:t>Test</w:t>
            </w:r>
          </w:p>
        </w:tc>
        <w:tc>
          <w:tcPr>
            <w:tcW w:type="dxa" w:w="1296"/>
          </w:tcPr>
          <w:p>
            <w:r/>
            <w:r>
              <w:rPr>
                <w:b/>
                <w:color w:val="2E5A88"/>
                <w:sz w:val="16"/>
              </w:rPr>
              <w:t>SW + SYS</w:t>
            </w:r>
          </w:p>
        </w:tc>
        <w:tc>
          <w:tcPr>
            <w:tcW w:type="dxa" w:w="8640"/>
          </w:tcPr>
          <w:p>
            <w:r/>
            <w:r>
              <w:rPr>
                <w:b w:val="0"/>
                <w:sz w:val="16"/>
              </w:rPr>
              <w:t>Same hybrid split as MVC-100067. Blocked on D2.</w:t>
            </w:r>
          </w:p>
        </w:tc>
      </w:tr>
      <w:tr>
        <w:tc>
          <w:tcPr>
            <w:tcW w:type="dxa" w:w="3456"/>
          </w:tcPr>
          <w:p>
            <w:r/>
            <w:r>
              <w:rPr>
                <w:b/>
                <w:sz w:val="16"/>
              </w:rPr>
              <w:t>MVC-100755  I²C CRC and message counter</w:t>
            </w:r>
          </w:p>
        </w:tc>
        <w:tc>
          <w:tcPr>
            <w:tcW w:type="dxa" w:w="1152"/>
          </w:tcPr>
          <w:p>
            <w:r/>
            <w:r>
              <w:rPr>
                <w:b w:val="0"/>
                <w:sz w:val="16"/>
              </w:rPr>
              <w:t>Test</w:t>
            </w:r>
          </w:p>
        </w:tc>
        <w:tc>
          <w:tcPr>
            <w:tcW w:type="dxa" w:w="1296"/>
          </w:tcPr>
          <w:p>
            <w:r/>
            <w:r>
              <w:rPr>
                <w:b/>
                <w:color w:val="1B7F3B"/>
                <w:sz w:val="16"/>
              </w:rPr>
              <w:t>SYS</w:t>
            </w:r>
          </w:p>
        </w:tc>
        <w:tc>
          <w:tcPr>
            <w:tcW w:type="dxa" w:w="8640"/>
          </w:tcPr>
          <w:p>
            <w:r/>
            <w:r>
              <w:rPr>
                <w:b w:val="0"/>
                <w:color w:val="1B7F3B"/>
                <w:sz w:val="16"/>
              </w:rPr>
              <w:t>The only requirement in the set testable with no SoC-internal access. Sniff the SoC-to-deserializer I²C with the Saleae and decode the AE/AWB write payload for a CRC field and an incrementing counter.</w:t>
            </w:r>
          </w:p>
        </w:tc>
      </w:tr>
    </w:tbl>
    <w:p>
      <w:pPr>
        <w:spacing w:after="40"/>
      </w:pPr>
    </w:p>
    <w:p>
      <w:pPr>
        <w:spacing w:after="120"/>
      </w:pPr>
      <w:r>
        <w:rPr>
          <w:b/>
          <w:color w:val="1F3355"/>
          <w:sz w:val="19"/>
        </w:rPr>
        <w:t>Fourteen of the fifteen require SoC-internal visibility. That is the single most important planning consequence of this set — it is a very different profile from the deserializer requirements, where most work was register reads over an accessible bus.</w:t>
      </w:r>
    </w:p>
    <w:p>
      <w:pPr>
        <w:spacing w:after="80"/>
      </w:pPr>
      <w:r>
        <w:rPr>
          <w:b/>
          <w:color w:val="2E5A88"/>
          <w:sz w:val="23"/>
        </w:rPr>
        <w:t>5.1  A note on MVC-100755</w:t>
      </w:r>
    </w:p>
    <w:p>
      <w:pPr>
        <w:spacing w:after="100"/>
      </w:pPr>
      <w:r>
        <w:rPr>
          <w:b w:val="0"/>
          <w:sz w:val="19"/>
        </w:rPr>
        <w:t>Do not confuse this with the deserializer's control-channel CRC. They are different layers and both exist:</w:t>
      </w:r>
    </w:p>
    <w:tbl>
      <w:tblPr>
        <w:tblStyle w:val="TableGrid"/>
        <w:tblW w:type="auto" w:w="0"/>
        <w:tblLook w:firstColumn="1" w:firstRow="1" w:lastColumn="0" w:lastRow="0" w:noHBand="0" w:noVBand="1" w:val="04A0"/>
      </w:tblPr>
      <w:tblGrid>
        <w:gridCol w:w="4704"/>
        <w:gridCol w:w="4704"/>
        <w:gridCol w:w="4704"/>
      </w:tblGrid>
      <w:tr>
        <w:tc>
          <w:tcPr>
            <w:tcW w:type="dxa" w:w="2592"/>
          </w:tcPr>
          <w:p>
            <w:r/>
            <w:r>
              <w:rPr>
                <w:b/>
                <w:color w:val="1F3355"/>
                <w:sz w:val="16"/>
              </w:rPr>
            </w:r>
          </w:p>
        </w:tc>
        <w:tc>
          <w:tcPr>
            <w:tcW w:type="dxa" w:w="5616"/>
          </w:tcPr>
          <w:p>
            <w:r/>
            <w:r>
              <w:rPr>
                <w:b/>
                <w:color w:val="1F3355"/>
                <w:sz w:val="16"/>
              </w:rPr>
              <w:t>Deserializer control-channel CRC (SM3)</w:t>
            </w:r>
          </w:p>
        </w:tc>
        <w:tc>
          <w:tcPr>
            <w:tcW w:type="dxa" w:w="6336"/>
          </w:tcPr>
          <w:p>
            <w:r/>
            <w:r>
              <w:rPr>
                <w:b/>
                <w:color w:val="1F3355"/>
                <w:sz w:val="16"/>
              </w:rPr>
              <w:t>MVC-100755</w:t>
            </w:r>
          </w:p>
        </w:tc>
      </w:tr>
      <w:tr>
        <w:tc>
          <w:tcPr>
            <w:tcW w:type="dxa" w:w="2592"/>
          </w:tcPr>
          <w:p>
            <w:r/>
            <w:r>
              <w:rPr>
                <w:b w:val="0"/>
                <w:sz w:val="16"/>
              </w:rPr>
              <w:t>What it protects</w:t>
            </w:r>
          </w:p>
        </w:tc>
        <w:tc>
          <w:tcPr>
            <w:tcW w:type="dxa" w:w="5616"/>
          </w:tcPr>
          <w:p>
            <w:r/>
            <w:r>
              <w:rPr>
                <w:b w:val="0"/>
                <w:sz w:val="16"/>
              </w:rPr>
              <w:t>The I²C/UART transport across the GMSL link, per transaction</w:t>
            </w:r>
          </w:p>
        </w:tc>
        <w:tc>
          <w:tcPr>
            <w:tcW w:type="dxa" w:w="6336"/>
          </w:tcPr>
          <w:p>
            <w:r/>
            <w:r>
              <w:rPr>
                <w:b w:val="0"/>
                <w:sz w:val="16"/>
              </w:rPr>
              <w:t>The AE/AWB configuration payload, end to end from SoC to imager</w:t>
            </w:r>
          </w:p>
        </w:tc>
      </w:tr>
      <w:tr>
        <w:tc>
          <w:tcPr>
            <w:tcW w:type="dxa" w:w="2592"/>
          </w:tcPr>
          <w:p>
            <w:r/>
            <w:r>
              <w:rPr>
                <w:b w:val="0"/>
                <w:sz w:val="16"/>
              </w:rPr>
              <w:t>Where it lives</w:t>
            </w:r>
          </w:p>
        </w:tc>
        <w:tc>
          <w:tcPr>
            <w:tcW w:type="dxa" w:w="5616"/>
          </w:tcPr>
          <w:p>
            <w:r/>
            <w:r>
              <w:rPr>
                <w:b w:val="0"/>
                <w:sz w:val="16"/>
              </w:rPr>
              <w:t>Hardware, I2C_UART_CRC7 (0x300F) with CC_CRC_MSGCNTR_OVR gating</w:t>
            </w:r>
          </w:p>
        </w:tc>
        <w:tc>
          <w:tcPr>
            <w:tcW w:type="dxa" w:w="6336"/>
          </w:tcPr>
          <w:p>
            <w:r/>
            <w:r>
              <w:rPr>
                <w:b w:val="0"/>
                <w:sz w:val="16"/>
              </w:rPr>
              <w:t>Software, inside the I²C data bytes</w:t>
            </w:r>
          </w:p>
        </w:tc>
      </w:tr>
      <w:tr>
        <w:tc>
          <w:tcPr>
            <w:tcW w:type="dxa" w:w="2592"/>
          </w:tcPr>
          <w:p>
            <w:r/>
            <w:r>
              <w:rPr>
                <w:b w:val="0"/>
                <w:sz w:val="16"/>
              </w:rPr>
              <w:t>How we test it</w:t>
            </w:r>
          </w:p>
        </w:tc>
        <w:tc>
          <w:tcPr>
            <w:tcW w:type="dxa" w:w="5616"/>
          </w:tcPr>
          <w:p>
            <w:r/>
            <w:r>
              <w:rPr>
                <w:b w:val="0"/>
                <w:sz w:val="16"/>
              </w:rPr>
              <w:t>Read the deserializer register, force a mismatch</w:t>
            </w:r>
          </w:p>
        </w:tc>
        <w:tc>
          <w:tcPr>
            <w:tcW w:type="dxa" w:w="6336"/>
          </w:tcPr>
          <w:p>
            <w:r/>
            <w:r>
              <w:rPr>
                <w:b w:val="0"/>
                <w:sz w:val="16"/>
              </w:rPr>
              <w:t>Sniff the bus and decode the payload structure</w:t>
            </w:r>
          </w:p>
        </w:tc>
      </w:tr>
    </w:tbl>
    <w:p>
      <w:pPr>
        <w:spacing w:after="40"/>
      </w:pPr>
    </w:p>
    <w:p>
      <w:r>
        <w:br w:type="page"/>
      </w:r>
    </w:p>
    <w:p>
      <w:pPr>
        <w:spacing w:after="120"/>
      </w:pPr>
      <w:r>
        <w:rPr>
          <w:b/>
          <w:color w:val="1F3355"/>
          <w:sz w:val="28"/>
        </w:rPr>
        <w:t>6.  The timing-measurement problem, and a fallback</w:t>
      </w:r>
    </w:p>
    <w:p>
      <w:pPr>
        <w:spacing w:after="100"/>
      </w:pPr>
      <w:r>
        <w:rPr>
          <w:b w:val="0"/>
          <w:sz w:val="19"/>
        </w:rPr>
        <w:t>Both reaction requirements ask for a split measurement: fault onset → confirmation flag (FDTI), then confirmation → safe state (FRTI). The second half is externally observable because our safe state is PHY inactive. The first half is not — the confirmation flag lives in SoC RAM.</w:t>
      </w:r>
    </w:p>
    <w:tbl>
      <w:tblPr>
        <w:tblStyle w:val="TableGrid"/>
        <w:tblW w:type="auto" w:w="0"/>
        <w:tblLook w:firstColumn="1" w:firstRow="1" w:lastColumn="0" w:lastRow="0" w:noHBand="0" w:noVBand="1" w:val="04A0"/>
      </w:tblPr>
      <w:tblGrid>
        <w:gridCol w:w="4704"/>
        <w:gridCol w:w="4704"/>
        <w:gridCol w:w="4704"/>
      </w:tblGrid>
      <w:tr>
        <w:tc>
          <w:tcPr>
            <w:tcW w:type="dxa" w:w="2736"/>
          </w:tcPr>
          <w:p>
            <w:r/>
            <w:r>
              <w:rPr>
                <w:b/>
                <w:color w:val="1F3355"/>
                <w:sz w:val="16"/>
              </w:rPr>
              <w:t>Event</w:t>
            </w:r>
          </w:p>
        </w:tc>
        <w:tc>
          <w:tcPr>
            <w:tcW w:type="dxa" w:w="2448"/>
          </w:tcPr>
          <w:p>
            <w:r/>
            <w:r>
              <w:rPr>
                <w:b/>
                <w:color w:val="1F3355"/>
                <w:sz w:val="16"/>
              </w:rPr>
              <w:t>Externally observable?</w:t>
            </w:r>
          </w:p>
        </w:tc>
        <w:tc>
          <w:tcPr>
            <w:tcW w:type="dxa" w:w="9360"/>
          </w:tcPr>
          <w:p>
            <w:r/>
            <w:r>
              <w:rPr>
                <w:b/>
                <w:color w:val="1F3355"/>
                <w:sz w:val="16"/>
              </w:rPr>
              <w:t>How to capture it</w:t>
            </w:r>
          </w:p>
        </w:tc>
      </w:tr>
      <w:tr>
        <w:tc>
          <w:tcPr>
            <w:tcW w:type="dxa" w:w="2736"/>
          </w:tcPr>
          <w:p>
            <w:r/>
            <w:r>
              <w:rPr>
                <w:b w:val="0"/>
                <w:sz w:val="16"/>
              </w:rPr>
              <w:t>Fault onset (t0)</w:t>
            </w:r>
          </w:p>
        </w:tc>
        <w:tc>
          <w:tcPr>
            <w:tcW w:type="dxa" w:w="2448"/>
          </w:tcPr>
          <w:p>
            <w:r/>
            <w:r>
              <w:rPr>
                <w:b/>
                <w:color w:val="1B7F3B"/>
                <w:sz w:val="16"/>
              </w:rPr>
              <w:t>Yes, if we control it</w:t>
            </w:r>
          </w:p>
        </w:tc>
        <w:tc>
          <w:tcPr>
            <w:tcW w:type="dxa" w:w="9360"/>
          </w:tcPr>
          <w:p>
            <w:r/>
            <w:r>
              <w:rPr>
                <w:b w:val="0"/>
                <w:sz w:val="16"/>
              </w:rPr>
              <w:t>The injection instant is ours: the I²C write that enables ERRG, or the ring-buffer pointer swap. Capture the I²C transaction on the Saleae as t0.</w:t>
            </w:r>
          </w:p>
        </w:tc>
      </w:tr>
      <w:tr>
        <w:tc>
          <w:tcPr>
            <w:tcW w:type="dxa" w:w="2736"/>
          </w:tcPr>
          <w:p>
            <w:r/>
            <w:r>
              <w:rPr>
                <w:b w:val="0"/>
                <w:sz w:val="16"/>
              </w:rPr>
              <w:t>First failed frame</w:t>
            </w:r>
          </w:p>
        </w:tc>
        <w:tc>
          <w:tcPr>
            <w:tcW w:type="dxa" w:w="2448"/>
          </w:tcPr>
          <w:p>
            <w:r/>
            <w:r>
              <w:rPr>
                <w:b/>
                <w:color w:val="B03022"/>
                <w:sz w:val="16"/>
              </w:rPr>
              <w:t>No</w:t>
            </w:r>
          </w:p>
        </w:tc>
        <w:tc>
          <w:tcPr>
            <w:tcW w:type="dxa" w:w="9360"/>
          </w:tcPr>
          <w:p>
            <w:r/>
            <w:r>
              <w:rPr>
                <w:b w:val="0"/>
                <w:sz w:val="16"/>
              </w:rPr>
              <w:t>Internal. Needs a GPIO toggle or trace.</w:t>
            </w:r>
          </w:p>
        </w:tc>
      </w:tr>
      <w:tr>
        <w:tc>
          <w:tcPr>
            <w:tcW w:type="dxa" w:w="2736"/>
          </w:tcPr>
          <w:p>
            <w:r/>
            <w:r>
              <w:rPr>
                <w:b w:val="0"/>
                <w:sz w:val="16"/>
              </w:rPr>
              <w:t>Fault confirmation flag</w:t>
            </w:r>
          </w:p>
        </w:tc>
        <w:tc>
          <w:tcPr>
            <w:tcW w:type="dxa" w:w="2448"/>
          </w:tcPr>
          <w:p>
            <w:r/>
            <w:r>
              <w:rPr>
                <w:b/>
                <w:color w:val="B03022"/>
                <w:sz w:val="16"/>
              </w:rPr>
              <w:t>No</w:t>
            </w:r>
          </w:p>
        </w:tc>
        <w:tc>
          <w:tcPr>
            <w:tcW w:type="dxa" w:w="9360"/>
          </w:tcPr>
          <w:p>
            <w:r/>
            <w:r>
              <w:rPr>
                <w:b w:val="0"/>
                <w:sz w:val="16"/>
              </w:rPr>
              <w:t>Internal. Needs a GPIO toggle or trace.</w:t>
            </w:r>
          </w:p>
        </w:tc>
      </w:tr>
      <w:tr>
        <w:tc>
          <w:tcPr>
            <w:tcW w:type="dxa" w:w="2736"/>
          </w:tcPr>
          <w:p>
            <w:r/>
            <w:r>
              <w:rPr>
                <w:b w:val="0"/>
                <w:sz w:val="16"/>
              </w:rPr>
              <w:t>Safe state reached</w:t>
            </w:r>
          </w:p>
        </w:tc>
        <w:tc>
          <w:tcPr>
            <w:tcW w:type="dxa" w:w="2448"/>
          </w:tcPr>
          <w:p>
            <w:r/>
            <w:r>
              <w:rPr>
                <w:b/>
                <w:color w:val="1B7F3B"/>
                <w:sz w:val="16"/>
              </w:rPr>
              <w:t>Yes</w:t>
            </w:r>
          </w:p>
        </w:tc>
        <w:tc>
          <w:tcPr>
            <w:tcW w:type="dxa" w:w="9360"/>
          </w:tcPr>
          <w:p>
            <w:r/>
            <w:r>
              <w:rPr>
                <w:b w:val="0"/>
                <w:sz w:val="16"/>
              </w:rPr>
              <w:t>PHY inactive. Best captured as the TE-1406 MediaConverter's MQS PIN 2 link-status output, which goes to 3.3 V when the link drops — a clean hardware edge on the same Saleae time base as t0.</w:t>
            </w:r>
          </w:p>
        </w:tc>
      </w:tr>
    </w:tbl>
    <w:p>
      <w:pPr>
        <w:spacing w:after="40"/>
      </w:pPr>
    </w:p>
    <w:p>
      <w:pPr>
        <w:spacing w:after="80"/>
      </w:pPr>
      <w:r>
        <w:rPr>
          <w:b/>
          <w:color w:val="1B7F3B"/>
          <w:sz w:val="19"/>
        </w:rPr>
        <w:t>Preferred solution: ask the software team for two spare SoC GPIOs with test points, toggled at ‘first failed frame’ and at ‘confirmation flag set’. Four signals on the Saleae then give the whole chain on one time base, with no debugger and no halting. This is a small ask with a large payoff and it should go on the next software-team agenda.</w:t>
      </w:r>
    </w:p>
    <w:p>
      <w:pPr>
        <w:spacing w:after="120"/>
      </w:pPr>
      <w:r>
        <w:rPr>
          <w:b w:val="0"/>
          <w:sz w:val="19"/>
        </w:rPr>
        <w:t>Fallback if the GPIOs are refused: measure only the total, from injection to PHY inactive, and check it against the sum (200 ms for MVC-100067, 300 ms for MVC-99790). Cover the internal split by reviewing the software trace or log. This still verifies the system-level property that matters; it just cannot independently confirm the FDTI/FRTI apportionment by test. Record it as a deviation in the TC.</w:t>
      </w:r>
    </w:p>
    <w:p>
      <w:pPr>
        <w:spacing w:after="120"/>
      </w:pPr>
      <w:r>
        <w:rPr>
          <w:b/>
          <w:color w:val="1F3355"/>
          <w:sz w:val="28"/>
        </w:rPr>
        <w:t>7.  Blocking points</w:t>
      </w:r>
    </w:p>
    <w:tbl>
      <w:tblPr>
        <w:tblStyle w:val="TableGrid"/>
        <w:tblW w:type="auto" w:w="0"/>
        <w:tblLook w:firstColumn="1" w:firstRow="1" w:lastColumn="0" w:lastRow="0" w:noHBand="0" w:noVBand="1" w:val="04A0"/>
      </w:tblPr>
      <w:tblGrid>
        <w:gridCol w:w="3528"/>
        <w:gridCol w:w="3528"/>
        <w:gridCol w:w="3528"/>
        <w:gridCol w:w="3528"/>
      </w:tblGrid>
      <w:tr>
        <w:tc>
          <w:tcPr>
            <w:tcW w:type="dxa" w:w="576"/>
          </w:tcPr>
          <w:p>
            <w:r/>
            <w:r>
              <w:rPr>
                <w:b/>
                <w:color w:val="1F3355"/>
                <w:sz w:val="16"/>
              </w:rPr>
              <w:t>#</w:t>
            </w:r>
          </w:p>
        </w:tc>
        <w:tc>
          <w:tcPr>
            <w:tcW w:type="dxa" w:w="6624"/>
          </w:tcPr>
          <w:p>
            <w:r/>
            <w:r>
              <w:rPr>
                <w:b/>
                <w:color w:val="1F3355"/>
                <w:sz w:val="16"/>
              </w:rPr>
              <w:t>Blocker</w:t>
            </w:r>
          </w:p>
        </w:tc>
        <w:tc>
          <w:tcPr>
            <w:tcW w:type="dxa" w:w="2880"/>
          </w:tcPr>
          <w:p>
            <w:r/>
            <w:r>
              <w:rPr>
                <w:b/>
                <w:color w:val="1F3355"/>
                <w:sz w:val="16"/>
              </w:rPr>
              <w:t>Requirements affected</w:t>
            </w:r>
          </w:p>
        </w:tc>
        <w:tc>
          <w:tcPr>
            <w:tcW w:type="dxa" w:w="4464"/>
          </w:tcPr>
          <w:p>
            <w:r/>
            <w:r>
              <w:rPr>
                <w:b/>
                <w:color w:val="1F3355"/>
                <w:sz w:val="16"/>
              </w:rPr>
              <w:t>Who resolves it</w:t>
            </w:r>
          </w:p>
        </w:tc>
      </w:tr>
      <w:tr>
        <w:tc>
          <w:tcPr>
            <w:tcW w:type="dxa" w:w="576"/>
          </w:tcPr>
          <w:p>
            <w:r/>
            <w:r>
              <w:rPr>
                <w:b/>
                <w:color w:val="B03022"/>
                <w:sz w:val="16"/>
              </w:rPr>
              <w:t>B1</w:t>
            </w:r>
          </w:p>
        </w:tc>
        <w:tc>
          <w:tcPr>
            <w:tcW w:type="dxa" w:w="6624"/>
          </w:tcPr>
          <w:p>
            <w:r/>
            <w:r>
              <w:rPr>
                <w:b w:val="0"/>
                <w:sz w:val="16"/>
              </w:rPr>
              <w:t>No documentation of the IDSP control channel, the Preview Data buffer, the ring buffer or the 3-frame scheduling. None of it appears in the Safety Manual or the Programming Reference Manual. We have no addresses, no API names and no golden reference image.</w:t>
            </w:r>
          </w:p>
        </w:tc>
        <w:tc>
          <w:tcPr>
            <w:tcW w:type="dxa" w:w="2880"/>
          </w:tcPr>
          <w:p>
            <w:r/>
            <w:r>
              <w:rPr>
                <w:b w:val="0"/>
                <w:sz w:val="16"/>
              </w:rPr>
              <w:t>All 10 of group A</w:t>
            </w:r>
          </w:p>
        </w:tc>
        <w:tc>
          <w:tcPr>
            <w:tcW w:type="dxa" w:w="4464"/>
          </w:tcPr>
          <w:p>
            <w:r/>
            <w:r>
              <w:rPr>
                <w:b w:val="0"/>
                <w:sz w:val="16"/>
              </w:rPr>
              <w:t>MEKRA software team — request the design description, the buffer addresses or map file, and the golden processed-pattern reference.</w:t>
            </w:r>
          </w:p>
        </w:tc>
      </w:tr>
      <w:tr>
        <w:tc>
          <w:tcPr>
            <w:tcW w:type="dxa" w:w="576"/>
          </w:tcPr>
          <w:p>
            <w:r/>
            <w:r>
              <w:rPr>
                <w:b/>
                <w:color w:val="B03022"/>
                <w:sz w:val="16"/>
              </w:rPr>
              <w:t>B2</w:t>
            </w:r>
          </w:p>
        </w:tc>
        <w:tc>
          <w:tcPr>
            <w:tcW w:type="dxa" w:w="6624"/>
          </w:tcPr>
          <w:p>
            <w:r/>
            <w:r>
              <w:rPr>
                <w:b w:val="0"/>
                <w:sz w:val="16"/>
              </w:rPr>
              <w:t>The CRC error threshold value is undefined. The Safety Manual assigns the choice to the system integrator; the requirement does not state it.</w:t>
            </w:r>
          </w:p>
        </w:tc>
        <w:tc>
          <w:tcPr>
            <w:tcW w:type="dxa" w:w="2880"/>
          </w:tcPr>
          <w:p>
            <w:r/>
            <w:r>
              <w:rPr>
                <w:b w:val="0"/>
                <w:sz w:val="16"/>
              </w:rPr>
              <w:t>MVC-99788</w:t>
            </w:r>
          </w:p>
        </w:tc>
        <w:tc>
          <w:tcPr>
            <w:tcW w:type="dxa" w:w="4464"/>
          </w:tcPr>
          <w:p>
            <w:r/>
            <w:r>
              <w:rPr>
                <w:b w:val="0"/>
                <w:sz w:val="16"/>
              </w:rPr>
              <w:t>Safety architect.</w:t>
            </w:r>
          </w:p>
        </w:tc>
      </w:tr>
      <w:tr>
        <w:tc>
          <w:tcPr>
            <w:tcW w:type="dxa" w:w="576"/>
          </w:tcPr>
          <w:p>
            <w:r/>
            <w:r>
              <w:rPr>
                <w:b/>
                <w:color w:val="B03022"/>
                <w:sz w:val="16"/>
              </w:rPr>
              <w:t>B3</w:t>
            </w:r>
          </w:p>
        </w:tc>
        <w:tc>
          <w:tcPr>
            <w:tcW w:type="dxa" w:w="6624"/>
          </w:tcPr>
          <w:p>
            <w:r/>
            <w:r>
              <w:rPr>
                <w:b w:val="0"/>
                <w:sz w:val="16"/>
              </w:rPr>
              <w:t>FDTI of 100 ms against a documented 99 ms error detect time leaves no room for the software poll.</w:t>
            </w:r>
          </w:p>
        </w:tc>
        <w:tc>
          <w:tcPr>
            <w:tcW w:type="dxa" w:w="2880"/>
          </w:tcPr>
          <w:p>
            <w:r/>
            <w:r>
              <w:rPr>
                <w:b w:val="0"/>
                <w:sz w:val="16"/>
              </w:rPr>
              <w:t>MVC-99790</w:t>
            </w:r>
          </w:p>
        </w:tc>
        <w:tc>
          <w:tcPr>
            <w:tcW w:type="dxa" w:w="4464"/>
          </w:tcPr>
          <w:p>
            <w:r/>
            <w:r>
              <w:rPr>
                <w:b w:val="0"/>
                <w:sz w:val="16"/>
              </w:rPr>
              <w:t>Safety architect — see defect D2.</w:t>
            </w:r>
          </w:p>
        </w:tc>
      </w:tr>
      <w:tr>
        <w:tc>
          <w:tcPr>
            <w:tcW w:type="dxa" w:w="576"/>
          </w:tcPr>
          <w:p>
            <w:r/>
            <w:r>
              <w:rPr>
                <w:b/>
                <w:color w:val="A86A0A"/>
                <w:sz w:val="16"/>
              </w:rPr>
              <w:t>B4</w:t>
            </w:r>
          </w:p>
        </w:tc>
        <w:tc>
          <w:tcPr>
            <w:tcW w:type="dxa" w:w="6624"/>
          </w:tcPr>
          <w:p>
            <w:r/>
            <w:r>
              <w:rPr>
                <w:b w:val="0"/>
                <w:sz w:val="16"/>
              </w:rPr>
              <w:t>No internal observability for the fault-confirmation flag or the control-channel execution instant.</w:t>
            </w:r>
          </w:p>
        </w:tc>
        <w:tc>
          <w:tcPr>
            <w:tcW w:type="dxa" w:w="2880"/>
          </w:tcPr>
          <w:p>
            <w:r/>
            <w:r>
              <w:rPr>
                <w:b w:val="0"/>
                <w:sz w:val="16"/>
              </w:rPr>
              <w:t>MVC-100073, 100067, 99790</w:t>
            </w:r>
          </w:p>
        </w:tc>
        <w:tc>
          <w:tcPr>
            <w:tcW w:type="dxa" w:w="4464"/>
          </w:tcPr>
          <w:p>
            <w:r/>
            <w:r>
              <w:rPr>
                <w:b w:val="0"/>
                <w:sz w:val="16"/>
              </w:rPr>
              <w:t>Software team — two instrumented GPIOs with test points, per §6.</w:t>
            </w:r>
          </w:p>
        </w:tc>
      </w:tr>
      <w:tr>
        <w:tc>
          <w:tcPr>
            <w:tcW w:type="dxa" w:w="576"/>
          </w:tcPr>
          <w:p>
            <w:r/>
            <w:r>
              <w:rPr>
                <w:b/>
                <w:color w:val="A86A0A"/>
                <w:sz w:val="16"/>
              </w:rPr>
              <w:t>B5</w:t>
            </w:r>
          </w:p>
        </w:tc>
        <w:tc>
          <w:tcPr>
            <w:tcW w:type="dxa" w:w="6624"/>
          </w:tcPr>
          <w:p>
            <w:r/>
            <w:r>
              <w:rPr>
                <w:b w:val="0"/>
                <w:sz w:val="16"/>
              </w:rPr>
              <w:t>No test hook to swap the test-pattern source or ring-buffer pointer at a defined instant.</w:t>
            </w:r>
          </w:p>
        </w:tc>
        <w:tc>
          <w:tcPr>
            <w:tcW w:type="dxa" w:w="2880"/>
          </w:tcPr>
          <w:p>
            <w:r/>
            <w:r>
              <w:rPr>
                <w:b w:val="0"/>
                <w:sz w:val="16"/>
              </w:rPr>
              <w:t>MVC-100075, 100066, 100068, 100067</w:t>
            </w:r>
          </w:p>
        </w:tc>
        <w:tc>
          <w:tcPr>
            <w:tcW w:type="dxa" w:w="4464"/>
          </w:tcPr>
          <w:p>
            <w:r/>
            <w:r>
              <w:rPr>
                <w:b w:val="0"/>
                <w:sz w:val="16"/>
              </w:rPr>
              <w:t>Software team — a debug command on the diagnostic interface would be enough.</w:t>
            </w:r>
          </w:p>
        </w:tc>
      </w:tr>
      <w:tr>
        <w:tc>
          <w:tcPr>
            <w:tcW w:type="dxa" w:w="576"/>
          </w:tcPr>
          <w:p>
            <w:r/>
            <w:r>
              <w:rPr>
                <w:b/>
                <w:color w:val="A86A0A"/>
                <w:sz w:val="16"/>
              </w:rPr>
              <w:t>B6</w:t>
            </w:r>
          </w:p>
        </w:tc>
        <w:tc>
          <w:tcPr>
            <w:tcW w:type="dxa" w:w="6624"/>
          </w:tcPr>
          <w:p>
            <w:r/>
            <w:r>
              <w:rPr>
                <w:b w:val="0"/>
                <w:sz w:val="16"/>
              </w:rPr>
              <w:t>VIN register block base address not in the extracted PRM pages; offsets alone are not enough to write a read step.</w:t>
            </w:r>
          </w:p>
        </w:tc>
        <w:tc>
          <w:tcPr>
            <w:tcW w:type="dxa" w:w="2880"/>
          </w:tcPr>
          <w:p>
            <w:r/>
            <w:r>
              <w:rPr>
                <w:b w:val="0"/>
                <w:sz w:val="16"/>
              </w:rPr>
              <w:t>MVC-99786, 99788, 99789</w:t>
            </w:r>
          </w:p>
        </w:tc>
        <w:tc>
          <w:tcPr>
            <w:tcW w:type="dxa" w:w="4464"/>
          </w:tcPr>
          <w:p>
            <w:r/>
            <w:r>
              <w:rPr>
                <w:b w:val="0"/>
                <w:sz w:val="16"/>
              </w:rPr>
              <w:t>Recoverable from the SDK memory map or the rest of the PRM — low risk.</w:t>
            </w:r>
          </w:p>
        </w:tc>
      </w:tr>
    </w:tbl>
    <w:p>
      <w:pPr>
        <w:spacing w:after="40"/>
      </w:pPr>
    </w:p>
    <w:p>
      <w:pPr>
        <w:spacing w:after="120"/>
      </w:pPr>
      <w:r>
        <w:rPr>
          <w:b/>
          <w:color w:val="1F3355"/>
          <w:sz w:val="19"/>
        </w:rPr>
        <w:t>Four of the six blockers sit with the MEKRA software team rather than with hardware or with the bench. Group A cannot be drafted into test cases at all until B1 is answered — that is the first thing to chase.</w:t>
      </w:r>
    </w:p>
    <w:sectPr w:rsidR="00FC693F" w:rsidRPr="0006063C" w:rsidSect="00034616">
      <w:pgSz w:w="15840" w:h="12240" w:orient="landscape"/>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