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355"/>
          <w:sz w:val="44"/>
        </w:rPr>
        <w:t>Technica Engineering Bench Equipment — Capability Analysis</w:t>
      </w:r>
    </w:p>
    <w:p>
      <w:pPr>
        <w:spacing w:after="160"/>
      </w:pPr>
      <w:r>
        <w:rPr>
          <w:b/>
          <w:color w:val="2E5A88"/>
          <w:sz w:val="26"/>
        </w:rPr>
        <w:t>MVCU01 Vision Controller (11-P-01467) — what the supplied manuals resolve, what they change, and what is still open</w:t>
      </w:r>
    </w:p>
    <w:p>
      <w:pPr>
        <w:spacing w:after="200"/>
      </w:pPr>
      <w:r>
        <w:rPr>
          <w:b/>
          <w:color w:val="1F3355"/>
          <w:sz w:val="19"/>
        </w:rPr>
        <w:t>Headline: the TE-1190 is not a passive tap. It terminates the camera GMSL link on its own deserializer and re-generates it towards the ECU with its own serializer. That gives us I²C/GPIO/video capture, MFP forcing, PoC injection and an active control-channel master, but it also changes what the DUT deserializer is actually talking to. Section 2 covers the consequences for test-case design.</w:t>
      </w:r>
    </w:p>
    <w:p>
      <w:pPr>
        <w:spacing w:after="120"/>
      </w:pPr>
      <w:r>
        <w:rPr>
          <w:b/>
          <w:color w:val="1F3355"/>
          <w:sz w:val="28"/>
        </w:rPr>
        <w:t>1.  Documents reviewed</w:t>
      </w:r>
    </w:p>
    <w:p>
      <w:pPr>
        <w:spacing w:after="100"/>
      </w:pPr>
      <w:r>
        <w:rPr>
          <w:b w:val="0"/>
          <w:sz w:val="19"/>
        </w:rPr>
        <w:t>All files are under Components Datasheets\11_p_01467_mekra_vision_controller-main-Documentation\Documentation\.</w:t>
      </w:r>
    </w:p>
    <w:tbl>
      <w:tblPr>
        <w:tblStyle w:val="TableGrid"/>
        <w:tblW w:type="auto" w:w="0"/>
        <w:tblLook w:firstColumn="1" w:firstRow="1" w:lastColumn="0" w:lastRow="0" w:noHBand="0" w:noVBand="1" w:val="04A0"/>
      </w:tblPr>
      <w:tblGrid>
        <w:gridCol w:w="4704"/>
        <w:gridCol w:w="4704"/>
        <w:gridCol w:w="4704"/>
      </w:tblGrid>
      <w:tr>
        <w:tc>
          <w:tcPr>
            <w:tcW w:type="dxa" w:w="6624"/>
          </w:tcPr>
          <w:p>
            <w:r/>
            <w:r>
              <w:rPr>
                <w:b/>
                <w:color w:val="1F3355"/>
                <w:sz w:val="17"/>
              </w:rPr>
              <w:t>Document</w:t>
            </w:r>
          </w:p>
        </w:tc>
        <w:tc>
          <w:tcPr>
            <w:tcW w:type="dxa" w:w="2160"/>
          </w:tcPr>
          <w:p>
            <w:r/>
            <w:r>
              <w:rPr>
                <w:b/>
                <w:color w:val="1F3355"/>
                <w:sz w:val="17"/>
              </w:rPr>
              <w:t>Version</w:t>
            </w:r>
          </w:p>
        </w:tc>
        <w:tc>
          <w:tcPr>
            <w:tcW w:type="dxa" w:w="5760"/>
          </w:tcPr>
          <w:p>
            <w:r/>
            <w:r>
              <w:rPr>
                <w:b/>
                <w:color w:val="1F3355"/>
                <w:sz w:val="17"/>
              </w:rPr>
              <w:t>What it governs</w:t>
            </w:r>
          </w:p>
        </w:tc>
      </w:tr>
      <w:tr>
        <w:tc>
          <w:tcPr>
            <w:tcW w:type="dxa" w:w="6624"/>
          </w:tcPr>
          <w:p>
            <w:r/>
            <w:r>
              <w:rPr>
                <w:b w:val="0"/>
                <w:sz w:val="17"/>
              </w:rPr>
              <w:t>Technica_Engineering\TE-1190_CM_SerDes-GMSL23\CM_SerDes_GSML23_TE-1190_User_Manual_v1.8.pdf</w:t>
            </w:r>
          </w:p>
        </w:tc>
        <w:tc>
          <w:tcPr>
            <w:tcW w:type="dxa" w:w="2160"/>
          </w:tcPr>
          <w:p>
            <w:r/>
            <w:r>
              <w:rPr>
                <w:b w:val="0"/>
                <w:sz w:val="17"/>
              </w:rPr>
              <w:t>v1.8 / FW v010.006</w:t>
            </w:r>
          </w:p>
        </w:tc>
        <w:tc>
          <w:tcPr>
            <w:tcW w:type="dxa" w:w="5760"/>
          </w:tcPr>
          <w:p>
            <w:r/>
            <w:r>
              <w:rPr>
                <w:b w:val="0"/>
                <w:sz w:val="17"/>
              </w:rPr>
              <w:t>GMSL2/3 Capture Module — the in-line device on the camera coax. Primary source for this analysis.</w:t>
            </w:r>
          </w:p>
        </w:tc>
      </w:tr>
      <w:tr>
        <w:tc>
          <w:tcPr>
            <w:tcW w:type="dxa" w:w="6624"/>
          </w:tcPr>
          <w:p>
            <w:r/>
            <w:r>
              <w:rPr>
                <w:b w:val="0"/>
                <w:sz w:val="17"/>
              </w:rPr>
              <w:t>Technica_Engineering\TE-1190_CM_SerDes-GMSL23\CM_SerDes_GSML23_TE-1190_Datasheet_eng_v1.2.pdf</w:t>
            </w:r>
          </w:p>
        </w:tc>
        <w:tc>
          <w:tcPr>
            <w:tcW w:type="dxa" w:w="2160"/>
          </w:tcPr>
          <w:p>
            <w:r/>
            <w:r>
              <w:rPr>
                <w:b w:val="0"/>
                <w:sz w:val="17"/>
              </w:rPr>
              <w:t>v1.2 (2026-03-19)</w:t>
            </w:r>
          </w:p>
        </w:tc>
        <w:tc>
          <w:tcPr>
            <w:tcW w:type="dxa" w:w="5760"/>
          </w:tcPr>
          <w:p>
            <w:r/>
            <w:r>
              <w:rPr>
                <w:b w:val="0"/>
                <w:sz w:val="17"/>
              </w:rPr>
              <w:t>TE-1190 feature packages (Core / Advanced / Compression) and interface list.</w:t>
            </w:r>
          </w:p>
        </w:tc>
      </w:tr>
      <w:tr>
        <w:tc>
          <w:tcPr>
            <w:tcW w:type="dxa" w:w="6624"/>
          </w:tcPr>
          <w:p>
            <w:r/>
            <w:r>
              <w:rPr>
                <w:b w:val="0"/>
                <w:sz w:val="17"/>
              </w:rPr>
              <w:t>Technica_Engineering\TE-Products - Remote_API_v1.4.pdf</w:t>
            </w:r>
          </w:p>
        </w:tc>
        <w:tc>
          <w:tcPr>
            <w:tcW w:type="dxa" w:w="2160"/>
          </w:tcPr>
          <w:p>
            <w:r/>
            <w:r>
              <w:rPr>
                <w:b w:val="0"/>
                <w:sz w:val="17"/>
              </w:rPr>
              <w:t>v1.4 (2026-04-01)</w:t>
            </w:r>
          </w:p>
        </w:tc>
        <w:tc>
          <w:tcPr>
            <w:tcW w:type="dxa" w:w="5760"/>
          </w:tcPr>
          <w:p>
            <w:r/>
            <w:r>
              <w:rPr>
                <w:b w:val="0"/>
                <w:sz w:val="17"/>
              </w:rPr>
              <w:t>HTTP remote-control API across the whole Technica range. Defines what is scriptable.</w:t>
            </w:r>
          </w:p>
        </w:tc>
      </w:tr>
      <w:tr>
        <w:tc>
          <w:tcPr>
            <w:tcW w:type="dxa" w:w="6624"/>
          </w:tcPr>
          <w:p>
            <w:r/>
            <w:r>
              <w:rPr>
                <w:b w:val="0"/>
                <w:sz w:val="17"/>
              </w:rPr>
              <w:t>Technica_Engineering\TE-200x Remote_API_for EES_v1.0.pdf</w:t>
            </w:r>
          </w:p>
        </w:tc>
        <w:tc>
          <w:tcPr>
            <w:tcW w:type="dxa" w:w="2160"/>
          </w:tcPr>
          <w:p>
            <w:r/>
            <w:r>
              <w:rPr>
                <w:b w:val="0"/>
                <w:sz w:val="17"/>
              </w:rPr>
              <w:t>v1.0 / FW v014.002</w:t>
            </w:r>
          </w:p>
        </w:tc>
        <w:tc>
          <w:tcPr>
            <w:tcW w:type="dxa" w:w="5760"/>
          </w:tcPr>
          <w:p>
            <w:r/>
            <w:r>
              <w:rPr>
                <w:b w:val="0"/>
                <w:sz w:val="17"/>
              </w:rPr>
              <w:t>Enhanced Ethernet Switch API (older, device-specific edition).</w:t>
            </w:r>
          </w:p>
        </w:tc>
      </w:tr>
      <w:tr>
        <w:tc>
          <w:tcPr>
            <w:tcW w:type="dxa" w:w="6624"/>
          </w:tcPr>
          <w:p>
            <w:r/>
            <w:r>
              <w:rPr>
                <w:b w:val="0"/>
                <w:sz w:val="17"/>
              </w:rPr>
              <w:t>Technica_Engineering\TE-2004_ESS_MACsec_H-MTD\  (datasheet + User Manual v1.11)</w:t>
            </w:r>
          </w:p>
        </w:tc>
        <w:tc>
          <w:tcPr>
            <w:tcW w:type="dxa" w:w="2160"/>
          </w:tcPr>
          <w:p>
            <w:r/>
            <w:r>
              <w:rPr>
                <w:b w:val="0"/>
                <w:sz w:val="17"/>
              </w:rPr>
              <w:t>DS v1.0 / UM v1.11</w:t>
            </w:r>
          </w:p>
        </w:tc>
        <w:tc>
          <w:tcPr>
            <w:tcW w:type="dxa" w:w="5760"/>
          </w:tcPr>
          <w:p>
            <w:r/>
            <w:r>
              <w:rPr>
                <w:b w:val="0"/>
                <w:sz w:val="17"/>
              </w:rPr>
              <w:t>8x 100/1000BASE-T1 switch used on the Ethernet side of the bench.</w:t>
            </w:r>
          </w:p>
        </w:tc>
      </w:tr>
      <w:tr>
        <w:tc>
          <w:tcPr>
            <w:tcW w:type="dxa" w:w="6624"/>
          </w:tcPr>
          <w:p>
            <w:r/>
            <w:r>
              <w:rPr>
                <w:b w:val="0"/>
                <w:sz w:val="17"/>
              </w:rPr>
              <w:t>Technica_Engineering\TE-1177_CM_1000_High_H-Mtd\  (datasheet + User Manual v1.1)</w:t>
            </w:r>
          </w:p>
        </w:tc>
        <w:tc>
          <w:tcPr>
            <w:tcW w:type="dxa" w:w="2160"/>
          </w:tcPr>
          <w:p>
            <w:r/>
            <w:r>
              <w:rPr>
                <w:b w:val="0"/>
                <w:sz w:val="17"/>
              </w:rPr>
              <w:t>DS v1.0 / UM v1.1</w:t>
            </w:r>
          </w:p>
        </w:tc>
        <w:tc>
          <w:tcPr>
            <w:tcW w:type="dxa" w:w="5760"/>
          </w:tcPr>
          <w:p>
            <w:r/>
            <w:r>
              <w:rPr>
                <w:b w:val="0"/>
                <w:sz w:val="17"/>
              </w:rPr>
              <w:t>12-port Automotive-Ethernet capture module. Note: Transparency Mode and Traffic Injection.</w:t>
            </w:r>
          </w:p>
        </w:tc>
      </w:tr>
      <w:tr>
        <w:tc>
          <w:tcPr>
            <w:tcW w:type="dxa" w:w="6624"/>
          </w:tcPr>
          <w:p>
            <w:r/>
            <w:r>
              <w:rPr>
                <w:b w:val="0"/>
                <w:sz w:val="17"/>
              </w:rPr>
              <w:t>Technica_Engineering\TE-1406_MC_H-MTD_TC10\  (datasheet + User Manual v1.3)</w:t>
            </w:r>
          </w:p>
        </w:tc>
        <w:tc>
          <w:tcPr>
            <w:tcW w:type="dxa" w:w="2160"/>
          </w:tcPr>
          <w:p>
            <w:r/>
            <w:r>
              <w:rPr>
                <w:b w:val="0"/>
                <w:sz w:val="17"/>
              </w:rPr>
              <w:t>DS v1.0 / UM v1.3</w:t>
            </w:r>
          </w:p>
        </w:tc>
        <w:tc>
          <w:tcPr>
            <w:tcW w:type="dxa" w:w="5760"/>
          </w:tcPr>
          <w:p>
            <w:r/>
            <w:r>
              <w:rPr>
                <w:b w:val="0"/>
                <w:sz w:val="17"/>
              </w:rPr>
              <w:t>100/1000BASE-T1 to RJ45 media converter with TC10, SQI and CRC counters.</w:t>
            </w:r>
          </w:p>
        </w:tc>
      </w:tr>
      <w:tr>
        <w:tc>
          <w:tcPr>
            <w:tcW w:type="dxa" w:w="6624"/>
          </w:tcPr>
          <w:p>
            <w:r/>
            <w:r>
              <w:rPr>
                <w:b w:val="0"/>
                <w:sz w:val="17"/>
              </w:rPr>
              <w:t>Technica_Engineering\TECMP_Specification_v1.10.0.pdf</w:t>
            </w:r>
          </w:p>
        </w:tc>
        <w:tc>
          <w:tcPr>
            <w:tcW w:type="dxa" w:w="2160"/>
          </w:tcPr>
          <w:p>
            <w:r/>
            <w:r>
              <w:rPr>
                <w:b w:val="0"/>
                <w:sz w:val="17"/>
              </w:rPr>
              <w:t>v1.10.0</w:t>
            </w:r>
          </w:p>
        </w:tc>
        <w:tc>
          <w:tcPr>
            <w:tcW w:type="dxa" w:w="5760"/>
          </w:tcPr>
          <w:p>
            <w:r/>
            <w:r>
              <w:rPr>
                <w:b w:val="0"/>
                <w:sz w:val="17"/>
              </w:rPr>
              <w:t>Capture-protocol encapsulation used by all capture modules.</w:t>
            </w:r>
          </w:p>
        </w:tc>
      </w:tr>
      <w:tr>
        <w:tc>
          <w:tcPr>
            <w:tcW w:type="dxa" w:w="6624"/>
          </w:tcPr>
          <w:p>
            <w:r/>
            <w:r>
              <w:rPr>
                <w:b w:val="0"/>
                <w:sz w:val="17"/>
              </w:rPr>
              <w:t>Rhode_Schwarz\R&amp;S NGP800_User_Manual_en_12.pdf</w:t>
            </w:r>
          </w:p>
        </w:tc>
        <w:tc>
          <w:tcPr>
            <w:tcW w:type="dxa" w:w="2160"/>
          </w:tcPr>
          <w:p>
            <w:r/>
            <w:r>
              <w:rPr>
                <w:b w:val="0"/>
                <w:sz w:val="17"/>
              </w:rPr>
              <w:t>Ed. 12 / FW 2.025</w:t>
            </w:r>
          </w:p>
        </w:tc>
        <w:tc>
          <w:tcPr>
            <w:tcW w:type="dxa" w:w="5760"/>
          </w:tcPr>
          <w:p>
            <w:r/>
            <w:r>
              <w:rPr>
                <w:b w:val="0"/>
                <w:sz w:val="17"/>
              </w:rPr>
              <w:t>The bench power supply (NGP824). Rail control and trigger I/O.</w:t>
            </w:r>
          </w:p>
        </w:tc>
      </w:tr>
      <w:tr>
        <w:tc>
          <w:tcPr>
            <w:tcW w:type="dxa" w:w="6624"/>
          </w:tcPr>
          <w:p>
            <w:r/>
            <w:r>
              <w:rPr>
                <w:b w:val="0"/>
                <w:sz w:val="17"/>
              </w:rPr>
              <w:t>Siglent\  (SDM3065X manuals, VT4002 / VT7004 chamber, Simpati / Simserv)</w:t>
            </w:r>
          </w:p>
        </w:tc>
        <w:tc>
          <w:tcPr>
            <w:tcW w:type="dxa" w:w="2160"/>
          </w:tcPr>
          <w:p>
            <w:r/>
            <w:r>
              <w:rPr>
                <w:b w:val="0"/>
                <w:sz w:val="17"/>
              </w:rPr>
              <w:t>—</w:t>
            </w:r>
          </w:p>
        </w:tc>
        <w:tc>
          <w:tcPr>
            <w:tcW w:type="dxa" w:w="5760"/>
          </w:tcPr>
          <w:p>
            <w:r/>
            <w:r>
              <w:rPr>
                <w:b w:val="0"/>
                <w:sz w:val="17"/>
              </w:rPr>
              <w:t>DMM and temperature chamber, both remotely controllable.</w:t>
            </w:r>
          </w:p>
        </w:tc>
      </w:tr>
      <w:tr>
        <w:tc>
          <w:tcPr>
            <w:tcW w:type="dxa" w:w="6624"/>
          </w:tcPr>
          <w:p>
            <w:r/>
            <w:r>
              <w:rPr>
                <w:b w:val="0"/>
                <w:sz w:val="17"/>
              </w:rPr>
              <w:t>iTestStudio\  (manual, workshops, TestToolkit 2.2.1)</w:t>
            </w:r>
          </w:p>
        </w:tc>
        <w:tc>
          <w:tcPr>
            <w:tcW w:type="dxa" w:w="2160"/>
          </w:tcPr>
          <w:p>
            <w:r/>
            <w:r>
              <w:rPr>
                <w:b w:val="0"/>
                <w:sz w:val="17"/>
              </w:rPr>
              <w:t>TTK 2.2.1</w:t>
            </w:r>
          </w:p>
        </w:tc>
        <w:tc>
          <w:tcPr>
            <w:tcW w:type="dxa" w:w="5760"/>
          </w:tcPr>
          <w:p>
            <w:r/>
            <w:r>
              <w:rPr>
                <w:b w:val="0"/>
                <w:sz w:val="17"/>
              </w:rPr>
              <w:t>Test-automation framework — relevant to the automation roadmap, not to fault injection.</w:t>
            </w:r>
          </w:p>
        </w:tc>
      </w:tr>
    </w:tbl>
    <w:p>
      <w:pPr>
        <w:spacing w:after="40"/>
      </w:pPr>
    </w:p>
    <w:p>
      <w:r>
        <w:br w:type="page"/>
      </w:r>
    </w:p>
    <w:p>
      <w:pPr>
        <w:spacing w:after="120"/>
      </w:pPr>
      <w:r>
        <w:rPr>
          <w:b/>
          <w:color w:val="1F3355"/>
          <w:sz w:val="28"/>
        </w:rPr>
        <w:t>2.  TE-1190 architecture and what it means for our test cases</w:t>
      </w:r>
    </w:p>
    <w:p>
      <w:pPr>
        <w:spacing w:after="80"/>
      </w:pPr>
      <w:r>
        <w:rPr>
          <w:b/>
          <w:color w:val="2E5A88"/>
          <w:sz w:val="23"/>
        </w:rPr>
        <w:t>2.1  The signal path</w:t>
      </w:r>
    </w:p>
    <w:p>
      <w:pPr>
        <w:spacing w:after="100"/>
      </w:pPr>
      <w:r>
        <w:rPr>
          <w:b w:val="0"/>
          <w:sz w:val="19"/>
        </w:rPr>
        <w:t>Each of the four GMSL2/3 link lines is a pair of ports: a deserializer port (sensor side) and a serializer port (ECU side). The camera terminates on an Analog Devices MAX96792A inside the TE-1190; the traffic is processed in the FPGA / MAX10 and re-serialized towards our ECU by an Analog Devices MAX96793.  [TE-1190 UM v1.8 §4.1.8–4.1.9, p.18; Datasheet v1.2 p.1 and p.2]</w:t>
      </w:r>
    </w:p>
    <w:p>
      <w:pPr>
        <w:spacing w:after="120"/>
      </w:pPr>
      <w:r>
        <w:rPr>
          <w:b/>
          <w:color w:val="1F3355"/>
          <w:sz w:val="20"/>
        </w:rPr>
        <w:t>Camera (MAX96717 + imager)  →  coax  →  TE-1190 MAX96792A  →  FPGA / MAX10  →  TE-1190 MAX96793  →  coax  →  DUT MAX96714F</w:t>
      </w:r>
    </w:p>
    <w:p>
      <w:pPr>
        <w:spacing w:after="100"/>
      </w:pPr>
      <w:r>
        <w:rPr>
          <w:b w:val="0"/>
          <w:sz w:val="19"/>
        </w:rPr>
        <w:t>So the link is broken into two independent GMSL hops. Video, I²C and GPIO are forwarded across the module, and captured on the way through and sent to an SFP+ logging port as PLP-encapsulated Ethernet.  [UM §7, pp.50–51]</w:t>
      </w:r>
    </w:p>
    <w:p>
      <w:pPr>
        <w:spacing w:after="80"/>
      </w:pPr>
      <w:r>
        <w:rPr>
          <w:b/>
          <w:color w:val="2E5A88"/>
          <w:sz w:val="23"/>
        </w:rPr>
        <w:t>2.2  Consequences for test-case design</w:t>
      </w:r>
    </w:p>
    <w:tbl>
      <w:tblPr>
        <w:tblStyle w:val="TableGrid"/>
        <w:tblW w:type="auto" w:w="0"/>
        <w:tblLook w:firstColumn="1" w:firstRow="1" w:lastColumn="0" w:lastRow="0" w:noHBand="0" w:noVBand="1" w:val="04A0"/>
      </w:tblPr>
      <w:tblGrid>
        <w:gridCol w:w="4704"/>
        <w:gridCol w:w="4704"/>
        <w:gridCol w:w="4704"/>
      </w:tblGrid>
      <w:tr>
        <w:tc>
          <w:tcPr>
            <w:tcW w:type="dxa" w:w="3744"/>
          </w:tcPr>
          <w:p>
            <w:r/>
            <w:r>
              <w:rPr>
                <w:b/>
                <w:color w:val="1F3355"/>
                <w:sz w:val="17"/>
              </w:rPr>
              <w:t>Consequence</w:t>
            </w:r>
          </w:p>
        </w:tc>
        <w:tc>
          <w:tcPr>
            <w:tcW w:type="dxa" w:w="4176"/>
          </w:tcPr>
          <w:p>
            <w:r/>
            <w:r>
              <w:rPr>
                <w:b/>
                <w:color w:val="1F3355"/>
                <w:sz w:val="17"/>
              </w:rPr>
              <w:t>Why</w:t>
            </w:r>
          </w:p>
        </w:tc>
        <w:tc>
          <w:tcPr>
            <w:tcW w:type="dxa" w:w="6624"/>
          </w:tcPr>
          <w:p>
            <w:r/>
            <w:r>
              <w:rPr>
                <w:b/>
                <w:color w:val="1F3355"/>
                <w:sz w:val="17"/>
              </w:rPr>
              <w:t>What it means for the TCs</w:t>
            </w:r>
          </w:p>
        </w:tc>
      </w:tr>
      <w:tr>
        <w:tc>
          <w:tcPr>
            <w:tcW w:type="dxa" w:w="3744"/>
          </w:tcPr>
          <w:p>
            <w:r/>
            <w:r>
              <w:rPr>
                <w:b/>
                <w:sz w:val="17"/>
              </w:rPr>
              <w:t>The DUT deserializer link partner becomes the MAX96793, not the camera MAX96717.</w:t>
            </w:r>
          </w:p>
        </w:tc>
        <w:tc>
          <w:tcPr>
            <w:tcW w:type="dxa" w:w="4176"/>
          </w:tcPr>
          <w:p>
            <w:r/>
            <w:r>
              <w:rPr>
                <w:b w:val="0"/>
                <w:sz w:val="17"/>
              </w:rPr>
              <w:t>The TE-1190 re-generates the forward link.</w:t>
            </w:r>
          </w:p>
        </w:tc>
        <w:tc>
          <w:tcPr>
            <w:tcW w:type="dxa" w:w="6624"/>
          </w:tcPr>
          <w:p>
            <w:r/>
            <w:r>
              <w:rPr>
                <w:b w:val="0"/>
                <w:sz w:val="17"/>
              </w:rPr>
              <w:t>Any step that reads a serializer register through the tunnel (for example EXT11(0x383)::Tun_Mode) returns MAX96793 values. Register addresses and reset values must be re-checked against the MAX96793 map before those steps are run with the module inserted.</w:t>
            </w:r>
          </w:p>
        </w:tc>
      </w:tr>
      <w:tr>
        <w:tc>
          <w:tcPr>
            <w:tcW w:type="dxa" w:w="3744"/>
          </w:tcPr>
          <w:p>
            <w:r/>
            <w:r>
              <w:rPr>
                <w:b/>
                <w:sz w:val="17"/>
              </w:rPr>
              <w:t>Link-layer safety mechanisms are measured across the TE-1190 to DUT hop.</w:t>
            </w:r>
          </w:p>
        </w:tc>
        <w:tc>
          <w:tcPr>
            <w:tcW w:type="dxa" w:w="4176"/>
          </w:tcPr>
          <w:p>
            <w:r/>
            <w:r>
              <w:rPr>
                <w:b w:val="0"/>
                <w:sz w:val="17"/>
              </w:rPr>
              <w:t>SM3 (control-channel CRC), SM4 (video CRC), SM5 (retransmission) and SM6 (LOCK) are per-hop.</w:t>
            </w:r>
          </w:p>
        </w:tc>
        <w:tc>
          <w:tcPr>
            <w:tcW w:type="dxa" w:w="6624"/>
          </w:tcPr>
          <w:p>
            <w:r/>
            <w:r>
              <w:rPr>
                <w:b w:val="0"/>
                <w:sz w:val="17"/>
              </w:rPr>
              <w:t>Still valid as tests of the DUT deserializer own detection logic, but they no longer prove anything about the camera-to-ECU link as a whole. State this as a precondition in the TC.</w:t>
            </w:r>
          </w:p>
        </w:tc>
      </w:tr>
      <w:tr>
        <w:tc>
          <w:tcPr>
            <w:tcW w:type="dxa" w:w="3744"/>
          </w:tcPr>
          <w:p>
            <w:r/>
            <w:r>
              <w:rPr>
                <w:b/>
                <w:sz w:val="17"/>
              </w:rPr>
              <w:t>Line faults injected on the camera-side coax do not reach the DUT.</w:t>
            </w:r>
          </w:p>
        </w:tc>
        <w:tc>
          <w:tcPr>
            <w:tcW w:type="dxa" w:w="4176"/>
          </w:tcPr>
          <w:p>
            <w:r/>
            <w:r>
              <w:rPr>
                <w:b w:val="0"/>
                <w:sz w:val="17"/>
              </w:rPr>
              <w:t>They are absorbed by the TE-1190 deserializer port.</w:t>
            </w:r>
          </w:p>
        </w:tc>
        <w:tc>
          <w:tcPr>
            <w:tcW w:type="dxa" w:w="6624"/>
          </w:tcPr>
          <w:p>
            <w:r/>
            <w:r>
              <w:rPr>
                <w:b w:val="0"/>
                <w:sz w:val="17"/>
              </w:rPr>
              <w:t>For LOCK, line-fault and PRBS tests the fault must be injected on the ECU-side coax, that is between the TE-1190 serializer port and the DUT. This dictates where the Solectrix unit is placed.</w:t>
            </w:r>
          </w:p>
        </w:tc>
      </w:tr>
      <w:tr>
        <w:tc>
          <w:tcPr>
            <w:tcW w:type="dxa" w:w="3744"/>
          </w:tcPr>
          <w:p>
            <w:r/>
            <w:r>
              <w:rPr>
                <w:b/>
                <w:color w:val="B03022"/>
                <w:sz w:val="17"/>
              </w:rPr>
              <w:t>End-to-end CRC (SM20) only survives if the payload is forwarded bit-exact.</w:t>
            </w:r>
          </w:p>
        </w:tc>
        <w:tc>
          <w:tcPr>
            <w:tcW w:type="dxa" w:w="4176"/>
          </w:tcPr>
          <w:p>
            <w:r/>
            <w:r>
              <w:rPr>
                <w:b w:val="0"/>
                <w:sz w:val="17"/>
              </w:rPr>
              <w:t>Lossless JPEG compression and MIPI Datatype Overwrite both alter the stream.</w:t>
            </w:r>
          </w:p>
        </w:tc>
        <w:tc>
          <w:tcPr>
            <w:tcW w:type="dxa" w:w="6624"/>
          </w:tcPr>
          <w:p>
            <w:r/>
            <w:r>
              <w:rPr>
                <w:b w:val="0"/>
                <w:sz w:val="17"/>
              </w:rPr>
              <w:t>Compression must be OFF and MIPI Datatype Overwrite unused for any SM20 or imager-to-deserializer CRC test. Verify on the Compression tab before the run.</w:t>
            </w:r>
          </w:p>
        </w:tc>
      </w:tr>
      <w:tr>
        <w:tc>
          <w:tcPr>
            <w:tcW w:type="dxa" w:w="3744"/>
          </w:tcPr>
          <w:p>
            <w:r/>
            <w:r>
              <w:rPr>
                <w:b w:val="0"/>
                <w:sz w:val="17"/>
              </w:rPr>
              <w:t>PoC is split into two segments.</w:t>
            </w:r>
          </w:p>
        </w:tc>
        <w:tc>
          <w:tcPr>
            <w:tcW w:type="dxa" w:w="4176"/>
          </w:tcPr>
          <w:p>
            <w:r/>
            <w:r>
              <w:rPr>
                <w:b w:val="0"/>
                <w:sz w:val="17"/>
              </w:rPr>
              <w:t>The module either bypasses PoC or injects its own 12 V towards the camera.</w:t>
            </w:r>
          </w:p>
        </w:tc>
        <w:tc>
          <w:tcPr>
            <w:tcW w:type="dxa" w:w="6624"/>
          </w:tcPr>
          <w:p>
            <w:r/>
            <w:r>
              <w:rPr>
                <w:b w:val="0"/>
                <w:sz w:val="17"/>
              </w:rPr>
              <w:t>The camera can be power-cycled without touching the DUT, and vice versa. But the load the ECU sees on its coax is now the TE-1190, not the camera — relevant to any PoC over-current requirement.</w:t>
            </w:r>
          </w:p>
        </w:tc>
      </w:tr>
      <w:tr>
        <w:tc>
          <w:tcPr>
            <w:tcW w:type="dxa" w:w="3744"/>
          </w:tcPr>
          <w:p>
            <w:r/>
            <w:r>
              <w:rPr>
                <w:b/>
                <w:color w:val="B03022"/>
                <w:sz w:val="17"/>
              </w:rPr>
              <w:t>Added latency is not specified in any supplied document.</w:t>
            </w:r>
          </w:p>
        </w:tc>
        <w:tc>
          <w:tcPr>
            <w:tcW w:type="dxa" w:w="4176"/>
          </w:tcPr>
          <w:p>
            <w:r/>
            <w:r>
              <w:rPr>
                <w:b w:val="0"/>
                <w:sz w:val="17"/>
              </w:rPr>
              <w:t>Store-and-forward through the FPGA. The manual and the datasheet give no figure.</w:t>
            </w:r>
          </w:p>
        </w:tc>
        <w:tc>
          <w:tcPr>
            <w:tcW w:type="dxa" w:w="6624"/>
          </w:tcPr>
          <w:p>
            <w:r/>
            <w:r>
              <w:rPr>
                <w:b w:val="0"/>
                <w:sz w:val="17"/>
              </w:rPr>
              <w:t>Any FTTI measurement whose t0 is taken on the camera side now includes an unknown TE-1190 delay. Take t0 on the ECU side, or obtain the figure from Technica (see §7).</w:t>
            </w:r>
          </w:p>
        </w:tc>
      </w:tr>
    </w:tbl>
    <w:p>
      <w:pPr>
        <w:spacing w:after="40"/>
      </w:pPr>
    </w:p>
    <w:p>
      <w:r>
        <w:br w:type="page"/>
      </w:r>
    </w:p>
    <w:p>
      <w:pPr>
        <w:spacing w:after="120"/>
      </w:pPr>
      <w:r>
        <w:rPr>
          <w:b/>
          <w:color w:val="1F3355"/>
          <w:sz w:val="28"/>
        </w:rPr>
        <w:t>3.  TE-1190 capabilities usable as test instrumentation</w:t>
      </w:r>
    </w:p>
    <w:tbl>
      <w:tblPr>
        <w:tblStyle w:val="TableGrid"/>
        <w:tblW w:type="auto" w:w="0"/>
        <w:tblLook w:firstColumn="1" w:firstRow="1" w:lastColumn="0" w:lastRow="0" w:noHBand="0" w:noVBand="1" w:val="04A0"/>
      </w:tblPr>
      <w:tblGrid>
        <w:gridCol w:w="3528"/>
        <w:gridCol w:w="3528"/>
        <w:gridCol w:w="3528"/>
        <w:gridCol w:w="3528"/>
      </w:tblGrid>
      <w:tr>
        <w:tc>
          <w:tcPr>
            <w:tcW w:type="dxa" w:w="3024"/>
          </w:tcPr>
          <w:p>
            <w:r/>
            <w:r>
              <w:rPr>
                <w:b/>
                <w:color w:val="1F3355"/>
                <w:sz w:val="16"/>
              </w:rPr>
              <w:t>Capability</w:t>
            </w:r>
          </w:p>
        </w:tc>
        <w:tc>
          <w:tcPr>
            <w:tcW w:type="dxa" w:w="6336"/>
          </w:tcPr>
          <w:p>
            <w:r/>
            <w:r>
              <w:rPr>
                <w:b/>
                <w:color w:val="1F3355"/>
                <w:sz w:val="16"/>
              </w:rPr>
              <w:t>How it is used</w:t>
            </w:r>
          </w:p>
        </w:tc>
        <w:tc>
          <w:tcPr>
            <w:tcW w:type="dxa" w:w="3168"/>
          </w:tcPr>
          <w:p>
            <w:r/>
            <w:r>
              <w:rPr>
                <w:b/>
                <w:color w:val="1F3355"/>
                <w:sz w:val="16"/>
              </w:rPr>
              <w:t>Source</w:t>
            </w:r>
          </w:p>
        </w:tc>
        <w:tc>
          <w:tcPr>
            <w:tcW w:type="dxa" w:w="2016"/>
          </w:tcPr>
          <w:p>
            <w:r/>
            <w:r>
              <w:rPr>
                <w:b/>
                <w:color w:val="1F3355"/>
                <w:sz w:val="16"/>
              </w:rPr>
              <w:t>Feature package</w:t>
            </w:r>
          </w:p>
        </w:tc>
      </w:tr>
      <w:tr>
        <w:tc>
          <w:tcPr>
            <w:tcW w:type="dxa" w:w="3024"/>
          </w:tcPr>
          <w:p>
            <w:r/>
            <w:r>
              <w:rPr>
                <w:b/>
                <w:sz w:val="16"/>
              </w:rPr>
              <w:t>Active I²C master on the GMSL control channel</w:t>
            </w:r>
          </w:p>
        </w:tc>
        <w:tc>
          <w:tcPr>
            <w:tcW w:type="dxa" w:w="6336"/>
          </w:tcPr>
          <w:p>
            <w:r/>
            <w:r>
              <w:rPr>
                <w:b w:val="0"/>
                <w:sz w:val="16"/>
              </w:rPr>
              <w:t>The Serdes Diagnostics tab performs arbitrary read and write operations to any device on a GMSL link control channel. Scriptable: POST {BASE}/api/cmd/remoteI2C with i2c_channel, i2c_opcode (0 = read, 1 = write), i2c_device_addr, i2c_register_addr, i2c_value in msgpack.</w:t>
            </w:r>
          </w:p>
        </w:tc>
        <w:tc>
          <w:tcPr>
            <w:tcW w:type="dxa" w:w="3168"/>
          </w:tcPr>
          <w:p>
            <w:r/>
            <w:r>
              <w:rPr>
                <w:b w:val="0"/>
                <w:sz w:val="16"/>
              </w:rPr>
              <w:t>UM §5.6 p.45; Remote API v1.4 §4.4.9 p.23 (TE-1190 only)</w:t>
            </w:r>
          </w:p>
        </w:tc>
        <w:tc>
          <w:tcPr>
            <w:tcW w:type="dxa" w:w="2016"/>
          </w:tcPr>
          <w:p>
            <w:r/>
            <w:r>
              <w:rPr>
                <w:b w:val="0"/>
                <w:sz w:val="16"/>
              </w:rPr>
              <w:t>Core</w:t>
            </w:r>
          </w:p>
        </w:tc>
      </w:tr>
      <w:tr>
        <w:tc>
          <w:tcPr>
            <w:tcW w:type="dxa" w:w="3024"/>
          </w:tcPr>
          <w:p>
            <w:r/>
            <w:r>
              <w:rPr>
                <w:b/>
                <w:sz w:val="16"/>
              </w:rPr>
              <w:t>PRBS / BER test mode</w:t>
            </w:r>
          </w:p>
        </w:tc>
        <w:tc>
          <w:tcPr>
            <w:tcW w:type="dxa" w:w="6336"/>
          </w:tcPr>
          <w:p>
            <w:r/>
            <w:r>
              <w:rPr>
                <w:b w:val="0"/>
                <w:sz w:val="16"/>
              </w:rPr>
              <w:t>The same tab is explicitly documented for PRBS testing, by putting the serializer and deserializer into PRBS mode following the Maxim GMSL2 guidelines.</w:t>
            </w:r>
          </w:p>
        </w:tc>
        <w:tc>
          <w:tcPr>
            <w:tcW w:type="dxa" w:w="3168"/>
          </w:tcPr>
          <w:p>
            <w:r/>
            <w:r>
              <w:rPr>
                <w:b w:val="0"/>
                <w:sz w:val="16"/>
              </w:rPr>
              <w:t>UM §5.6 p.45</w:t>
            </w:r>
          </w:p>
        </w:tc>
        <w:tc>
          <w:tcPr>
            <w:tcW w:type="dxa" w:w="2016"/>
          </w:tcPr>
          <w:p>
            <w:r/>
            <w:r>
              <w:rPr>
                <w:b w:val="0"/>
                <w:sz w:val="16"/>
              </w:rPr>
              <w:t>Core</w:t>
            </w:r>
          </w:p>
        </w:tc>
      </w:tr>
      <w:tr>
        <w:tc>
          <w:tcPr>
            <w:tcW w:type="dxa" w:w="3024"/>
          </w:tcPr>
          <w:p>
            <w:r/>
            <w:r>
              <w:rPr>
                <w:b/>
                <w:sz w:val="16"/>
              </w:rPr>
              <w:t>MFP / GPIO forcing</w:t>
            </w:r>
          </w:p>
        </w:tc>
        <w:tc>
          <w:tcPr>
            <w:tcW w:type="dxa" w:w="6336"/>
          </w:tcPr>
          <w:p>
            <w:r/>
            <w:r>
              <w:rPr>
                <w:b w:val="0"/>
                <w:sz w:val="16"/>
              </w:rPr>
              <w:t>Every serializer and deserializer MFP pin can be driven Low, High, High-Z, or Bridged, through the internal MAX10. Default state is High-Z.</w:t>
            </w:r>
          </w:p>
        </w:tc>
        <w:tc>
          <w:tcPr>
            <w:tcW w:type="dxa" w:w="3168"/>
          </w:tcPr>
          <w:p>
            <w:r/>
            <w:r>
              <w:rPr>
                <w:b w:val="0"/>
                <w:sz w:val="16"/>
              </w:rPr>
              <w:t>UM §5.2.1.4 p.28 (Fig. 5-10)</w:t>
            </w:r>
          </w:p>
        </w:tc>
        <w:tc>
          <w:tcPr>
            <w:tcW w:type="dxa" w:w="2016"/>
          </w:tcPr>
          <w:p>
            <w:r/>
            <w:r>
              <w:rPr>
                <w:b w:val="0"/>
                <w:sz w:val="16"/>
              </w:rPr>
              <w:t>Core</w:t>
            </w:r>
          </w:p>
        </w:tc>
      </w:tr>
      <w:tr>
        <w:tc>
          <w:tcPr>
            <w:tcW w:type="dxa" w:w="3024"/>
          </w:tcPr>
          <w:p>
            <w:r/>
            <w:r>
              <w:rPr>
                <w:b w:val="0"/>
                <w:sz w:val="16"/>
              </w:rPr>
              <w:t>GPIO mapping and logging</w:t>
            </w:r>
          </w:p>
        </w:tc>
        <w:tc>
          <w:tcPr>
            <w:tcW w:type="dxa" w:w="6336"/>
          </w:tcPr>
          <w:p>
            <w:r/>
            <w:r>
              <w:rPr>
                <w:b w:val="0"/>
                <w:sz w:val="16"/>
              </w:rPr>
              <w:t>MFP pins can be configured TX or RX over the GMSL reverse link with a transmission ID, and each pin can be logged into PLP GPIO frames.</w:t>
            </w:r>
          </w:p>
        </w:tc>
        <w:tc>
          <w:tcPr>
            <w:tcW w:type="dxa" w:w="3168"/>
          </w:tcPr>
          <w:p>
            <w:r/>
            <w:r>
              <w:rPr>
                <w:b w:val="0"/>
                <w:sz w:val="16"/>
              </w:rPr>
              <w:t>UM §5.2.1.4 pp.27–29; §7.3 p.51</w:t>
            </w:r>
          </w:p>
        </w:tc>
        <w:tc>
          <w:tcPr>
            <w:tcW w:type="dxa" w:w="2016"/>
          </w:tcPr>
          <w:p>
            <w:r/>
            <w:r>
              <w:rPr>
                <w:b w:val="0"/>
                <w:sz w:val="16"/>
              </w:rPr>
              <w:t>Core</w:t>
            </w:r>
          </w:p>
        </w:tc>
      </w:tr>
      <w:tr>
        <w:tc>
          <w:tcPr>
            <w:tcW w:type="dxa" w:w="3024"/>
          </w:tcPr>
          <w:p>
            <w:r/>
            <w:r>
              <w:rPr>
                <w:b/>
                <w:sz w:val="16"/>
              </w:rPr>
              <w:t>PoC injection</w:t>
            </w:r>
          </w:p>
        </w:tc>
        <w:tc>
          <w:tcPr>
            <w:tcW w:type="dxa" w:w="6336"/>
          </w:tcPr>
          <w:p>
            <w:r/>
            <w:r>
              <w:rPr>
                <w:b w:val="0"/>
                <w:sz w:val="16"/>
              </w:rPr>
              <w:t>The module injects 12 V towards the camera instead of bypassing, with a maximum injected current of 600 mA, and reports the current drawn plus error conditions on the web page.</w:t>
            </w:r>
          </w:p>
        </w:tc>
        <w:tc>
          <w:tcPr>
            <w:tcW w:type="dxa" w:w="3168"/>
          </w:tcPr>
          <w:p>
            <w:r/>
            <w:r>
              <w:rPr>
                <w:b w:val="0"/>
                <w:sz w:val="16"/>
              </w:rPr>
              <w:t>UM §5.2.1.5 p.29</w:t>
            </w:r>
          </w:p>
        </w:tc>
        <w:tc>
          <w:tcPr>
            <w:tcW w:type="dxa" w:w="2016"/>
          </w:tcPr>
          <w:p>
            <w:r/>
            <w:r>
              <w:rPr>
                <w:b w:val="0"/>
                <w:sz w:val="16"/>
              </w:rPr>
              <w:t>Core, HW v2.1+</w:t>
            </w:r>
          </w:p>
        </w:tc>
      </w:tr>
      <w:tr>
        <w:tc>
          <w:tcPr>
            <w:tcW w:type="dxa" w:w="3024"/>
          </w:tcPr>
          <w:p>
            <w:r/>
            <w:r>
              <w:rPr>
                <w:b w:val="0"/>
                <w:sz w:val="16"/>
              </w:rPr>
              <w:t>PoC from an external source</w:t>
            </w:r>
          </w:p>
        </w:tc>
        <w:tc>
          <w:tcPr>
            <w:tcW w:type="dxa" w:w="6336"/>
          </w:tcPr>
          <w:p>
            <w:r/>
            <w:r>
              <w:rPr>
                <w:b w:val="0"/>
                <w:sz w:val="16"/>
              </w:rPr>
              <w:t>HW v3.0 adds injection from an external voltage source (MQS pins 9 and 10) and from a configurable internal source.</w:t>
            </w:r>
          </w:p>
        </w:tc>
        <w:tc>
          <w:tcPr>
            <w:tcW w:type="dxa" w:w="3168"/>
          </w:tcPr>
          <w:p>
            <w:r/>
            <w:r>
              <w:rPr>
                <w:b w:val="0"/>
                <w:sz w:val="16"/>
              </w:rPr>
              <w:t>UM §4 p.12; §4.1.3 Table 4-7 p.17</w:t>
            </w:r>
          </w:p>
        </w:tc>
        <w:tc>
          <w:tcPr>
            <w:tcW w:type="dxa" w:w="2016"/>
          </w:tcPr>
          <w:p>
            <w:r/>
            <w:r>
              <w:rPr>
                <w:b w:val="0"/>
                <w:sz w:val="16"/>
              </w:rPr>
              <w:t>Core, HW v3.0+</w:t>
            </w:r>
          </w:p>
        </w:tc>
      </w:tr>
      <w:tr>
        <w:tc>
          <w:tcPr>
            <w:tcW w:type="dxa" w:w="3024"/>
          </w:tcPr>
          <w:p>
            <w:r/>
            <w:r>
              <w:rPr>
                <w:b/>
                <w:sz w:val="16"/>
              </w:rPr>
              <w:t>Non-intrusive I²C capture</w:t>
            </w:r>
          </w:p>
        </w:tc>
        <w:tc>
          <w:tcPr>
            <w:tcW w:type="dxa" w:w="6336"/>
          </w:tcPr>
          <w:p>
            <w:r/>
            <w:r>
              <w:rPr>
                <w:b w:val="0"/>
                <w:sz w:val="16"/>
              </w:rPr>
              <w:t>Separate Bus IDs for the control I²C bus and the pass-through I²C bus; all transactions logged as PLP I²C packets to the selected SFP+ port.</w:t>
            </w:r>
          </w:p>
        </w:tc>
        <w:tc>
          <w:tcPr>
            <w:tcW w:type="dxa" w:w="3168"/>
          </w:tcPr>
          <w:p>
            <w:r/>
            <w:r>
              <w:rPr>
                <w:b w:val="0"/>
                <w:sz w:val="16"/>
              </w:rPr>
              <w:t>UM §5.2.1.1 p.22; §7.2 p.50</w:t>
            </w:r>
          </w:p>
        </w:tc>
        <w:tc>
          <w:tcPr>
            <w:tcW w:type="dxa" w:w="2016"/>
          </w:tcPr>
          <w:p>
            <w:r/>
            <w:r>
              <w:rPr>
                <w:b w:val="0"/>
                <w:sz w:val="16"/>
              </w:rPr>
              <w:t>Core</w:t>
            </w:r>
          </w:p>
        </w:tc>
      </w:tr>
      <w:tr>
        <w:tc>
          <w:tcPr>
            <w:tcW w:type="dxa" w:w="3024"/>
          </w:tcPr>
          <w:p>
            <w:r/>
            <w:r>
              <w:rPr>
                <w:b w:val="0"/>
                <w:sz w:val="16"/>
              </w:rPr>
              <w:t>Video capture</w:t>
            </w:r>
          </w:p>
        </w:tc>
        <w:tc>
          <w:tcPr>
            <w:tcW w:type="dxa" w:w="6336"/>
          </w:tcPr>
          <w:p>
            <w:r/>
            <w:r>
              <w:rPr>
                <w:b w:val="0"/>
                <w:sz w:val="16"/>
              </w:rPr>
              <w:t>All MIPI CSI-2 packets per GMSL link and virtual channel, logged as PLP MIPI packets. Payload size and pixel arrangement are configurable.</w:t>
            </w:r>
          </w:p>
        </w:tc>
        <w:tc>
          <w:tcPr>
            <w:tcW w:type="dxa" w:w="3168"/>
          </w:tcPr>
          <w:p>
            <w:r/>
            <w:r>
              <w:rPr>
                <w:b w:val="0"/>
                <w:sz w:val="16"/>
              </w:rPr>
              <w:t>UM §5.2.1.1 p.22; §7.1 p.50</w:t>
            </w:r>
          </w:p>
        </w:tc>
        <w:tc>
          <w:tcPr>
            <w:tcW w:type="dxa" w:w="2016"/>
          </w:tcPr>
          <w:p>
            <w:r/>
            <w:r>
              <w:rPr>
                <w:b w:val="0"/>
                <w:sz w:val="16"/>
              </w:rPr>
              <w:t>Core</w:t>
            </w:r>
          </w:p>
        </w:tc>
      </w:tr>
      <w:tr>
        <w:tc>
          <w:tcPr>
            <w:tcW w:type="dxa" w:w="3024"/>
          </w:tcPr>
          <w:p>
            <w:r/>
            <w:r>
              <w:rPr>
                <w:b w:val="0"/>
                <w:sz w:val="16"/>
              </w:rPr>
              <w:t>Link parameter control</w:t>
            </w:r>
          </w:p>
        </w:tc>
        <w:tc>
          <w:tcPr>
            <w:tcW w:type="dxa" w:w="6336"/>
          </w:tcPr>
          <w:p>
            <w:r/>
            <w:r>
              <w:rPr>
                <w:b w:val="0"/>
                <w:sz w:val="16"/>
              </w:rPr>
              <w:t>GMSL speed 3 / 6 / 12 Gbps, pixel or tunnel mode, stream ID, and override of the serializer and deserializer I²C device addresses.</w:t>
            </w:r>
          </w:p>
        </w:tc>
        <w:tc>
          <w:tcPr>
            <w:tcW w:type="dxa" w:w="3168"/>
          </w:tcPr>
          <w:p>
            <w:r/>
            <w:r>
              <w:rPr>
                <w:b w:val="0"/>
                <w:sz w:val="16"/>
              </w:rPr>
              <w:t>UM §5.2.1.3 p.25</w:t>
            </w:r>
          </w:p>
        </w:tc>
        <w:tc>
          <w:tcPr>
            <w:tcW w:type="dxa" w:w="2016"/>
          </w:tcPr>
          <w:p>
            <w:r/>
            <w:r>
              <w:rPr>
                <w:b w:val="0"/>
                <w:sz w:val="16"/>
              </w:rPr>
              <w:t>Core</w:t>
            </w:r>
          </w:p>
        </w:tc>
      </w:tr>
      <w:tr>
        <w:tc>
          <w:tcPr>
            <w:tcW w:type="dxa" w:w="3024"/>
          </w:tcPr>
          <w:p>
            <w:r/>
            <w:r>
              <w:rPr>
                <w:b w:val="0"/>
                <w:sz w:val="16"/>
              </w:rPr>
              <w:t>Custom I²C init sequence</w:t>
            </w:r>
          </w:p>
        </w:tc>
        <w:tc>
          <w:tcPr>
            <w:tcW w:type="dxa" w:w="6336"/>
          </w:tcPr>
          <w:p>
            <w:r/>
            <w:r>
              <w:rPr>
                <w:b w:val="0"/>
                <w:sz w:val="16"/>
              </w:rPr>
              <w:t>An arbitrary list of I²C writes (device, register, value, inter-operation delay) executed at link initialisation. Editable as JSON and importable.</w:t>
            </w:r>
          </w:p>
        </w:tc>
        <w:tc>
          <w:tcPr>
            <w:tcW w:type="dxa" w:w="3168"/>
          </w:tcPr>
          <w:p>
            <w:r/>
            <w:r>
              <w:rPr>
                <w:b w:val="0"/>
                <w:sz w:val="16"/>
              </w:rPr>
              <w:t>UM §5.2.1.3 p.26; §5.4.1.1 pp.38–39</w:t>
            </w:r>
          </w:p>
        </w:tc>
        <w:tc>
          <w:tcPr>
            <w:tcW w:type="dxa" w:w="2016"/>
          </w:tcPr>
          <w:p>
            <w:r/>
            <w:r>
              <w:rPr>
                <w:b w:val="0"/>
                <w:sz w:val="16"/>
              </w:rPr>
              <w:t>Core</w:t>
            </w:r>
          </w:p>
        </w:tc>
      </w:tr>
      <w:tr>
        <w:tc>
          <w:tcPr>
            <w:tcW w:type="dxa" w:w="3024"/>
          </w:tcPr>
          <w:p>
            <w:r/>
            <w:r>
              <w:rPr>
                <w:b w:val="0"/>
                <w:sz w:val="16"/>
              </w:rPr>
              <w:t>Link Lock Monitoring</w:t>
            </w:r>
          </w:p>
        </w:tc>
        <w:tc>
          <w:tcPr>
            <w:tcW w:type="dxa" w:w="6336"/>
          </w:tcPr>
          <w:p>
            <w:r/>
            <w:r>
              <w:rPr>
                <w:b w:val="0"/>
                <w:sz w:val="16"/>
              </w:rPr>
              <w:t>On link-down detection, resets the internal serializer and deserializer. It can be turned off, and it must be, for any test that deliberately holds the link down.</w:t>
            </w:r>
          </w:p>
        </w:tc>
        <w:tc>
          <w:tcPr>
            <w:tcW w:type="dxa" w:w="3168"/>
          </w:tcPr>
          <w:p>
            <w:r/>
            <w:r>
              <w:rPr>
                <w:b w:val="0"/>
                <w:sz w:val="16"/>
              </w:rPr>
              <w:t>UM §5.2.1.3 p.26</w:t>
            </w:r>
          </w:p>
        </w:tc>
        <w:tc>
          <w:tcPr>
            <w:tcW w:type="dxa" w:w="2016"/>
          </w:tcPr>
          <w:p>
            <w:r/>
            <w:r>
              <w:rPr>
                <w:b w:val="0"/>
                <w:sz w:val="16"/>
              </w:rPr>
              <w:t>Core</w:t>
            </w:r>
          </w:p>
        </w:tc>
      </w:tr>
      <w:tr>
        <w:tc>
          <w:tcPr>
            <w:tcW w:type="dxa" w:w="3024"/>
          </w:tcPr>
          <w:p>
            <w:r/>
            <w:r>
              <w:rPr>
                <w:b w:val="0"/>
                <w:sz w:val="16"/>
              </w:rPr>
              <w:t>Advanced Diagnostics and Configuration Verification</w:t>
            </w:r>
          </w:p>
        </w:tc>
        <w:tc>
          <w:tcPr>
            <w:tcW w:type="dxa" w:w="6336"/>
          </w:tcPr>
          <w:p>
            <w:r/>
            <w:r>
              <w:rPr>
                <w:b w:val="0"/>
                <w:sz w:val="16"/>
              </w:rPr>
              <w:t>A predefined read of the relevant SerDes control registers, and a check that flags the specific bit in error against its expected value.</w:t>
            </w:r>
          </w:p>
        </w:tc>
        <w:tc>
          <w:tcPr>
            <w:tcW w:type="dxa" w:w="3168"/>
          </w:tcPr>
          <w:p>
            <w:r/>
            <w:r>
              <w:rPr>
                <w:b w:val="0"/>
                <w:sz w:val="16"/>
              </w:rPr>
              <w:t>UM §5.6 pp.45–46</w:t>
            </w:r>
          </w:p>
        </w:tc>
        <w:tc>
          <w:tcPr>
            <w:tcW w:type="dxa" w:w="2016"/>
          </w:tcPr>
          <w:p>
            <w:r/>
            <w:r>
              <w:rPr>
                <w:b w:val="0"/>
                <w:sz w:val="16"/>
              </w:rPr>
              <w:t>Core</w:t>
            </w:r>
          </w:p>
        </w:tc>
      </w:tr>
      <w:tr>
        <w:tc>
          <w:tcPr>
            <w:tcW w:type="dxa" w:w="3024"/>
          </w:tcPr>
          <w:p>
            <w:r/>
            <w:r>
              <w:rPr>
                <w:b w:val="0"/>
                <w:sz w:val="16"/>
              </w:rPr>
              <w:t>MIPI Datatype Overwrite</w:t>
            </w:r>
          </w:p>
        </w:tc>
        <w:tc>
          <w:tcPr>
            <w:tcW w:type="dxa" w:w="6336"/>
          </w:tcPr>
          <w:p>
            <w:r/>
            <w:r>
              <w:rPr>
                <w:b w:val="0"/>
                <w:sz w:val="16"/>
              </w:rPr>
              <w:t>Rewrites the CSI-2 data type. Usable as a deliberate stream-corruption vector, but it breaks payload integrity — see §2.2.</w:t>
            </w:r>
          </w:p>
        </w:tc>
        <w:tc>
          <w:tcPr>
            <w:tcW w:type="dxa" w:w="3168"/>
          </w:tcPr>
          <w:p>
            <w:r/>
            <w:r>
              <w:rPr>
                <w:b w:val="0"/>
                <w:sz w:val="16"/>
              </w:rPr>
              <w:t>Datasheet v1.2 p.2</w:t>
            </w:r>
          </w:p>
        </w:tc>
        <w:tc>
          <w:tcPr>
            <w:tcW w:type="dxa" w:w="2016"/>
          </w:tcPr>
          <w:p>
            <w:r/>
            <w:r>
              <w:rPr>
                <w:b w:val="0"/>
                <w:color w:val="B03022"/>
                <w:sz w:val="16"/>
              </w:rPr>
              <w:t>Advanced (TE-1190-AF)</w:t>
            </w:r>
          </w:p>
        </w:tc>
      </w:tr>
    </w:tbl>
    <w:p>
      <w:pPr>
        <w:spacing w:after="40"/>
      </w:pPr>
    </w:p>
    <w:p>
      <w:pPr>
        <w:spacing w:after="120"/>
      </w:pPr>
      <w:r>
        <w:rPr>
          <w:b/>
          <w:color w:val="1B7F3B"/>
          <w:sz w:val="19"/>
        </w:rPr>
        <w:t>I²C and GPIO packetization, GPIO configuration and PoC injection are all in the Core package. The Advanced Feature Package (TE-1190-AF) contains only Remote Clock Synchronization and MIPI Datatype Overwrite; lossless JPEG compression is the separate TE-1190-EF package.  [Datasheet v1.2 p.2]</w:t>
      </w:r>
    </w:p>
    <w:p>
      <w:r>
        <w:br w:type="page"/>
      </w:r>
    </w:p>
    <w:p>
      <w:pPr>
        <w:spacing w:after="120"/>
      </w:pPr>
      <w:r>
        <w:rPr>
          <w:b/>
          <w:color w:val="1F3355"/>
          <w:sz w:val="28"/>
        </w:rPr>
        <w:t>4.  Operating the bench through the GUIs</w:t>
      </w:r>
    </w:p>
    <w:p>
      <w:pPr>
        <w:spacing w:after="100"/>
      </w:pPr>
      <w:r>
        <w:rPr>
          <w:b w:val="0"/>
          <w:sz w:val="19"/>
        </w:rPr>
        <w:t>The bench is operated manually through each tool's own interface for now; the HTTP API is a later step. That distinction is not cosmetic, because on the Technica capture modules and switches the web page is a configuration interface, not a control panel:</w:t>
      </w:r>
    </w:p>
    <w:p>
      <w:pPr>
        <w:spacing w:after="120"/>
      </w:pPr>
      <w:r>
        <w:rPr>
          <w:b/>
          <w:color w:val="1F3355"/>
          <w:sz w:val="19"/>
        </w:rPr>
        <w:t>“Please note that the configuration will not be applied unless the device is restarted.”  —  and Save &amp; Apply “also restarts the device, applying the saved configuration.”   [TE-1190 UM §5 p.20; EES UM v1.11 pp.21–22]</w:t>
      </w:r>
    </w:p>
    <w:p>
      <w:pPr>
        <w:spacing w:after="100"/>
      </w:pPr>
      <w:r>
        <w:rPr>
          <w:b w:val="0"/>
          <w:sz w:val="19"/>
        </w:rPr>
        <w:t>So on those two devices a web-page change is a preconditioning step, not a fault-injection step: it costs a device restart, which drops the link. Anything that must happen at a defined instant during a running test has to come from a control that acts immediately. The table below separates the two.</w:t>
      </w:r>
    </w:p>
    <w:tbl>
      <w:tblPr>
        <w:tblStyle w:val="TableGrid"/>
        <w:tblW w:type="auto" w:w="0"/>
        <w:tblLook w:firstColumn="1" w:firstRow="1" w:lastColumn="0" w:lastRow="0" w:noHBand="0" w:noVBand="1" w:val="04A0"/>
      </w:tblPr>
      <w:tblGrid>
        <w:gridCol w:w="4704"/>
        <w:gridCol w:w="4704"/>
        <w:gridCol w:w="4704"/>
      </w:tblGrid>
      <w:tr>
        <w:tc>
          <w:tcPr>
            <w:tcW w:type="dxa" w:w="3600"/>
          </w:tcPr>
          <w:p>
            <w:r/>
            <w:r>
              <w:rPr>
                <w:b/>
                <w:color w:val="1F3355"/>
                <w:sz w:val="16"/>
              </w:rPr>
              <w:t>Tool / interface</w:t>
            </w:r>
          </w:p>
        </w:tc>
        <w:tc>
          <w:tcPr>
            <w:tcW w:type="dxa" w:w="2880"/>
          </w:tcPr>
          <w:p>
            <w:r/>
            <w:r>
              <w:rPr>
                <w:b/>
                <w:color w:val="1F3355"/>
                <w:sz w:val="16"/>
              </w:rPr>
              <w:t>Acts immediately?</w:t>
            </w:r>
          </w:p>
        </w:tc>
        <w:tc>
          <w:tcPr>
            <w:tcW w:type="dxa" w:w="8064"/>
          </w:tcPr>
          <w:p>
            <w:r/>
            <w:r>
              <w:rPr>
                <w:b/>
                <w:color w:val="1F3355"/>
                <w:sz w:val="16"/>
              </w:rPr>
              <w:t>What you can do manually with it</w:t>
            </w:r>
          </w:p>
        </w:tc>
      </w:tr>
      <w:tr>
        <w:tc>
          <w:tcPr>
            <w:tcW w:type="dxa" w:w="3600"/>
          </w:tcPr>
          <w:p>
            <w:r/>
            <w:r>
              <w:rPr>
                <w:b w:val="0"/>
                <w:sz w:val="16"/>
              </w:rPr>
              <w:t>TE-1190 web page — Serdes Diagnostics tab</w:t>
            </w:r>
          </w:p>
        </w:tc>
        <w:tc>
          <w:tcPr>
            <w:tcW w:type="dxa" w:w="2880"/>
          </w:tcPr>
          <w:p>
            <w:r/>
            <w:r>
              <w:rPr>
                <w:b/>
                <w:color w:val="1B7F3B"/>
                <w:sz w:val="16"/>
              </w:rPr>
              <w:t>Yes — live</w:t>
            </w:r>
          </w:p>
        </w:tc>
        <w:tc>
          <w:tcPr>
            <w:tcW w:type="dxa" w:w="8064"/>
          </w:tcPr>
          <w:p>
            <w:r/>
            <w:r>
              <w:rPr>
                <w:b w:val="0"/>
                <w:sz w:val="16"/>
              </w:rPr>
              <w:t>Arbitrary I²C read and write on any GMSL link control channel, executed on request. Also PRBS set-up, Advanced Diagnostics (predefined register read) and Configuration Verification. This is the one live control on the module.  [UM §5.6 pp.45–46]</w:t>
            </w:r>
          </w:p>
        </w:tc>
      </w:tr>
      <w:tr>
        <w:tc>
          <w:tcPr>
            <w:tcW w:type="dxa" w:w="3600"/>
          </w:tcPr>
          <w:p>
            <w:r/>
            <w:r>
              <w:rPr>
                <w:b w:val="0"/>
                <w:sz w:val="16"/>
              </w:rPr>
              <w:t>TE-1190 web page — GPIO switching, PoC, link config, logging, compression</w:t>
            </w:r>
          </w:p>
        </w:tc>
        <w:tc>
          <w:tcPr>
            <w:tcW w:type="dxa" w:w="2880"/>
          </w:tcPr>
          <w:p>
            <w:r/>
            <w:r>
              <w:rPr>
                <w:b/>
                <w:color w:val="B03022"/>
                <w:sz w:val="16"/>
              </w:rPr>
              <w:t>No — needs Save &amp; Apply + restart</w:t>
            </w:r>
          </w:p>
        </w:tc>
        <w:tc>
          <w:tcPr>
            <w:tcW w:type="dxa" w:w="8064"/>
          </w:tcPr>
          <w:p>
            <w:r/>
            <w:r>
              <w:rPr>
                <w:b w:val="0"/>
                <w:sz w:val="16"/>
              </w:rPr>
              <w:t>Preconditioning only. Set the MFP states, PoC mode and logging before the run. MFP forcing cannot be flipped mid-test from the GUI, and PoC cannot be toggled off and on for a recovery test.  [UM §5 p.20; compression upload auto-resets, §5.5 p.44]</w:t>
            </w:r>
          </w:p>
        </w:tc>
      </w:tr>
      <w:tr>
        <w:tc>
          <w:tcPr>
            <w:tcW w:type="dxa" w:w="3600"/>
          </w:tcPr>
          <w:p>
            <w:r/>
            <w:r>
              <w:rPr>
                <w:b w:val="0"/>
                <w:sz w:val="16"/>
              </w:rPr>
              <w:t>TE-2003 / TE-2004 web page — port enable/disable</w:t>
            </w:r>
          </w:p>
        </w:tc>
        <w:tc>
          <w:tcPr>
            <w:tcW w:type="dxa" w:w="2880"/>
          </w:tcPr>
          <w:p>
            <w:r/>
            <w:r>
              <w:rPr>
                <w:b/>
                <w:color w:val="B03022"/>
                <w:sz w:val="16"/>
              </w:rPr>
              <w:t>No — needs Save &amp; Apply + restart</w:t>
            </w:r>
          </w:p>
        </w:tc>
        <w:tc>
          <w:tcPr>
            <w:tcW w:type="dxa" w:w="8064"/>
          </w:tcPr>
          <w:p>
            <w:r/>
            <w:r>
              <w:rPr>
                <w:b w:val="0"/>
                <w:sz w:val="16"/>
              </w:rPr>
              <w:t>Not a usable runtime link-fault injector from the GUI: the whole switch reboots, dropping every port. Use the MediaConverter below, or simply unplug the cable.  [EES UM v1.11 pp.21–22]</w:t>
            </w:r>
          </w:p>
        </w:tc>
      </w:tr>
      <w:tr>
        <w:tc>
          <w:tcPr>
            <w:tcW w:type="dxa" w:w="3600"/>
          </w:tcPr>
          <w:p>
            <w:r/>
            <w:r>
              <w:rPr>
                <w:b/>
                <w:sz w:val="16"/>
              </w:rPr>
              <w:t>TE-1406 serial console (micro-USB-B, 115200 8N1, TeraTerm)</w:t>
            </w:r>
          </w:p>
        </w:tc>
        <w:tc>
          <w:tcPr>
            <w:tcW w:type="dxa" w:w="2880"/>
          </w:tcPr>
          <w:p>
            <w:r/>
            <w:r>
              <w:rPr>
                <w:b/>
                <w:color w:val="1B7F3B"/>
                <w:sz w:val="16"/>
              </w:rPr>
              <w:t>Yes — live</w:t>
            </w:r>
          </w:p>
        </w:tc>
        <w:tc>
          <w:tcPr>
            <w:tcW w:type="dxa" w:w="8064"/>
          </w:tcPr>
          <w:p>
            <w:r/>
            <w:r>
              <w:rPr>
                <w:b w:val="0"/>
                <w:sz w:val="16"/>
              </w:rPr>
              <w:t>The most useful manual control in the whole set. Commands are executed on entry. See the command table below.  [MC UM v1.3 §4.3 pp.12–18]</w:t>
            </w:r>
          </w:p>
        </w:tc>
      </w:tr>
      <w:tr>
        <w:tc>
          <w:tcPr>
            <w:tcW w:type="dxa" w:w="3600"/>
          </w:tcPr>
          <w:p>
            <w:r/>
            <w:r>
              <w:rPr>
                <w:b/>
                <w:sz w:val="16"/>
              </w:rPr>
              <w:t>TE-1406 MQS connector pins</w:t>
            </w:r>
          </w:p>
        </w:tc>
        <w:tc>
          <w:tcPr>
            <w:tcW w:type="dxa" w:w="2880"/>
          </w:tcPr>
          <w:p>
            <w:r/>
            <w:r>
              <w:rPr>
                <w:b/>
                <w:color w:val="1B7F3B"/>
                <w:sz w:val="16"/>
              </w:rPr>
              <w:t>Yes — hardware</w:t>
            </w:r>
          </w:p>
        </w:tc>
        <w:tc>
          <w:tcPr>
            <w:tcW w:type="dxa" w:w="8064"/>
          </w:tcPr>
          <w:p>
            <w:r/>
            <w:r>
              <w:rPr>
                <w:b w:val="0"/>
                <w:sz w:val="16"/>
              </w:rPr>
              <w:t>PIN 3 shorted to PIN 1 forces link down; PIN 2 is a link-status output (0 V = link up, 3.3 V = no link, 5 k pull-up, sinks up to 100 mA). PIN 4 to PIN 1 forces slave mode.  [MC UM v1.3 §4.2 pp.11–12]</w:t>
            </w:r>
          </w:p>
        </w:tc>
      </w:tr>
      <w:tr>
        <w:tc>
          <w:tcPr>
            <w:tcW w:type="dxa" w:w="3600"/>
          </w:tcPr>
          <w:p>
            <w:r/>
            <w:r>
              <w:rPr>
                <w:b w:val="0"/>
                <w:sz w:val="16"/>
              </w:rPr>
              <w:t>TE-1406 Web GUI PC application</w:t>
            </w:r>
          </w:p>
        </w:tc>
        <w:tc>
          <w:tcPr>
            <w:tcW w:type="dxa" w:w="2880"/>
          </w:tcPr>
          <w:p>
            <w:r/>
            <w:r>
              <w:rPr>
                <w:b/>
                <w:color w:val="1B7F3B"/>
                <w:sz w:val="16"/>
              </w:rPr>
              <w:t>Yes</w:t>
            </w:r>
          </w:p>
        </w:tc>
        <w:tc>
          <w:tcPr>
            <w:tcW w:type="dxa" w:w="8064"/>
          </w:tcPr>
          <w:p>
            <w:r/>
            <w:r>
              <w:rPr>
                <w:b w:val="0"/>
                <w:sz w:val="16"/>
              </w:rPr>
              <w:t>Apply Configuration sets the current configuration; no device restart is described, unlike the capture modules. Windows 11 or Ubuntu 22.04.  [MC UM v1.3 §5 p.19, p.33]</w:t>
            </w:r>
          </w:p>
        </w:tc>
      </w:tr>
      <w:tr>
        <w:tc>
          <w:tcPr>
            <w:tcW w:type="dxa" w:w="3600"/>
          </w:tcPr>
          <w:p>
            <w:r/>
            <w:r>
              <w:rPr>
                <w:b w:val="0"/>
                <w:sz w:val="16"/>
              </w:rPr>
              <w:t>R&amp;S NGP824 front panel</w:t>
            </w:r>
          </w:p>
        </w:tc>
        <w:tc>
          <w:tcPr>
            <w:tcW w:type="dxa" w:w="2880"/>
          </w:tcPr>
          <w:p>
            <w:r/>
            <w:r>
              <w:rPr>
                <w:b/>
                <w:color w:val="1B7F3B"/>
                <w:sz w:val="16"/>
              </w:rPr>
              <w:t>Yes</w:t>
            </w:r>
          </w:p>
        </w:tc>
        <w:tc>
          <w:tcPr>
            <w:tcW w:type="dxa" w:w="8064"/>
          </w:tcPr>
          <w:p>
            <w:r/>
            <w:r>
              <w:rPr>
                <w:b w:val="0"/>
                <w:sz w:val="16"/>
              </w:rPr>
              <w:t>Output on/off per channel, voltage and current setpoints, OVP/OCP with fuse delay, QuickArb and EasyRamp sequences. Fully operable without a PC.</w:t>
            </w:r>
          </w:p>
        </w:tc>
      </w:tr>
      <w:tr>
        <w:tc>
          <w:tcPr>
            <w:tcW w:type="dxa" w:w="3600"/>
          </w:tcPr>
          <w:p>
            <w:r/>
            <w:r>
              <w:rPr>
                <w:b w:val="0"/>
                <w:sz w:val="16"/>
              </w:rPr>
              <w:t>Siglent SDM3065X front panel</w:t>
            </w:r>
          </w:p>
        </w:tc>
        <w:tc>
          <w:tcPr>
            <w:tcW w:type="dxa" w:w="2880"/>
          </w:tcPr>
          <w:p>
            <w:r/>
            <w:r>
              <w:rPr>
                <w:b/>
                <w:color w:val="1B7F3B"/>
                <w:sz w:val="16"/>
              </w:rPr>
              <w:t>Yes</w:t>
            </w:r>
          </w:p>
        </w:tc>
        <w:tc>
          <w:tcPr>
            <w:tcW w:type="dxa" w:w="8064"/>
          </w:tcPr>
          <w:p>
            <w:r/>
            <w:r>
              <w:rPr>
                <w:b w:val="0"/>
                <w:sz w:val="16"/>
              </w:rPr>
              <w:t>Rail voltage and current measurement.</w:t>
            </w:r>
          </w:p>
        </w:tc>
      </w:tr>
      <w:tr>
        <w:tc>
          <w:tcPr>
            <w:tcW w:type="dxa" w:w="3600"/>
          </w:tcPr>
          <w:p>
            <w:r/>
            <w:r>
              <w:rPr>
                <w:b w:val="0"/>
                <w:sz w:val="16"/>
              </w:rPr>
              <w:t>Vötsch chamber via Simpati</w:t>
            </w:r>
          </w:p>
        </w:tc>
        <w:tc>
          <w:tcPr>
            <w:tcW w:type="dxa" w:w="2880"/>
          </w:tcPr>
          <w:p>
            <w:r/>
            <w:r>
              <w:rPr>
                <w:b/>
                <w:color w:val="1B7F3B"/>
                <w:sz w:val="16"/>
              </w:rPr>
              <w:t>Yes</w:t>
            </w:r>
          </w:p>
        </w:tc>
        <w:tc>
          <w:tcPr>
            <w:tcW w:type="dxa" w:w="8064"/>
          </w:tcPr>
          <w:p>
            <w:r/>
            <w:r>
              <w:rPr>
                <w:b w:val="0"/>
                <w:sz w:val="16"/>
              </w:rPr>
              <w:t>Temperature profiles, started and monitored from the application.</w:t>
            </w:r>
          </w:p>
        </w:tc>
      </w:tr>
      <w:tr>
        <w:tc>
          <w:tcPr>
            <w:tcW w:type="dxa" w:w="3600"/>
          </w:tcPr>
          <w:p>
            <w:r/>
            <w:r>
              <w:rPr>
                <w:b w:val="0"/>
                <w:sz w:val="16"/>
              </w:rPr>
              <w:t>Saleae Logic 2</w:t>
            </w:r>
          </w:p>
        </w:tc>
        <w:tc>
          <w:tcPr>
            <w:tcW w:type="dxa" w:w="2880"/>
          </w:tcPr>
          <w:p>
            <w:r/>
            <w:r>
              <w:rPr>
                <w:b/>
                <w:color w:val="1B7F3B"/>
                <w:sz w:val="16"/>
              </w:rPr>
              <w:t>Yes</w:t>
            </w:r>
          </w:p>
        </w:tc>
        <w:tc>
          <w:tcPr>
            <w:tcW w:type="dxa" w:w="8064"/>
          </w:tcPr>
          <w:p>
            <w:r/>
            <w:r>
              <w:rPr>
                <w:b w:val="0"/>
                <w:sz w:val="16"/>
              </w:rPr>
              <w:t>Continuous capture with I²C and MDIO analyzers — unchanged, and still the only way to see the local SoC-to-deserializer bus.</w:t>
            </w:r>
          </w:p>
        </w:tc>
      </w:tr>
    </w:tbl>
    <w:p>
      <w:pPr>
        <w:spacing w:after="40"/>
      </w:pPr>
    </w:p>
    <w:p>
      <w:pPr>
        <w:spacing w:after="80"/>
      </w:pPr>
      <w:r>
        <w:rPr>
          <w:b/>
          <w:color w:val="2E5A88"/>
          <w:sz w:val="23"/>
        </w:rPr>
        <w:t>4.1  TE-1406 console commands worth knowing</w:t>
      </w:r>
    </w:p>
    <w:p>
      <w:pPr>
        <w:spacing w:after="100"/>
      </w:pPr>
      <w:r>
        <w:rPr>
          <w:b w:val="0"/>
          <w:sz w:val="19"/>
        </w:rPr>
        <w:t>Connect the micro-USB-B debug port, open the virtual COM port at 115200 8N1, press Enter, then type help.  [MC UM v1.3 §4.3 pp.13–14]</w:t>
      </w:r>
    </w:p>
    <w:tbl>
      <w:tblPr>
        <w:tblStyle w:val="TableGrid"/>
        <w:tblW w:type="auto" w:w="0"/>
        <w:tblLook w:firstColumn="1" w:firstRow="1" w:lastColumn="0" w:lastRow="0" w:noHBand="0" w:noVBand="1" w:val="04A0"/>
      </w:tblPr>
      <w:tblGrid>
        <w:gridCol w:w="4704"/>
        <w:gridCol w:w="4704"/>
        <w:gridCol w:w="4704"/>
      </w:tblGrid>
      <w:tr>
        <w:tc>
          <w:tcPr>
            <w:tcW w:type="dxa" w:w="3744"/>
          </w:tcPr>
          <w:p>
            <w:r/>
            <w:r>
              <w:rPr>
                <w:b/>
                <w:color w:val="1F3355"/>
                <w:sz w:val="16"/>
              </w:rPr>
              <w:t>Command</w:t>
            </w:r>
          </w:p>
        </w:tc>
        <w:tc>
          <w:tcPr>
            <w:tcW w:type="dxa" w:w="5184"/>
          </w:tcPr>
          <w:p>
            <w:r/>
            <w:r>
              <w:rPr>
                <w:b/>
                <w:color w:val="1F3355"/>
                <w:sz w:val="16"/>
              </w:rPr>
              <w:t>Effect</w:t>
            </w:r>
          </w:p>
        </w:tc>
        <w:tc>
          <w:tcPr>
            <w:tcW w:type="dxa" w:w="5616"/>
          </w:tcPr>
          <w:p>
            <w:r/>
            <w:r>
              <w:rPr>
                <w:b/>
                <w:color w:val="1F3355"/>
                <w:sz w:val="16"/>
              </w:rPr>
              <w:t>Use on our bench</w:t>
            </w:r>
          </w:p>
        </w:tc>
      </w:tr>
      <w:tr>
        <w:tc>
          <w:tcPr>
            <w:tcW w:type="dxa" w:w="3744"/>
          </w:tcPr>
          <w:p>
            <w:r/>
            <w:r>
              <w:rPr>
                <w:b/>
                <w:sz w:val="16"/>
              </w:rPr>
              <w:t>phy mute  /  phy unmute</w:t>
            </w:r>
          </w:p>
        </w:tc>
        <w:tc>
          <w:tcPr>
            <w:tcW w:type="dxa" w:w="5184"/>
          </w:tcPr>
          <w:p>
            <w:r/>
            <w:r>
              <w:rPr>
                <w:b w:val="0"/>
                <w:sz w:val="16"/>
              </w:rPr>
              <w:t>Asserts and releases TX_DISABLE on the PHY. phy status reports the current state.</w:t>
            </w:r>
          </w:p>
        </w:tc>
        <w:tc>
          <w:tcPr>
            <w:tcW w:type="dxa" w:w="5616"/>
          </w:tcPr>
          <w:p>
            <w:r/>
            <w:r>
              <w:rPr>
                <w:b w:val="0"/>
                <w:color w:val="1B7F3B"/>
                <w:sz w:val="16"/>
              </w:rPr>
              <w:t>The clean live link-fault injector: instantaneous, repeatable, and recoverable without resetting anything. This is the manual replacement for the TE-2004 API port disable.</w:t>
            </w:r>
          </w:p>
        </w:tc>
      </w:tr>
      <w:tr>
        <w:tc>
          <w:tcPr>
            <w:tcW w:type="dxa" w:w="3744"/>
          </w:tcPr>
          <w:p>
            <w:r/>
            <w:r>
              <w:rPr>
                <w:b w:val="0"/>
                <w:sz w:val="16"/>
              </w:rPr>
              <w:t>phy reset [hard/soft]</w:t>
            </w:r>
          </w:p>
        </w:tc>
        <w:tc>
          <w:tcPr>
            <w:tcW w:type="dxa" w:w="5184"/>
          </w:tcPr>
          <w:p>
            <w:r/>
            <w:r>
              <w:rPr>
                <w:b w:val="0"/>
                <w:sz w:val="16"/>
              </w:rPr>
              <w:t>Resets the PHY.</w:t>
            </w:r>
          </w:p>
        </w:tc>
        <w:tc>
          <w:tcPr>
            <w:tcW w:type="dxa" w:w="5616"/>
          </w:tcPr>
          <w:p>
            <w:r/>
            <w:r>
              <w:rPr>
                <w:b w:val="0"/>
                <w:sz w:val="16"/>
              </w:rPr>
              <w:t>Link re-establishment and start-up behaviour tests.</w:t>
            </w:r>
          </w:p>
        </w:tc>
      </w:tr>
      <w:tr>
        <w:tc>
          <w:tcPr>
            <w:tcW w:type="dxa" w:w="3744"/>
          </w:tcPr>
          <w:p>
            <w:r/>
            <w:r>
              <w:rPr>
                <w:b/>
                <w:sz w:val="16"/>
              </w:rPr>
              <w:t>status run  /  status poll</w:t>
            </w:r>
          </w:p>
        </w:tc>
        <w:tc>
          <w:tcPr>
            <w:tcW w:type="dxa" w:w="5184"/>
          </w:tcPr>
          <w:p>
            <w:r/>
            <w:r>
              <w:rPr>
                <w:b w:val="0"/>
                <w:sz w:val="16"/>
              </w:rPr>
              <w:t>Prints DIP switch states, Master/Slave mode, speed, legacy mode, BASE-T1 status (link, speed, polarity and quality) and SerDes status. poll refreshes every 500 ms.</w:t>
            </w:r>
          </w:p>
        </w:tc>
        <w:tc>
          <w:tcPr>
            <w:tcW w:type="dxa" w:w="5616"/>
          </w:tcPr>
          <w:p>
            <w:r/>
            <w:r>
              <w:rPr>
                <w:b w:val="0"/>
                <w:sz w:val="16"/>
              </w:rPr>
              <w:t>Live link-quality observable. The quality field is the SQI reading; polarity is reported too.</w:t>
            </w:r>
          </w:p>
        </w:tc>
      </w:tr>
      <w:tr>
        <w:tc>
          <w:tcPr>
            <w:tcW w:type="dxa" w:w="3744"/>
          </w:tcPr>
          <w:p>
            <w:r/>
            <w:r>
              <w:rPr>
                <w:b w:val="0"/>
                <w:sz w:val="16"/>
              </w:rPr>
              <w:t>mdio read22 / write22 / read45 / write45 [bus] [phy_addr] ...</w:t>
            </w:r>
          </w:p>
        </w:tc>
        <w:tc>
          <w:tcPr>
            <w:tcW w:type="dxa" w:w="5184"/>
          </w:tcPr>
          <w:p>
            <w:r/>
            <w:r>
              <w:rPr>
                <w:b w:val="0"/>
                <w:sz w:val="16"/>
              </w:rPr>
              <w:t>Clause-22 and Clause-45 MDIO read and write from the terminal.</w:t>
            </w:r>
          </w:p>
        </w:tc>
        <w:tc>
          <w:tcPr>
            <w:tcW w:type="dxa" w:w="5616"/>
          </w:tcPr>
          <w:p>
            <w:r/>
            <w:r>
              <w:rPr>
                <w:b w:val="0"/>
                <w:sz w:val="16"/>
              </w:rPr>
              <w:t>An MDIO master usable by hand. Note it addresses the MediaConverter's own Marvell 88Q2221M, i.e. the link partner — not the DUT TJA1104 / TJA1121 / LAN887x.</w:t>
            </w:r>
          </w:p>
        </w:tc>
      </w:tr>
      <w:tr>
        <w:tc>
          <w:tcPr>
            <w:tcW w:type="dxa" w:w="3744"/>
          </w:tcPr>
          <w:p>
            <w:r/>
            <w:r>
              <w:rPr>
                <w:b w:val="0"/>
                <w:sz w:val="16"/>
              </w:rPr>
              <w:t>testmode set [0–7]  /  testmode off</w:t>
            </w:r>
          </w:p>
        </w:tc>
        <w:tc>
          <w:tcPr>
            <w:tcW w:type="dxa" w:w="5184"/>
          </w:tcPr>
          <w:p>
            <w:r/>
            <w:r>
              <w:rPr>
                <w:b w:val="0"/>
                <w:sz w:val="16"/>
              </w:rPr>
              <w:t>Selects an IEEE test mode or jitter pattern; off returns to normal operation.</w:t>
            </w:r>
          </w:p>
        </w:tc>
        <w:tc>
          <w:tcPr>
            <w:tcW w:type="dxa" w:w="5616"/>
          </w:tcPr>
          <w:p>
            <w:r/>
            <w:r>
              <w:rPr>
                <w:b w:val="0"/>
                <w:sz w:val="16"/>
              </w:rPr>
              <w:t>Physical-layer stress and compliance-style patterns.</w:t>
            </w:r>
          </w:p>
        </w:tc>
      </w:tr>
      <w:tr>
        <w:tc>
          <w:tcPr>
            <w:tcW w:type="dxa" w:w="3744"/>
          </w:tcPr>
          <w:p>
            <w:r/>
            <w:r>
              <w:rPr>
                <w:b w:val="0"/>
                <w:sz w:val="16"/>
              </w:rPr>
              <w:t>auto set mode [master/slave] speed [100m/1000m] search [on/off] gen [on/off]</w:t>
            </w:r>
          </w:p>
        </w:tc>
        <w:tc>
          <w:tcPr>
            <w:tcW w:type="dxa" w:w="5184"/>
          </w:tcPr>
          <w:p>
            <w:r/>
            <w:r>
              <w:rPr>
                <w:b w:val="0"/>
                <w:sz w:val="16"/>
              </w:rPr>
              <w:t>Overrides the DIP switches from the console. Persists until the device restarts. auto link returns link up or link down.</w:t>
            </w:r>
          </w:p>
        </w:tc>
        <w:tc>
          <w:tcPr>
            <w:tcW w:type="dxa" w:w="5616"/>
          </w:tcPr>
          <w:p>
            <w:r/>
            <w:r>
              <w:rPr>
                <w:b w:val="0"/>
                <w:sz w:val="16"/>
              </w:rPr>
              <w:t>Speed and role changes without touching the hardware; gen on starts the frame generator.</w:t>
            </w:r>
          </w:p>
        </w:tc>
      </w:tr>
      <w:tr>
        <w:tc>
          <w:tcPr>
            <w:tcW w:type="dxa" w:w="3744"/>
          </w:tcPr>
          <w:p>
            <w:r/>
            <w:r>
              <w:rPr>
                <w:b w:val="0"/>
                <w:sz w:val="16"/>
              </w:rPr>
              <w:t>version, reset, log [1–5]</w:t>
            </w:r>
          </w:p>
        </w:tc>
        <w:tc>
          <w:tcPr>
            <w:tcW w:type="dxa" w:w="5184"/>
          </w:tcPr>
          <w:p>
            <w:r/>
            <w:r>
              <w:rPr>
                <w:b w:val="0"/>
                <w:sz w:val="16"/>
              </w:rPr>
              <w:t>Product and firmware information, full device reset, console verbosity.</w:t>
            </w:r>
          </w:p>
        </w:tc>
        <w:tc>
          <w:tcPr>
            <w:tcW w:type="dxa" w:w="5616"/>
          </w:tcPr>
          <w:p>
            <w:r/>
            <w:r>
              <w:rPr>
                <w:b w:val="0"/>
                <w:sz w:val="16"/>
              </w:rPr>
              <w:t>Run records and evidence capture.</w:t>
            </w:r>
          </w:p>
        </w:tc>
      </w:tr>
    </w:tbl>
    <w:p>
      <w:pPr>
        <w:spacing w:after="40"/>
      </w:pPr>
    </w:p>
    <w:p>
      <w:pPr>
        <w:spacing w:after="120"/>
      </w:pPr>
      <w:r>
        <w:rPr>
          <w:b/>
          <w:color w:val="1B7F3B"/>
          <w:sz w:val="19"/>
        </w:rPr>
        <w:t>Practical consequence: for the Ethernet link-fault requirements, the manual method is phy mute on the TE-1406 console, with PIN 2 wired to a Saleae channel as the hardware link-status observable. That gives both the stimulus and a clean t0 on the same time base, with no device restart anywhere in the loop.</w:t>
      </w:r>
    </w:p>
    <w:p>
      <w:r>
        <w:br w:type="page"/>
      </w:r>
    </w:p>
    <w:p>
      <w:pPr>
        <w:spacing w:after="120"/>
      </w:pPr>
      <w:r>
        <w:rPr>
          <w:b/>
          <w:color w:val="1F3355"/>
          <w:sz w:val="28"/>
        </w:rPr>
        <w:t>5.  Coverage-matrix items changed by these documents</w:t>
      </w:r>
    </w:p>
    <w:tbl>
      <w:tblPr>
        <w:tblStyle w:val="TableGrid"/>
        <w:tblW w:type="auto" w:w="0"/>
        <w:tblLook w:firstColumn="1" w:firstRow="1" w:lastColumn="0" w:lastRow="0" w:noHBand="0" w:noVBand="1" w:val="04A0"/>
      </w:tblPr>
      <w:tblGrid>
        <w:gridCol w:w="3528"/>
        <w:gridCol w:w="3528"/>
        <w:gridCol w:w="3528"/>
        <w:gridCol w:w="3528"/>
      </w:tblGrid>
      <w:tr>
        <w:tc>
          <w:tcPr>
            <w:tcW w:type="dxa" w:w="3744"/>
          </w:tcPr>
          <w:p>
            <w:r/>
            <w:r>
              <w:rPr>
                <w:b/>
                <w:color w:val="1F3355"/>
                <w:sz w:val="16"/>
              </w:rPr>
              <w:t>Matrix row</w:t>
            </w:r>
          </w:p>
        </w:tc>
        <w:tc>
          <w:tcPr>
            <w:tcW w:type="dxa" w:w="2160"/>
          </w:tcPr>
          <w:p>
            <w:r/>
            <w:r>
              <w:rPr>
                <w:b/>
                <w:color w:val="1F3355"/>
                <w:sz w:val="16"/>
              </w:rPr>
              <w:t>Previous status</w:t>
            </w:r>
          </w:p>
        </w:tc>
        <w:tc>
          <w:tcPr>
            <w:tcW w:type="dxa" w:w="2304"/>
          </w:tcPr>
          <w:p>
            <w:r/>
            <w:r>
              <w:rPr>
                <w:b/>
                <w:color w:val="1F3355"/>
                <w:sz w:val="16"/>
              </w:rPr>
              <w:t>New status</w:t>
            </w:r>
          </w:p>
        </w:tc>
        <w:tc>
          <w:tcPr>
            <w:tcW w:type="dxa" w:w="6336"/>
          </w:tcPr>
          <w:p>
            <w:r/>
            <w:r>
              <w:rPr>
                <w:b/>
                <w:color w:val="1F3355"/>
                <w:sz w:val="16"/>
              </w:rPr>
              <w:t>Evidence</w:t>
            </w:r>
          </w:p>
        </w:tc>
      </w:tr>
      <w:tr>
        <w:tc>
          <w:tcPr>
            <w:tcW w:type="dxa" w:w="3744"/>
          </w:tcPr>
          <w:p>
            <w:r/>
            <w:r>
              <w:rPr>
                <w:b w:val="0"/>
                <w:sz w:val="16"/>
              </w:rPr>
              <w:t>Inject PHY link fault (break / disturb T1) — SoC to Ethernet PHY</w:t>
            </w:r>
          </w:p>
        </w:tc>
        <w:tc>
          <w:tcPr>
            <w:tcW w:type="dxa" w:w="2160"/>
          </w:tcPr>
          <w:p>
            <w:r/>
            <w:r>
              <w:rPr>
                <w:b w:val="0"/>
                <w:sz w:val="16"/>
              </w:rPr>
              <w:t>Partial (verify TE-2004 API)</w:t>
            </w:r>
          </w:p>
        </w:tc>
        <w:tc>
          <w:tcPr>
            <w:tcW w:type="dxa" w:w="2304"/>
          </w:tcPr>
          <w:p>
            <w:r/>
            <w:r>
              <w:rPr>
                <w:b/>
                <w:color w:val="1B7F3B"/>
                <w:sz w:val="16"/>
              </w:rPr>
              <w:t>Available — manual</w:t>
            </w:r>
          </w:p>
        </w:tc>
        <w:tc>
          <w:tcPr>
            <w:tcW w:type="dxa" w:w="6336"/>
          </w:tcPr>
          <w:p>
            <w:r/>
            <w:r>
              <w:rPr>
                <w:b w:val="0"/>
                <w:sz w:val="16"/>
              </w:rPr>
              <w:t>Manual method: phy mute on the TE-1406 console asserts TX_DISABLE immediately, and PIN 3 to PIN 1 forces link down in hardware [MC UM v1.3 §4.2.2 p.12, §4.3 p.17]. The TE-2004 route (POST /api/port/X/set.msgpack with enable = false) also exists but only as an API on-the-fly command — from the web page it needs a restart [Remote API v1.4 §4.4.2 p.17; EES UM v1.11 pp.21–22].</w:t>
            </w:r>
          </w:p>
        </w:tc>
      </w:tr>
      <w:tr>
        <w:tc>
          <w:tcPr>
            <w:tcW w:type="dxa" w:w="3744"/>
          </w:tcPr>
          <w:p>
            <w:r/>
            <w:r>
              <w:rPr>
                <w:b w:val="0"/>
                <w:sz w:val="16"/>
              </w:rPr>
              <w:t>Break / disturb the 100BASE-T1 link — missing-hardware table</w:t>
            </w:r>
          </w:p>
        </w:tc>
        <w:tc>
          <w:tcPr>
            <w:tcW w:type="dxa" w:w="2160"/>
          </w:tcPr>
          <w:p>
            <w:r/>
            <w:r>
              <w:rPr>
                <w:b w:val="0"/>
                <w:sz w:val="16"/>
              </w:rPr>
              <w:t>Open (verify)</w:t>
            </w:r>
          </w:p>
        </w:tc>
        <w:tc>
          <w:tcPr>
            <w:tcW w:type="dxa" w:w="2304"/>
          </w:tcPr>
          <w:p>
            <w:r/>
            <w:r>
              <w:rPr>
                <w:b/>
                <w:color w:val="1B7F3B"/>
                <w:sz w:val="16"/>
              </w:rPr>
              <w:t>Closed — no break relay needed</w:t>
            </w:r>
          </w:p>
        </w:tc>
        <w:tc>
          <w:tcPr>
            <w:tcW w:type="dxa" w:w="6336"/>
          </w:tcPr>
          <w:p>
            <w:r/>
            <w:r>
              <w:rPr>
                <w:b w:val="0"/>
                <w:sz w:val="16"/>
              </w:rPr>
              <w:t>TE-1406 phy mute / phy unmute covers it live, and PIN 2 gives a hardware link-status output to trigger on. No break relay and no API required.</w:t>
            </w:r>
          </w:p>
        </w:tc>
      </w:tr>
      <w:tr>
        <w:tc>
          <w:tcPr>
            <w:tcW w:type="dxa" w:w="3744"/>
          </w:tcPr>
          <w:p>
            <w:r/>
            <w:r>
              <w:rPr>
                <w:b w:val="0"/>
                <w:sz w:val="16"/>
              </w:rPr>
              <w:t>Inject coax BER / attenuation (PRBS)</w:t>
            </w:r>
          </w:p>
        </w:tc>
        <w:tc>
          <w:tcPr>
            <w:tcW w:type="dxa" w:w="2160"/>
          </w:tcPr>
          <w:p>
            <w:r/>
            <w:r>
              <w:rPr>
                <w:b w:val="0"/>
                <w:sz w:val="16"/>
              </w:rPr>
              <w:t>Missing</w:t>
            </w:r>
          </w:p>
        </w:tc>
        <w:tc>
          <w:tcPr>
            <w:tcW w:type="dxa" w:w="2304"/>
          </w:tcPr>
          <w:p>
            <w:r/>
            <w:r>
              <w:rPr>
                <w:b/>
                <w:color w:val="2E5A88"/>
                <w:sz w:val="16"/>
              </w:rPr>
              <w:t>Partial</w:t>
            </w:r>
          </w:p>
        </w:tc>
        <w:tc>
          <w:tcPr>
            <w:tcW w:type="dxa" w:w="6336"/>
          </w:tcPr>
          <w:p>
            <w:r/>
            <w:r>
              <w:rPr>
                <w:b w:val="0"/>
                <w:sz w:val="16"/>
              </w:rPr>
              <w:t>PRBS mode is now reachable without extra hardware via the TE-1190 Serdes Diagnostics tab [UM §5.6 p.45]. A step attenuator is still required to sweep link margin — PRBS gives a pass/fail BER, not a controlled degradation.</w:t>
            </w:r>
          </w:p>
        </w:tc>
      </w:tr>
      <w:tr>
        <w:tc>
          <w:tcPr>
            <w:tcW w:type="dxa" w:w="3744"/>
          </w:tcPr>
          <w:p>
            <w:r/>
            <w:r>
              <w:rPr>
                <w:b w:val="0"/>
                <w:sz w:val="16"/>
              </w:rPr>
              <w:t>Control PoC power on coax (off / on recovery)</w:t>
            </w:r>
          </w:p>
        </w:tc>
        <w:tc>
          <w:tcPr>
            <w:tcW w:type="dxa" w:w="2160"/>
          </w:tcPr>
          <w:p>
            <w:r/>
            <w:r>
              <w:rPr>
                <w:b w:val="0"/>
                <w:sz w:val="16"/>
              </w:rPr>
              <w:t>Planned (Solectrix, on order)</w:t>
            </w:r>
          </w:p>
        </w:tc>
        <w:tc>
          <w:tcPr>
            <w:tcW w:type="dxa" w:w="2304"/>
          </w:tcPr>
          <w:p>
            <w:r/>
            <w:r>
              <w:rPr>
                <w:b/>
                <w:color w:val="B03022"/>
                <w:sz w:val="16"/>
              </w:rPr>
              <w:t>Unchanged — Solectrix still required</w:t>
            </w:r>
          </w:p>
        </w:tc>
        <w:tc>
          <w:tcPr>
            <w:tcW w:type="dxa" w:w="6336"/>
          </w:tcPr>
          <w:p>
            <w:r/>
            <w:r>
              <w:rPr>
                <w:b w:val="0"/>
                <w:sz w:val="16"/>
              </w:rPr>
              <w:t>TE-1190 HW v2.1+ injects PoC and monitors current and error conditions [UM §5.2.1.5 p.29], but the setting only takes effect after Save &amp; Apply and a restart, and Remote API v1.4 has no PoC endpoint. It can therefore set the steady-state supply, not perform an off/on recovery test. The 600 mA ceiling is a second constraint.</w:t>
            </w:r>
          </w:p>
        </w:tc>
      </w:tr>
      <w:tr>
        <w:tc>
          <w:tcPr>
            <w:tcW w:type="dxa" w:w="3744"/>
          </w:tcPr>
          <w:p>
            <w:r/>
            <w:r>
              <w:rPr>
                <w:b w:val="0"/>
                <w:sz w:val="16"/>
              </w:rPr>
              <w:t>Read / write serializer registers (tunneled, EXT11 0x383) at 0x80</w:t>
            </w:r>
          </w:p>
        </w:tc>
        <w:tc>
          <w:tcPr>
            <w:tcW w:type="dxa" w:w="2160"/>
          </w:tcPr>
          <w:p>
            <w:r/>
            <w:r>
              <w:rPr>
                <w:b w:val="0"/>
                <w:sz w:val="16"/>
              </w:rPr>
              <w:t>Available</w:t>
            </w:r>
          </w:p>
        </w:tc>
        <w:tc>
          <w:tcPr>
            <w:tcW w:type="dxa" w:w="2304"/>
          </w:tcPr>
          <w:p>
            <w:r/>
            <w:r>
              <w:rPr>
                <w:b/>
                <w:color w:val="B03022"/>
                <w:sz w:val="16"/>
              </w:rPr>
              <w:t>Available, with a caveat</w:t>
            </w:r>
          </w:p>
        </w:tc>
        <w:tc>
          <w:tcPr>
            <w:tcW w:type="dxa" w:w="6336"/>
          </w:tcPr>
          <w:p>
            <w:r/>
            <w:r>
              <w:rPr>
                <w:b w:val="0"/>
                <w:sz w:val="16"/>
              </w:rPr>
              <w:t>Unchanged when testing without the TE-1190. With the module inserted the tunnel reaches the MAX96793 instead — see §2.2.</w:t>
            </w:r>
          </w:p>
        </w:tc>
      </w:tr>
      <w:tr>
        <w:tc>
          <w:tcPr>
            <w:tcW w:type="dxa" w:w="3744"/>
          </w:tcPr>
          <w:p>
            <w:r/>
            <w:r>
              <w:rPr>
                <w:b w:val="0"/>
                <w:sz w:val="16"/>
              </w:rPr>
              <w:t>New capability, not previously in the matrix: force serializer and deserializer MFP pins</w:t>
            </w:r>
          </w:p>
        </w:tc>
        <w:tc>
          <w:tcPr>
            <w:tcW w:type="dxa" w:w="2160"/>
          </w:tcPr>
          <w:p>
            <w:r/>
            <w:r>
              <w:rPr>
                <w:b w:val="0"/>
                <w:sz w:val="16"/>
              </w:rPr>
              <w:t>—</w:t>
            </w:r>
          </w:p>
        </w:tc>
        <w:tc>
          <w:tcPr>
            <w:tcW w:type="dxa" w:w="2304"/>
          </w:tcPr>
          <w:p>
            <w:r/>
            <w:r>
              <w:rPr>
                <w:b/>
                <w:color w:val="2E5A88"/>
                <w:sz w:val="16"/>
              </w:rPr>
              <w:t>Available as preconditioning</w:t>
            </w:r>
          </w:p>
        </w:tc>
        <w:tc>
          <w:tcPr>
            <w:tcW w:type="dxa" w:w="6336"/>
          </w:tcPr>
          <w:p>
            <w:r/>
            <w:r>
              <w:rPr>
                <w:b w:val="0"/>
                <w:sz w:val="16"/>
              </w:rPr>
              <w:t>Low / High / High-Z / Bridge per MFP pin [UM §5.2.1.4 p.28]. Set before the run: it is a Status-tab configuration, so changing it costs a Save &amp; Apply and a device restart. It becomes a runtime injector only once the API is in use.</w:t>
            </w:r>
          </w:p>
        </w:tc>
      </w:tr>
      <w:tr>
        <w:tc>
          <w:tcPr>
            <w:tcW w:type="dxa" w:w="3744"/>
          </w:tcPr>
          <w:p>
            <w:r/>
            <w:r>
              <w:rPr>
                <w:b w:val="0"/>
                <w:sz w:val="16"/>
              </w:rPr>
              <w:t>New capability, not previously in the matrix: capture the camera-side control channel</w:t>
            </w:r>
          </w:p>
        </w:tc>
        <w:tc>
          <w:tcPr>
            <w:tcW w:type="dxa" w:w="2160"/>
          </w:tcPr>
          <w:p>
            <w:r/>
            <w:r>
              <w:rPr>
                <w:b w:val="0"/>
                <w:sz w:val="16"/>
              </w:rPr>
              <w:t>—</w:t>
            </w:r>
          </w:p>
        </w:tc>
        <w:tc>
          <w:tcPr>
            <w:tcW w:type="dxa" w:w="2304"/>
          </w:tcPr>
          <w:p>
            <w:r/>
            <w:r>
              <w:rPr>
                <w:b/>
                <w:color w:val="1B7F3B"/>
                <w:sz w:val="16"/>
              </w:rPr>
              <w:t>Available</w:t>
            </w:r>
          </w:p>
        </w:tc>
        <w:tc>
          <w:tcPr>
            <w:tcW w:type="dxa" w:w="6336"/>
          </w:tcPr>
          <w:p>
            <w:r/>
            <w:r>
              <w:rPr>
                <w:b w:val="0"/>
                <w:sz w:val="16"/>
              </w:rPr>
              <w:t>Control and pass-through I²C both logged to SFP+ as PLP frames [UM §5.2.1.1 p.22]. Note this is the GMSL control channel, not the local SoC to deserializer bus — that one still needs the Saleae.</w:t>
            </w:r>
          </w:p>
        </w:tc>
      </w:tr>
      <w:tr>
        <w:tc>
          <w:tcPr>
            <w:tcW w:type="dxa" w:w="3744"/>
          </w:tcPr>
          <w:p>
            <w:r/>
            <w:r>
              <w:rPr>
                <w:b w:val="0"/>
                <w:sz w:val="16"/>
              </w:rPr>
              <w:t>New capability, not previously in the matrix: Ethernet traffic injection</w:t>
            </w:r>
          </w:p>
        </w:tc>
        <w:tc>
          <w:tcPr>
            <w:tcW w:type="dxa" w:w="2160"/>
          </w:tcPr>
          <w:p>
            <w:r/>
            <w:r>
              <w:rPr>
                <w:b w:val="0"/>
                <w:sz w:val="16"/>
              </w:rPr>
              <w:t>—</w:t>
            </w:r>
          </w:p>
        </w:tc>
        <w:tc>
          <w:tcPr>
            <w:tcW w:type="dxa" w:w="2304"/>
          </w:tcPr>
          <w:p>
            <w:r/>
            <w:r>
              <w:rPr>
                <w:b/>
                <w:color w:val="1B7F3B"/>
                <w:sz w:val="16"/>
              </w:rPr>
              <w:t>Available (TE-1177)</w:t>
            </w:r>
          </w:p>
        </w:tc>
        <w:tc>
          <w:tcPr>
            <w:tcW w:type="dxa" w:w="6336"/>
          </w:tcPr>
          <w:p>
            <w:r/>
            <w:r>
              <w:rPr>
                <w:b w:val="0"/>
                <w:sz w:val="16"/>
              </w:rPr>
              <w:t>The CM 1000 High feature list includes Transparency Mode and Traffic Injection [TE-1177 datasheet p.2]. Relevant to the Ethernet and SOME/IP requirements.</w:t>
            </w:r>
          </w:p>
        </w:tc>
      </w:tr>
      <w:tr>
        <w:tc>
          <w:tcPr>
            <w:tcW w:type="dxa" w:w="3744"/>
          </w:tcPr>
          <w:p>
            <w:r/>
            <w:r>
              <w:rPr>
                <w:b w:val="0"/>
                <w:sz w:val="16"/>
              </w:rPr>
              <w:t>Inject I²C CRC / message-counter error (deserializer and PMIC local buses)</w:t>
            </w:r>
          </w:p>
        </w:tc>
        <w:tc>
          <w:tcPr>
            <w:tcW w:type="dxa" w:w="2160"/>
          </w:tcPr>
          <w:p>
            <w:r/>
            <w:r>
              <w:rPr>
                <w:b w:val="0"/>
                <w:sz w:val="16"/>
              </w:rPr>
              <w:t>Missing</w:t>
            </w:r>
          </w:p>
        </w:tc>
        <w:tc>
          <w:tcPr>
            <w:tcW w:type="dxa" w:w="2304"/>
          </w:tcPr>
          <w:p>
            <w:r/>
            <w:r>
              <w:rPr>
                <w:b/>
                <w:color w:val="B03022"/>
                <w:sz w:val="16"/>
              </w:rPr>
              <w:t>Missing — unchanged</w:t>
            </w:r>
          </w:p>
        </w:tc>
        <w:tc>
          <w:tcPr>
            <w:tcW w:type="dxa" w:w="6336"/>
          </w:tcPr>
          <w:p>
            <w:r/>
            <w:r>
              <w:rPr>
                <w:b w:val="0"/>
                <w:sz w:val="16"/>
              </w:rPr>
              <w:t>The TE-1190 acts on the GMSL control channel, not on the SoC to deserializer or SoC to PMIC buses on the DUT PCB. The in-line FPGA injector is still required for those.</w:t>
            </w:r>
          </w:p>
        </w:tc>
      </w:tr>
      <w:tr>
        <w:tc>
          <w:tcPr>
            <w:tcW w:type="dxa" w:w="3744"/>
          </w:tcPr>
          <w:p>
            <w:r/>
            <w:r>
              <w:rPr>
                <w:b w:val="0"/>
                <w:sz w:val="16"/>
              </w:rPr>
              <w:t>Inject PHY reference-clock fault (25 MHz)</w:t>
            </w:r>
          </w:p>
        </w:tc>
        <w:tc>
          <w:tcPr>
            <w:tcW w:type="dxa" w:w="2160"/>
          </w:tcPr>
          <w:p>
            <w:r/>
            <w:r>
              <w:rPr>
                <w:b w:val="0"/>
                <w:sz w:val="16"/>
              </w:rPr>
              <w:t>Missing</w:t>
            </w:r>
          </w:p>
        </w:tc>
        <w:tc>
          <w:tcPr>
            <w:tcW w:type="dxa" w:w="2304"/>
          </w:tcPr>
          <w:p>
            <w:r/>
            <w:r>
              <w:rPr>
                <w:b/>
                <w:color w:val="B03022"/>
                <w:sz w:val="16"/>
              </w:rPr>
              <w:t>Missing — unchanged</w:t>
            </w:r>
          </w:p>
        </w:tc>
        <w:tc>
          <w:tcPr>
            <w:tcW w:type="dxa" w:w="6336"/>
          </w:tcPr>
          <w:p>
            <w:r/>
            <w:r>
              <w:rPr>
                <w:b w:val="0"/>
                <w:sz w:val="16"/>
              </w:rPr>
              <w:t>Nothing in this document set provides a programmable clock source.</w:t>
            </w:r>
          </w:p>
        </w:tc>
      </w:tr>
    </w:tbl>
    <w:p>
      <w:pPr>
        <w:spacing w:after="40"/>
      </w:pPr>
    </w:p>
    <w:p>
      <w:r>
        <w:br w:type="page"/>
      </w:r>
    </w:p>
    <w:p>
      <w:pPr>
        <w:spacing w:after="120"/>
      </w:pPr>
      <w:r>
        <w:rPr>
          <w:b/>
          <w:color w:val="1F3355"/>
          <w:sz w:val="28"/>
        </w:rPr>
        <w:t>6.  The other instruments in the drop</w:t>
      </w:r>
    </w:p>
    <w:tbl>
      <w:tblPr>
        <w:tblStyle w:val="TableGrid"/>
        <w:tblW w:type="auto" w:w="0"/>
        <w:tblLook w:firstColumn="1" w:firstRow="1" w:lastColumn="0" w:lastRow="0" w:noHBand="0" w:noVBand="1" w:val="04A0"/>
      </w:tblPr>
      <w:tblGrid>
        <w:gridCol w:w="4704"/>
        <w:gridCol w:w="4704"/>
        <w:gridCol w:w="4704"/>
      </w:tblGrid>
      <w:tr>
        <w:tc>
          <w:tcPr>
            <w:tcW w:type="dxa" w:w="3168"/>
          </w:tcPr>
          <w:p>
            <w:r/>
            <w:r>
              <w:rPr>
                <w:b/>
                <w:color w:val="1F3355"/>
                <w:sz w:val="16"/>
              </w:rPr>
              <w:t>Device</w:t>
            </w:r>
          </w:p>
        </w:tc>
        <w:tc>
          <w:tcPr>
            <w:tcW w:type="dxa" w:w="5760"/>
          </w:tcPr>
          <w:p>
            <w:r/>
            <w:r>
              <w:rPr>
                <w:b/>
                <w:color w:val="1F3355"/>
                <w:sz w:val="16"/>
              </w:rPr>
              <w:t>Relevant capability</w:t>
            </w:r>
          </w:p>
        </w:tc>
        <w:tc>
          <w:tcPr>
            <w:tcW w:type="dxa" w:w="5616"/>
          </w:tcPr>
          <w:p>
            <w:r/>
            <w:r>
              <w:rPr>
                <w:b/>
                <w:color w:val="1F3355"/>
                <w:sz w:val="16"/>
              </w:rPr>
              <w:t>Note for the bench</w:t>
            </w:r>
          </w:p>
        </w:tc>
      </w:tr>
      <w:tr>
        <w:tc>
          <w:tcPr>
            <w:tcW w:type="dxa" w:w="3168"/>
          </w:tcPr>
          <w:p>
            <w:r/>
            <w:r>
              <w:rPr>
                <w:b w:val="0"/>
                <w:sz w:val="16"/>
              </w:rPr>
              <w:t>TE-2003 / TE-2004 Enhanced Ethernet Switch MACsec</w:t>
            </w:r>
          </w:p>
        </w:tc>
        <w:tc>
          <w:tcPr>
            <w:tcW w:type="dxa" w:w="5760"/>
          </w:tcPr>
          <w:p>
            <w:r/>
            <w:r>
              <w:rPr>
                <w:b w:val="0"/>
                <w:sz w:val="16"/>
              </w:rPr>
              <w:t>8x 100/1000BASE-T1 plus 2x SFP+. Port enable/disable, port segmentation, mirroring, VLAN, ARP table — all in the Core package, all in the Remote API.</w:t>
            </w:r>
          </w:p>
        </w:tc>
        <w:tc>
          <w:tcPr>
            <w:tcW w:type="dxa" w:w="5616"/>
          </w:tcPr>
          <w:p>
            <w:r/>
            <w:r>
              <w:rPr>
                <w:b w:val="0"/>
                <w:sz w:val="16"/>
              </w:rPr>
              <w:t>Port disable is our Ethernet link-fault injector. Mirroring gives a capture path without a separate tap. The Advanced package (multi-partition time sync, PTP bridge, shaping, rate limiter) is not needed for the FuSa scope.</w:t>
            </w:r>
          </w:p>
        </w:tc>
      </w:tr>
      <w:tr>
        <w:tc>
          <w:tcPr>
            <w:tcW w:type="dxa" w:w="3168"/>
          </w:tcPr>
          <w:p>
            <w:r/>
            <w:r>
              <w:rPr>
                <w:b w:val="0"/>
                <w:sz w:val="16"/>
              </w:rPr>
              <w:t>TE-1177 Capture Module 1000 High</w:t>
            </w:r>
          </w:p>
        </w:tc>
        <w:tc>
          <w:tcPr>
            <w:tcW w:type="dxa" w:w="5760"/>
          </w:tcPr>
          <w:p>
            <w:r/>
            <w:r>
              <w:rPr>
                <w:b w:val="0"/>
                <w:sz w:val="16"/>
              </w:rPr>
              <w:t>12x 100/1000BASE-T1, hardware timestamping with nanosecond resolution, gPTP, Transparency Mode, Traffic Injection, Sync and Link Events.</w:t>
            </w:r>
          </w:p>
        </w:tc>
        <w:tc>
          <w:tcPr>
            <w:tcW w:type="dxa" w:w="5616"/>
          </w:tcPr>
          <w:p>
            <w:r/>
            <w:r>
              <w:rPr>
                <w:b w:val="0"/>
                <w:sz w:val="16"/>
              </w:rPr>
              <w:t>Traffic Injection and nanosecond timestamping make this the better choice than the TE-2004 for timing-critical Ethernet measurements.</w:t>
            </w:r>
          </w:p>
        </w:tc>
      </w:tr>
      <w:tr>
        <w:tc>
          <w:tcPr>
            <w:tcW w:type="dxa" w:w="3168"/>
          </w:tcPr>
          <w:p>
            <w:r/>
            <w:r>
              <w:rPr>
                <w:b w:val="0"/>
                <w:sz w:val="16"/>
              </w:rPr>
              <w:t>TE-1406 MediaConverter 100/1000BASE-T1 H-MTD TC10</w:t>
            </w:r>
          </w:p>
        </w:tc>
        <w:tc>
          <w:tcPr>
            <w:tcW w:type="dxa" w:w="5760"/>
          </w:tcPr>
          <w:p>
            <w:r/>
            <w:r>
              <w:rPr>
                <w:b w:val="0"/>
                <w:sz w:val="16"/>
              </w:rPr>
              <w:t>Console over micro-USB-B reports TX/RX register counters, SQI values per channel and CRC errors; frame generator; IEEE test modes; TC10 wake and sleep. Web GUI available for TE-1405 and TE-1406.</w:t>
            </w:r>
          </w:p>
        </w:tc>
        <w:tc>
          <w:tcPr>
            <w:tcW w:type="dxa" w:w="5616"/>
          </w:tcPr>
          <w:p>
            <w:r/>
            <w:r>
              <w:rPr>
                <w:b w:val="0"/>
                <w:sz w:val="16"/>
              </w:rPr>
              <w:t>SQI readout is a direct, quantitative observable for PHY link-quality requirements. TC10 support covers wake and sleep tests.</w:t>
            </w:r>
          </w:p>
        </w:tc>
      </w:tr>
      <w:tr>
        <w:tc>
          <w:tcPr>
            <w:tcW w:type="dxa" w:w="3168"/>
          </w:tcPr>
          <w:p>
            <w:r/>
            <w:r>
              <w:rPr>
                <w:b w:val="0"/>
                <w:sz w:val="16"/>
              </w:rPr>
              <w:t>R&amp;S NGP824 (NGP800 family)</w:t>
            </w:r>
          </w:p>
        </w:tc>
        <w:tc>
          <w:tcPr>
            <w:tcW w:type="dxa" w:w="5760"/>
          </w:tcPr>
          <w:p>
            <w:r/>
            <w:r>
              <w:rPr>
                <w:b w:val="0"/>
                <w:sz w:val="16"/>
              </w:rPr>
              <w:t>4-channel 64 V / 10 A / 800 W. QuickArb: freely definable voltage and current sequences, minimum step 1 ms. EasyRamp: ramp up to 10 s in 1 ms steps. OVP and OCP with fuse delay and channel linking.</w:t>
            </w:r>
          </w:p>
        </w:tc>
        <w:tc>
          <w:tcPr>
            <w:tcW w:type="dxa" w:w="5616"/>
          </w:tcPr>
          <w:p>
            <w:r/>
            <w:r>
              <w:rPr>
                <w:b w:val="0"/>
                <w:color w:val="B03022"/>
                <w:sz w:val="16"/>
              </w:rPr>
              <w:t>The 1 ms QuickArb floor is the limit to watch: it is fine for rail ramps and dips, but it cannot produce a sub-millisecond glitch. EasyRamp is the clean way to find an actual OV/UV trip point.</w:t>
            </w:r>
          </w:p>
        </w:tc>
      </w:tr>
      <w:tr>
        <w:tc>
          <w:tcPr>
            <w:tcW w:type="dxa" w:w="3168"/>
          </w:tcPr>
          <w:p>
            <w:r/>
            <w:r>
              <w:rPr>
                <w:b w:val="0"/>
                <w:sz w:val="16"/>
              </w:rPr>
              <w:t>R&amp;S NGP-K103 and NGP-K107 options</w:t>
            </w:r>
          </w:p>
        </w:tc>
        <w:tc>
          <w:tcPr>
            <w:tcW w:type="dxa" w:w="5760"/>
          </w:tcPr>
          <w:p>
            <w:r/>
            <w:r>
              <w:rPr>
                <w:b w:val="0"/>
                <w:sz w:val="16"/>
              </w:rPr>
              <w:t>Digital I/O: 8 TTL trigger pins (DIO1 to DIO8) on the 16-pin rear terminal block. Analog Input: 0 to 5 V maps to 0 to Vmax or 0 to Imax per channel.</w:t>
            </w:r>
          </w:p>
        </w:tc>
        <w:tc>
          <w:tcPr>
            <w:tcW w:type="dxa" w:w="5616"/>
          </w:tcPr>
          <w:p>
            <w:r/>
            <w:r>
              <w:rPr>
                <w:b w:val="0"/>
                <w:color w:val="B03022"/>
                <w:sz w:val="16"/>
              </w:rPr>
              <w:t>Both are licence options — confirm they are fitted. The DIO pins are the natural source of the shared hardware trigger for t0. The analog input is the workaround for sub-millisecond rail modulation, driven from a function generator.</w:t>
            </w:r>
          </w:p>
        </w:tc>
      </w:tr>
      <w:tr>
        <w:tc>
          <w:tcPr>
            <w:tcW w:type="dxa" w:w="3168"/>
          </w:tcPr>
          <w:p>
            <w:r/>
            <w:r>
              <w:rPr>
                <w:b w:val="0"/>
                <w:sz w:val="16"/>
              </w:rPr>
              <w:t>Siglent SDM3065X</w:t>
            </w:r>
          </w:p>
        </w:tc>
        <w:tc>
          <w:tcPr>
            <w:tcW w:type="dxa" w:w="5760"/>
          </w:tcPr>
          <w:p>
            <w:r/>
            <w:r>
              <w:rPr>
                <w:b w:val="0"/>
                <w:sz w:val="16"/>
              </w:rPr>
              <w:t>6.5-digit bench DMM with LAN and SCPI remote control.</w:t>
            </w:r>
          </w:p>
        </w:tc>
        <w:tc>
          <w:tcPr>
            <w:tcW w:type="dxa" w:w="5616"/>
          </w:tcPr>
          <w:p>
            <w:r/>
            <w:r>
              <w:rPr>
                <w:b w:val="0"/>
                <w:sz w:val="16"/>
              </w:rPr>
              <w:t>Rail voltage verification and steady-state measurement. Not fast enough for the sub-microsecond PMIC PG / ALERT timing — that still needs the Saleae or a scope.</w:t>
            </w:r>
          </w:p>
        </w:tc>
      </w:tr>
      <w:tr>
        <w:tc>
          <w:tcPr>
            <w:tcW w:type="dxa" w:w="3168"/>
          </w:tcPr>
          <w:p>
            <w:r/>
            <w:r>
              <w:rPr>
                <w:b w:val="0"/>
                <w:sz w:val="16"/>
              </w:rPr>
              <w:t>Vötsch VT4002 / VT7004 chamber, Simpati and Simserv</w:t>
            </w:r>
          </w:p>
        </w:tc>
        <w:tc>
          <w:tcPr>
            <w:tcW w:type="dxa" w:w="5760"/>
          </w:tcPr>
          <w:p>
            <w:r/>
            <w:r>
              <w:rPr>
                <w:b w:val="0"/>
                <w:sz w:val="16"/>
              </w:rPr>
              <w:t>Temperature chamber with a documented remote-control protocol (Simserv) and a scheduling application (Simpati).</w:t>
            </w:r>
          </w:p>
        </w:tc>
        <w:tc>
          <w:tcPr>
            <w:tcW w:type="dxa" w:w="5616"/>
          </w:tcPr>
          <w:p>
            <w:r/>
            <w:r>
              <w:rPr>
                <w:b w:val="0"/>
                <w:sz w:val="16"/>
              </w:rPr>
              <w:t>Covers the temperature-dependent requirements and lets thermal profiles be scripted into the automated run. Note the chamber PDF is a scan, so it has no searchable text.</w:t>
            </w:r>
          </w:p>
        </w:tc>
      </w:tr>
      <w:tr>
        <w:tc>
          <w:tcPr>
            <w:tcW w:type="dxa" w:w="3168"/>
          </w:tcPr>
          <w:p>
            <w:r/>
            <w:r>
              <w:rPr>
                <w:b w:val="0"/>
                <w:sz w:val="16"/>
              </w:rPr>
              <w:t>iTestStudio / TestToolkit 2.2.1</w:t>
            </w:r>
          </w:p>
        </w:tc>
        <w:tc>
          <w:tcPr>
            <w:tcW w:type="dxa" w:w="5760"/>
          </w:tcPr>
          <w:p>
            <w:r/>
            <w:r>
              <w:rPr>
                <w:b w:val="0"/>
                <w:sz w:val="16"/>
              </w:rPr>
              <w:t>Test-automation IDE plus toolkit, with a self-test preview and workshop material (basic and advanced).</w:t>
            </w:r>
          </w:p>
        </w:tc>
        <w:tc>
          <w:tcPr>
            <w:tcW w:type="dxa" w:w="5616"/>
          </w:tcPr>
          <w:p>
            <w:r/>
            <w:r>
              <w:rPr>
                <w:b w:val="0"/>
                <w:sz w:val="16"/>
              </w:rPr>
              <w:t>Relevant to the automation roadmap in the Test Environment document, not to fault injection. All the Technica devices are driven by plain HTTP, so they integrate without a vendor plug-in.</w:t>
            </w:r>
          </w:p>
        </w:tc>
      </w:tr>
    </w:tbl>
    <w:p>
      <w:pPr>
        <w:spacing w:after="40"/>
      </w:pPr>
    </w:p>
    <w:p>
      <w:r>
        <w:br w:type="page"/>
      </w:r>
    </w:p>
    <w:p>
      <w:pPr>
        <w:spacing w:after="120"/>
      </w:pPr>
      <w:r>
        <w:rPr>
          <w:b/>
          <w:color w:val="1F3355"/>
          <w:sz w:val="28"/>
        </w:rPr>
        <w:t>7.  Automation — the following step</w:t>
      </w:r>
    </w:p>
    <w:p>
      <w:pPr>
        <w:spacing w:after="100"/>
      </w:pPr>
      <w:r>
        <w:rPr>
          <w:b w:val="0"/>
          <w:sz w:val="19"/>
        </w:rPr>
        <w:t>Every Technica device in the set is driven over plain HTTP: GET returns JSON or msgpack, POST takes msgpack and is used for both configuration and actions. There is no proprietary transport and no vendor library is required. The base URL is the device IP; for the TE-1190 the default is 10.104.3.192 with the rotary switch on 0, and positions 0 to E fix the IP in hardware. [Remote API v1.4 §2 p.7; TE-1190 UM §4.1.2 p.15, §5 p.19]</w:t>
      </w:r>
    </w:p>
    <w:p>
      <w:pPr>
        <w:spacing w:after="100"/>
      </w:pPr>
      <w:r>
        <w:rPr>
          <w:b w:val="0"/>
          <w:sz w:val="19"/>
        </w:rPr>
        <w:t>For the TE-1190, port coding is GMSL LINK-1 to LINK-4 = index 0 to 3, and the remoteI2C i2c_channel is the GMSL link number minus one. [Remote API v1.4 §2.2 p.7, §4.4.9 p.23]</w:t>
      </w:r>
    </w:p>
    <w:p>
      <w:pPr>
        <w:spacing w:after="60"/>
      </w:pPr>
      <w:r>
        <w:rPr>
          <w:b/>
          <w:color w:val="2E5A88"/>
          <w:sz w:val="21"/>
        </w:rPr>
        <w:t>Endpoints that matter to us</w:t>
      </w:r>
    </w:p>
    <w:tbl>
      <w:tblPr>
        <w:tblStyle w:val="TableGrid"/>
        <w:tblW w:type="auto" w:w="0"/>
        <w:tblLook w:firstColumn="1" w:firstRow="1" w:lastColumn="0" w:lastRow="0" w:noHBand="0" w:noVBand="1" w:val="04A0"/>
      </w:tblPr>
      <w:tblGrid>
        <w:gridCol w:w="3528"/>
        <w:gridCol w:w="3528"/>
        <w:gridCol w:w="3528"/>
        <w:gridCol w:w="3528"/>
      </w:tblGrid>
      <w:tr>
        <w:tc>
          <w:tcPr>
            <w:tcW w:type="dxa" w:w="4320"/>
          </w:tcPr>
          <w:p>
            <w:r/>
            <w:r>
              <w:rPr>
                <w:b/>
                <w:color w:val="1F3355"/>
                <w:sz w:val="16"/>
              </w:rPr>
              <w:t>Endpoint</w:t>
            </w:r>
          </w:p>
        </w:tc>
        <w:tc>
          <w:tcPr>
            <w:tcW w:type="dxa" w:w="2016"/>
          </w:tcPr>
          <w:p>
            <w:r/>
            <w:r>
              <w:rPr>
                <w:b/>
                <w:color w:val="1F3355"/>
                <w:sz w:val="16"/>
              </w:rPr>
              <w:t>Method</w:t>
            </w:r>
          </w:p>
        </w:tc>
        <w:tc>
          <w:tcPr>
            <w:tcW w:type="dxa" w:w="2736"/>
          </w:tcPr>
          <w:p>
            <w:r/>
            <w:r>
              <w:rPr>
                <w:b/>
                <w:color w:val="1F3355"/>
                <w:sz w:val="16"/>
              </w:rPr>
              <w:t>Device</w:t>
            </w:r>
          </w:p>
        </w:tc>
        <w:tc>
          <w:tcPr>
            <w:tcW w:type="dxa" w:w="5472"/>
          </w:tcPr>
          <w:p>
            <w:r/>
            <w:r>
              <w:rPr>
                <w:b/>
                <w:color w:val="1F3355"/>
                <w:sz w:val="16"/>
              </w:rPr>
              <w:t>Use</w:t>
            </w:r>
          </w:p>
        </w:tc>
      </w:tr>
      <w:tr>
        <w:tc>
          <w:tcPr>
            <w:tcW w:type="dxa" w:w="4320"/>
          </w:tcPr>
          <w:p>
            <w:r/>
            <w:r>
              <w:rPr>
                <w:b w:val="0"/>
                <w:sz w:val="16"/>
              </w:rPr>
              <w:t>/api/cmd/remoteI2C</w:t>
            </w:r>
          </w:p>
        </w:tc>
        <w:tc>
          <w:tcPr>
            <w:tcW w:type="dxa" w:w="2016"/>
          </w:tcPr>
          <w:p>
            <w:r/>
            <w:r>
              <w:rPr>
                <w:b w:val="0"/>
                <w:sz w:val="16"/>
              </w:rPr>
              <w:t>POST msgpack</w:t>
            </w:r>
          </w:p>
        </w:tc>
        <w:tc>
          <w:tcPr>
            <w:tcW w:type="dxa" w:w="2736"/>
          </w:tcPr>
          <w:p>
            <w:r/>
            <w:r>
              <w:rPr>
                <w:b w:val="0"/>
                <w:sz w:val="16"/>
              </w:rPr>
              <w:t>TE-1190</w:t>
            </w:r>
          </w:p>
        </w:tc>
        <w:tc>
          <w:tcPr>
            <w:tcW w:type="dxa" w:w="5472"/>
          </w:tcPr>
          <w:p>
            <w:r/>
            <w:r>
              <w:rPr>
                <w:b w:val="0"/>
                <w:sz w:val="16"/>
              </w:rPr>
              <w:t>Read or write any register on the GMSL control channel. The scripted equivalent of the Serdes Diagnostics tab.</w:t>
            </w:r>
          </w:p>
        </w:tc>
      </w:tr>
      <w:tr>
        <w:tc>
          <w:tcPr>
            <w:tcW w:type="dxa" w:w="4320"/>
          </w:tcPr>
          <w:p>
            <w:r/>
            <w:r>
              <w:rPr>
                <w:b w:val="0"/>
                <w:sz w:val="16"/>
              </w:rPr>
              <w:t>/api/port/{X}/set.msgpack</w:t>
            </w:r>
          </w:p>
        </w:tc>
        <w:tc>
          <w:tcPr>
            <w:tcW w:type="dxa" w:w="2016"/>
          </w:tcPr>
          <w:p>
            <w:r/>
            <w:r>
              <w:rPr>
                <w:b w:val="0"/>
                <w:sz w:val="16"/>
              </w:rPr>
              <w:t>POST msgpack</w:t>
            </w:r>
          </w:p>
        </w:tc>
        <w:tc>
          <w:tcPr>
            <w:tcW w:type="dxa" w:w="2736"/>
          </w:tcPr>
          <w:p>
            <w:r/>
            <w:r>
              <w:rPr>
                <w:b w:val="0"/>
                <w:sz w:val="16"/>
              </w:rPr>
              <w:t>TE-1200, TE-2000 to TE-2006</w:t>
            </w:r>
          </w:p>
        </w:tc>
        <w:tc>
          <w:tcPr>
            <w:tcW w:type="dxa" w:w="5472"/>
          </w:tcPr>
          <w:p>
            <w:r/>
            <w:r>
              <w:rPr>
                <w:b w:val="0"/>
                <w:sz w:val="16"/>
              </w:rPr>
              <w:t>Enable or disable a port; set master/slave, speed, mode. Our Ethernet link-fault injector. Not available on the TE-1190.</w:t>
            </w:r>
          </w:p>
        </w:tc>
      </w:tr>
      <w:tr>
        <w:tc>
          <w:tcPr>
            <w:tcW w:type="dxa" w:w="4320"/>
          </w:tcPr>
          <w:p>
            <w:r/>
            <w:r>
              <w:rPr>
                <w:b w:val="0"/>
                <w:sz w:val="16"/>
              </w:rPr>
              <w:t>/api/get/config.json</w:t>
            </w:r>
          </w:p>
        </w:tc>
        <w:tc>
          <w:tcPr>
            <w:tcW w:type="dxa" w:w="2016"/>
          </w:tcPr>
          <w:p>
            <w:r/>
            <w:r>
              <w:rPr>
                <w:b w:val="0"/>
                <w:sz w:val="16"/>
              </w:rPr>
              <w:t>GET</w:t>
            </w:r>
          </w:p>
        </w:tc>
        <w:tc>
          <w:tcPr>
            <w:tcW w:type="dxa" w:w="2736"/>
          </w:tcPr>
          <w:p>
            <w:r/>
            <w:r>
              <w:rPr>
                <w:b w:val="0"/>
                <w:sz w:val="16"/>
              </w:rPr>
              <w:t>all</w:t>
            </w:r>
          </w:p>
        </w:tc>
        <w:tc>
          <w:tcPr>
            <w:tcW w:type="dxa" w:w="5472"/>
          </w:tcPr>
          <w:p>
            <w:r/>
            <w:r>
              <w:rPr>
                <w:b w:val="0"/>
                <w:sz w:val="16"/>
              </w:rPr>
              <w:t>Read back the full applied configuration — use it as the precondition evidence in a TC.</w:t>
            </w:r>
          </w:p>
        </w:tc>
      </w:tr>
      <w:tr>
        <w:tc>
          <w:tcPr>
            <w:tcW w:type="dxa" w:w="4320"/>
          </w:tcPr>
          <w:p>
            <w:r/>
            <w:r>
              <w:rPr>
                <w:b w:val="0"/>
                <w:sz w:val="16"/>
              </w:rPr>
              <w:t>/api/get/status.json</w:t>
            </w:r>
          </w:p>
        </w:tc>
        <w:tc>
          <w:tcPr>
            <w:tcW w:type="dxa" w:w="2016"/>
          </w:tcPr>
          <w:p>
            <w:r/>
            <w:r>
              <w:rPr>
                <w:b w:val="0"/>
                <w:sz w:val="16"/>
              </w:rPr>
              <w:t>GET</w:t>
            </w:r>
          </w:p>
        </w:tc>
        <w:tc>
          <w:tcPr>
            <w:tcW w:type="dxa" w:w="2736"/>
          </w:tcPr>
          <w:p>
            <w:r/>
            <w:r>
              <w:rPr>
                <w:b w:val="0"/>
                <w:sz w:val="16"/>
              </w:rPr>
              <w:t>all</w:t>
            </w:r>
          </w:p>
        </w:tc>
        <w:tc>
          <w:tcPr>
            <w:tcW w:type="dxa" w:w="5472"/>
          </w:tcPr>
          <w:p>
            <w:r/>
            <w:r>
              <w:rPr>
                <w:b w:val="0"/>
                <w:sz w:val="16"/>
              </w:rPr>
              <w:t>Device and link status, including the GMSL link state.</w:t>
            </w:r>
          </w:p>
        </w:tc>
      </w:tr>
      <w:tr>
        <w:tc>
          <w:tcPr>
            <w:tcW w:type="dxa" w:w="4320"/>
          </w:tcPr>
          <w:p>
            <w:r/>
            <w:r>
              <w:rPr>
                <w:b w:val="0"/>
                <w:sz w:val="16"/>
              </w:rPr>
              <w:t>/api/action/... (cold reset, warm reset, alive, clear statistics)</w:t>
            </w:r>
          </w:p>
        </w:tc>
        <w:tc>
          <w:tcPr>
            <w:tcW w:type="dxa" w:w="2016"/>
          </w:tcPr>
          <w:p>
            <w:r/>
            <w:r>
              <w:rPr>
                <w:b w:val="0"/>
                <w:sz w:val="16"/>
              </w:rPr>
              <w:t>POST</w:t>
            </w:r>
          </w:p>
        </w:tc>
        <w:tc>
          <w:tcPr>
            <w:tcW w:type="dxa" w:w="2736"/>
          </w:tcPr>
          <w:p>
            <w:r/>
            <w:r>
              <w:rPr>
                <w:b w:val="0"/>
                <w:sz w:val="16"/>
              </w:rPr>
              <w:t>all</w:t>
            </w:r>
          </w:p>
        </w:tc>
        <w:tc>
          <w:tcPr>
            <w:tcW w:type="dxa" w:w="5472"/>
          </w:tcPr>
          <w:p>
            <w:r/>
            <w:r>
              <w:rPr>
                <w:b w:val="0"/>
                <w:sz w:val="16"/>
              </w:rPr>
              <w:t>Reset the module between test cases and clear counters at the start of a run.</w:t>
            </w:r>
          </w:p>
        </w:tc>
      </w:tr>
      <w:tr>
        <w:tc>
          <w:tcPr>
            <w:tcW w:type="dxa" w:w="4320"/>
          </w:tcPr>
          <w:p>
            <w:r/>
            <w:r>
              <w:rPr>
                <w:b w:val="0"/>
                <w:sz w:val="16"/>
              </w:rPr>
              <w:t>/api/port_segmentation/set.msgpack</w:t>
            </w:r>
          </w:p>
        </w:tc>
        <w:tc>
          <w:tcPr>
            <w:tcW w:type="dxa" w:w="2016"/>
          </w:tcPr>
          <w:p>
            <w:r/>
            <w:r>
              <w:rPr>
                <w:b w:val="0"/>
                <w:sz w:val="16"/>
              </w:rPr>
              <w:t>POST msgpack</w:t>
            </w:r>
          </w:p>
        </w:tc>
        <w:tc>
          <w:tcPr>
            <w:tcW w:type="dxa" w:w="2736"/>
          </w:tcPr>
          <w:p>
            <w:r/>
            <w:r>
              <w:rPr>
                <w:b w:val="0"/>
                <w:sz w:val="16"/>
              </w:rPr>
              <w:t>TE-2000 to TE-2006, TE-1200</w:t>
            </w:r>
          </w:p>
        </w:tc>
        <w:tc>
          <w:tcPr>
            <w:tcW w:type="dxa" w:w="5472"/>
          </w:tcPr>
          <w:p>
            <w:r/>
            <w:r>
              <w:rPr>
                <w:b w:val="0"/>
                <w:sz w:val="16"/>
              </w:rPr>
              <w:t>Isolate ports without unplugging — an alternative way to cut a path.</w:t>
            </w:r>
          </w:p>
        </w:tc>
      </w:tr>
    </w:tbl>
    <w:p>
      <w:pPr>
        <w:spacing w:after="40"/>
      </w:pPr>
    </w:p>
    <w:p>
      <w:pPr>
        <w:spacing w:after="120"/>
      </w:pPr>
      <w:r>
        <w:rPr>
          <w:b/>
          <w:color w:val="1F3355"/>
          <w:sz w:val="28"/>
        </w:rPr>
        <w:t>8.  Open points</w:t>
      </w:r>
    </w:p>
    <w:p>
      <w:pPr>
        <w:spacing w:after="80"/>
      </w:pPr>
      <w:r>
        <w:rPr>
          <w:b/>
          <w:color w:val="2E5A88"/>
          <w:sz w:val="23"/>
        </w:rPr>
        <w:t>8.1  To confirm on the hardware itself</w:t>
      </w:r>
    </w:p>
    <w:tbl>
      <w:tblPr>
        <w:tblStyle w:val="TableGrid"/>
        <w:tblW w:type="auto" w:w="0"/>
        <w:tblLook w:firstColumn="1" w:firstRow="1" w:lastColumn="0" w:lastRow="0" w:noHBand="0" w:noVBand="1" w:val="04A0"/>
      </w:tblPr>
      <w:tblGrid>
        <w:gridCol w:w="4704"/>
        <w:gridCol w:w="4704"/>
        <w:gridCol w:w="4704"/>
      </w:tblGrid>
      <w:tr>
        <w:tc>
          <w:tcPr>
            <w:tcW w:type="dxa" w:w="3888"/>
          </w:tcPr>
          <w:p>
            <w:r/>
            <w:r>
              <w:rPr>
                <w:b/>
                <w:color w:val="1F3355"/>
                <w:sz w:val="16"/>
              </w:rPr>
              <w:t>Point</w:t>
            </w:r>
          </w:p>
        </w:tc>
        <w:tc>
          <w:tcPr>
            <w:tcW w:type="dxa" w:w="6480"/>
          </w:tcPr>
          <w:p>
            <w:r/>
            <w:r>
              <w:rPr>
                <w:b/>
                <w:color w:val="1F3355"/>
                <w:sz w:val="16"/>
              </w:rPr>
              <w:t>Why it matters</w:t>
            </w:r>
          </w:p>
        </w:tc>
        <w:tc>
          <w:tcPr>
            <w:tcW w:type="dxa" w:w="4176"/>
          </w:tcPr>
          <w:p>
            <w:r/>
            <w:r>
              <w:rPr>
                <w:b/>
                <w:color w:val="1F3355"/>
                <w:sz w:val="16"/>
              </w:rPr>
              <w:t>How to check</w:t>
            </w:r>
          </w:p>
        </w:tc>
      </w:tr>
      <w:tr>
        <w:tc>
          <w:tcPr>
            <w:tcW w:type="dxa" w:w="3888"/>
          </w:tcPr>
          <w:p>
            <w:r/>
            <w:r>
              <w:rPr>
                <w:b/>
                <w:sz w:val="16"/>
              </w:rPr>
              <w:t>Which TE-1190 hardware version do we have?</w:t>
            </w:r>
          </w:p>
        </w:tc>
        <w:tc>
          <w:tcPr>
            <w:tcW w:type="dxa" w:w="6480"/>
          </w:tcPr>
          <w:p>
            <w:r/>
            <w:r>
              <w:rPr>
                <w:b w:val="0"/>
                <w:sz w:val="16"/>
              </w:rPr>
              <w:t>PoC injection needs HW v2.1 or later. Injection from an external or configurable internal source needs v3.0. Remote API v1.4 lists TE-1190 support only up to HW v2.2 / FW R.010.002, and the user manual v1.8 is written against FW v010.006.</w:t>
            </w:r>
          </w:p>
        </w:tc>
        <w:tc>
          <w:tcPr>
            <w:tcW w:type="dxa" w:w="4176"/>
          </w:tcPr>
          <w:p>
            <w:r/>
            <w:r>
              <w:rPr>
                <w:b w:val="0"/>
                <w:sz w:val="16"/>
              </w:rPr>
              <w:t>Label on the bottom of the device [UM §4 p.12], then the System Information tab for the firmware version.</w:t>
            </w:r>
          </w:p>
        </w:tc>
      </w:tr>
      <w:tr>
        <w:tc>
          <w:tcPr>
            <w:tcW w:type="dxa" w:w="3888"/>
          </w:tcPr>
          <w:p>
            <w:r/>
            <w:r>
              <w:rPr>
                <w:b w:val="0"/>
                <w:sz w:val="16"/>
              </w:rPr>
              <w:t>Is the Advanced Feature Package (TE-1190-AF) licensed?</w:t>
            </w:r>
          </w:p>
        </w:tc>
        <w:tc>
          <w:tcPr>
            <w:tcW w:type="dxa" w:w="6480"/>
          </w:tcPr>
          <w:p>
            <w:r/>
            <w:r>
              <w:rPr>
                <w:b w:val="0"/>
                <w:sz w:val="16"/>
              </w:rPr>
              <w:t>It only carries Remote Clock Synchronization and MIPI Datatype Overwrite. Everything we need for fault injection and capture is in Core, so the answer is most likely that we do not need it.</w:t>
            </w:r>
          </w:p>
        </w:tc>
        <w:tc>
          <w:tcPr>
            <w:tcW w:type="dxa" w:w="4176"/>
          </w:tcPr>
          <w:p>
            <w:r/>
            <w:r>
              <w:rPr>
                <w:b w:val="0"/>
                <w:sz w:val="16"/>
              </w:rPr>
              <w:t>License information section of the System Information tab [UM §5.3.1 p.36].</w:t>
            </w:r>
          </w:p>
        </w:tc>
      </w:tr>
      <w:tr>
        <w:tc>
          <w:tcPr>
            <w:tcW w:type="dxa" w:w="3888"/>
          </w:tcPr>
          <w:p>
            <w:r/>
            <w:r>
              <w:rPr>
                <w:b w:val="0"/>
                <w:sz w:val="16"/>
              </w:rPr>
              <w:t>Are the NGP-K103 (Digital I/O) and NGP-K107 (Analog Input) options fitted on the NGP824?</w:t>
            </w:r>
          </w:p>
        </w:tc>
        <w:tc>
          <w:tcPr>
            <w:tcW w:type="dxa" w:w="6480"/>
          </w:tcPr>
          <w:p>
            <w:r/>
            <w:r>
              <w:rPr>
                <w:b w:val="0"/>
                <w:sz w:val="16"/>
              </w:rPr>
              <w:t>The DIO pins are the intended source of the shared hardware trigger; the analog input is the only route to sub-millisecond rail modulation.</w:t>
            </w:r>
          </w:p>
        </w:tc>
        <w:tc>
          <w:tcPr>
            <w:tcW w:type="dxa" w:w="4176"/>
          </w:tcPr>
          <w:p>
            <w:r/>
            <w:r>
              <w:rPr>
                <w:b w:val="0"/>
                <w:sz w:val="16"/>
              </w:rPr>
              <w:t>Rear-panel 16-pin terminal block and the instrument option list.</w:t>
            </w:r>
          </w:p>
        </w:tc>
      </w:tr>
    </w:tbl>
    <w:p>
      <w:pPr>
        <w:spacing w:after="40"/>
      </w:pPr>
    </w:p>
    <w:p>
      <w:pPr>
        <w:spacing w:after="80"/>
      </w:pPr>
      <w:r>
        <w:rPr>
          <w:b/>
          <w:color w:val="2E5A88"/>
          <w:sz w:val="23"/>
        </w:rPr>
        <w:t>8.2  To ask Technica</w:t>
      </w:r>
    </w:p>
    <w:tbl>
      <w:tblPr>
        <w:tblStyle w:val="TableGrid"/>
        <w:tblW w:type="auto" w:w="0"/>
        <w:tblLook w:firstColumn="1" w:firstRow="1" w:lastColumn="0" w:lastRow="0" w:noHBand="0" w:noVBand="1" w:val="04A0"/>
      </w:tblPr>
      <w:tblGrid>
        <w:gridCol w:w="7056"/>
        <w:gridCol w:w="7056"/>
      </w:tblGrid>
      <w:tr>
        <w:tc>
          <w:tcPr>
            <w:tcW w:type="dxa" w:w="5184"/>
          </w:tcPr>
          <w:p>
            <w:r/>
            <w:r>
              <w:rPr>
                <w:b/>
                <w:color w:val="1F3355"/>
                <w:sz w:val="16"/>
              </w:rPr>
              <w:t>Question</w:t>
            </w:r>
          </w:p>
        </w:tc>
        <w:tc>
          <w:tcPr>
            <w:tcW w:type="dxa" w:w="9360"/>
          </w:tcPr>
          <w:p>
            <w:r/>
            <w:r>
              <w:rPr>
                <w:b/>
                <w:color w:val="1F3355"/>
                <w:sz w:val="16"/>
              </w:rPr>
              <w:t>Why we need the answer</w:t>
            </w:r>
          </w:p>
        </w:tc>
      </w:tr>
      <w:tr>
        <w:tc>
          <w:tcPr>
            <w:tcW w:type="dxa" w:w="5184"/>
          </w:tcPr>
          <w:p>
            <w:r/>
            <w:r>
              <w:rPr>
                <w:b/>
                <w:sz w:val="16"/>
              </w:rPr>
              <w:t>What is the forwarding latency through the module, camera port to ECU port?</w:t>
            </w:r>
          </w:p>
        </w:tc>
        <w:tc>
          <w:tcPr>
            <w:tcW w:type="dxa" w:w="9360"/>
          </w:tcPr>
          <w:p>
            <w:r/>
            <w:r>
              <w:rPr>
                <w:b w:val="0"/>
                <w:sz w:val="16"/>
              </w:rPr>
              <w:t>It is not stated anywhere in the datasheet or the user manual. It sits inside any FTTI interval measured with t0 on the camera side. If the figure is not published, we take t0 on the ECU side and accept the reduced scope.</w:t>
            </w:r>
          </w:p>
        </w:tc>
      </w:tr>
      <w:tr>
        <w:tc>
          <w:tcPr>
            <w:tcW w:type="dxa" w:w="5184"/>
          </w:tcPr>
          <w:p>
            <w:r/>
            <w:r>
              <w:rPr>
                <w:b/>
                <w:sz w:val="16"/>
              </w:rPr>
              <w:t>Does remoteI2C support 16-bit register addresses?</w:t>
            </w:r>
          </w:p>
        </w:tc>
        <w:tc>
          <w:tcPr>
            <w:tcW w:type="dxa" w:w="9360"/>
          </w:tcPr>
          <w:p>
            <w:r/>
            <w:r>
              <w:rPr>
                <w:b w:val="0"/>
                <w:sz w:val="16"/>
              </w:rPr>
              <w:t>The MAX96714 and MAX96717 use 16-bit register addressing. The API example uses i2c_register_addr = 16 with no width stated [Remote API v1.4 §4.4.9 p.23]. If it is 8-bit only, the endpoint cannot reach most of the register map and we fall back to the web tab.</w:t>
            </w:r>
          </w:p>
        </w:tc>
      </w:tr>
      <w:tr>
        <w:tc>
          <w:tcPr>
            <w:tcW w:type="dxa" w:w="5184"/>
          </w:tcPr>
          <w:p>
            <w:r/>
            <w:r>
              <w:rPr>
                <w:b/>
                <w:sz w:val="16"/>
              </w:rPr>
              <w:t>Can PoC be switched off and on at runtime through the API?</w:t>
            </w:r>
          </w:p>
        </w:tc>
        <w:tc>
          <w:tcPr>
            <w:tcW w:type="dxa" w:w="9360"/>
          </w:tcPr>
          <w:p>
            <w:r/>
            <w:r>
              <w:rPr>
                <w:b w:val="0"/>
                <w:sz w:val="16"/>
              </w:rPr>
              <w:t>The web page setting is applied only after Save and Apply plus a restart [UM §5 p.20], and Remote API v1.4 has no PoC endpoint. A power-cycle-recovery test needs runtime control. If not, the Solectrix unit remains the primary route.</w:t>
            </w:r>
          </w:p>
        </w:tc>
      </w:tr>
      <w:tr>
        <w:tc>
          <w:tcPr>
            <w:tcW w:type="dxa" w:w="5184"/>
          </w:tcPr>
          <w:p>
            <w:r/>
            <w:r>
              <w:rPr>
                <w:b w:val="0"/>
                <w:sz w:val="16"/>
              </w:rPr>
              <w:t>Can MFP forcing (Low / High / High-Z / Bridge) be changed at runtime through the API, or does it also need a restart?</w:t>
            </w:r>
          </w:p>
        </w:tc>
        <w:tc>
          <w:tcPr>
            <w:tcW w:type="dxa" w:w="9360"/>
          </w:tcPr>
          <w:p>
            <w:r/>
            <w:r>
              <w:rPr>
                <w:b w:val="0"/>
                <w:sz w:val="16"/>
              </w:rPr>
              <w:t>Same reason. If it needs a restart it is a preconditioning tool rather than a fault-injection tool.</w:t>
            </w:r>
          </w:p>
        </w:tc>
      </w:tr>
      <w:tr>
        <w:tc>
          <w:tcPr>
            <w:tcW w:type="dxa" w:w="5184"/>
          </w:tcPr>
          <w:p>
            <w:r/>
            <w:r>
              <w:rPr>
                <w:b w:val="0"/>
                <w:sz w:val="16"/>
              </w:rPr>
              <w:t>Is the 600 mA PoC ceiling sufficient for the SOW1 camera head?</w:t>
            </w:r>
          </w:p>
        </w:tc>
        <w:tc>
          <w:tcPr>
            <w:tcW w:type="dxa" w:w="9360"/>
          </w:tcPr>
          <w:p>
            <w:r/>
            <w:r>
              <w:rPr>
                <w:b w:val="0"/>
                <w:sz w:val="16"/>
              </w:rPr>
              <w:t>If the camera draws more, PoC must be bypassed and injected elsewhere.</w:t>
            </w:r>
          </w:p>
        </w:tc>
      </w:tr>
      <w:tr>
        <w:tc>
          <w:tcPr>
            <w:tcW w:type="dxa" w:w="5184"/>
          </w:tcPr>
          <w:p>
            <w:r/>
            <w:r>
              <w:rPr>
                <w:b w:val="0"/>
                <w:sz w:val="16"/>
              </w:rPr>
              <w:t>Does the module forward the CSI-2 payload bit-exact with compression disabled?</w:t>
            </w:r>
          </w:p>
        </w:tc>
        <w:tc>
          <w:tcPr>
            <w:tcW w:type="dxa" w:w="9360"/>
          </w:tcPr>
          <w:p>
            <w:r/>
            <w:r>
              <w:rPr>
                <w:b w:val="0"/>
                <w:sz w:val="16"/>
              </w:rPr>
              <w:t>This decides whether the imager-to-deserializer end-to-end CRC (SM20) can be tested with the module in the path at all.</w:t>
            </w:r>
          </w:p>
        </w:tc>
      </w:tr>
    </w:tbl>
    <w:p>
      <w:pPr>
        <w:spacing w:after="40"/>
      </w:pP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