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drawing>
          <wp:inline distT="0" distB="0" distL="0" distR="0">
            <wp:extent cx="18097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962150"/>
                    </a:xfrm>
                    <a:prstGeom prst="rect">
                      <a:avLst/>
                    </a:prstGeom>
                  </pic:spPr>
                </pic:pic>
              </a:graphicData>
            </a:graphic>
          </wp:inline>
        </w:drawing>
      </w:r>
    </w:p>
    <w:p>
      <w:pPr>
        <w:spacing w:before="500"/>
        <w:jc w:val="center"/>
      </w:pPr>
      <w:r>
        <w:rPr>
          <w:b/>
          <w:bCs/>
          <w:color w:val="1B1B1F"/>
          <w:sz w:val="72"/>
          <w:szCs w:val="72"/>
        </w:rPr>
        <w:t xml:space="preserve">TERMS</w:t>
      </w:r>
    </w:p>
    <w:p>
      <w:pPr>
        <w:spacing w:after="400" w:before="100"/>
        <w:jc w:val="center"/>
      </w:pPr>
      <w:r>
        <w:rPr>
          <w:b/>
          <w:bCs/>
          <w:color w:val="7C3AED"/>
          <w:spacing w:val="20"/>
          <w:sz w:val="28"/>
          <w:szCs w:val="28"/>
        </w:rPr>
        <w:t xml:space="preserve">AI LEGAL DOCUMENT ASSISTANT</w:t>
      </w:r>
    </w:p>
    <w:p>
      <w:pPr>
        <w:pBdr>
          <w:top w:val="single" w:color="D9D9E3" w:sz="4" w:space="8"/>
        </w:pBdr>
        <w:spacing w:before="200"/>
        <w:jc w:val="center"/>
      </w:pPr>
    </w:p>
    <w:p>
      <w:pPr>
        <w:spacing w:before="300"/>
        <w:jc w:val="center"/>
      </w:pPr>
      <w:r>
        <w:rPr>
          <w:i/>
          <w:iCs/>
          <w:color w:val="5B5B66"/>
          <w:sz w:val="24"/>
          <w:szCs w:val="24"/>
        </w:rPr>
        <w:t xml:space="preserve">The Technology Stack — Every Tool, and Why It Was the Right Choice</w:t>
      </w:r>
    </w:p>
    <w:p>
      <w:pPr>
        <w:spacing w:before="1400"/>
        <w:jc w:val="center"/>
      </w:pPr>
      <w:r>
        <w:rPr>
          <w:color w:val="5B5B66"/>
          <w:sz w:val="20"/>
          <w:szCs w:val="20"/>
        </w:rPr>
        <w:t xml:space="preserve">A technical companion to the project documentation, covering the reasoning</w:t>
      </w:r>
    </w:p>
    <w:p>
      <w:pPr>
        <w:jc w:val="center"/>
      </w:pPr>
      <w:r>
        <w:rPr>
          <w:color w:val="5B5B66"/>
          <w:sz w:val="20"/>
          <w:szCs w:val="20"/>
        </w:rPr>
        <w:t xml:space="preserve">behind every framework, model, and library in the stack.</w:t>
      </w:r>
    </w:p>
    <w:p>
      <w:pPr>
        <w:spacing w:before="900"/>
        <w:jc w:val="center"/>
      </w:pPr>
      <w:r>
        <w:rPr>
          <w:b/>
          <w:bCs/>
          <w:color w:val="1B1B1F"/>
          <w:sz w:val="22"/>
          <w:szCs w:val="22"/>
        </w:rPr>
        <w:t xml:space="preserve">Prepared by</w:t>
      </w:r>
    </w:p>
    <w:p>
      <w:pPr>
        <w:spacing w:before="160"/>
        <w:jc w:val="center"/>
      </w:pPr>
      <w:r>
        <w:rPr>
          <w:color w:val="5B5B66"/>
          <w:sz w:val="21"/>
          <w:szCs w:val="21"/>
        </w:rPr>
        <w:t xml:space="preserve">Abdallah Mohamed Abdelzaher</w:t>
      </w:r>
    </w:p>
    <w:p>
      <w:pPr>
        <w:spacing w:before="60"/>
        <w:jc w:val="center"/>
      </w:pPr>
      <w:r>
        <w:rPr>
          <w:color w:val="5B5B66"/>
          <w:sz w:val="21"/>
          <w:szCs w:val="21"/>
        </w:rPr>
        <w:t xml:space="preserve">Farida Mohamed Abdelaziz</w:t>
      </w:r>
    </w:p>
    <w:p>
      <w:pPr>
        <w:spacing w:before="60"/>
        <w:jc w:val="center"/>
      </w:pPr>
      <w:r>
        <w:rPr>
          <w:color w:val="5B5B66"/>
          <w:sz w:val="21"/>
          <w:szCs w:val="21"/>
        </w:rPr>
        <w:t xml:space="preserve">Michael Medhat Yacoup</w:t>
      </w:r>
    </w:p>
    <w:p>
      <w:pPr>
        <w:spacing w:before="60"/>
        <w:jc w:val="center"/>
      </w:pPr>
      <w:r>
        <w:rPr>
          <w:color w:val="5B5B66"/>
          <w:sz w:val="21"/>
          <w:szCs w:val="21"/>
        </w:rPr>
        <w:t xml:space="preserve">Bouthina Mohamed Abdelwahab</w:t>
      </w:r>
    </w:p>
    <w:p>
      <w:pPr>
        <w:spacing w:before="60"/>
        <w:jc w:val="center"/>
      </w:pPr>
      <w:r>
        <w:rPr>
          <w:color w:val="5B5B66"/>
          <w:sz w:val="21"/>
          <w:szCs w:val="21"/>
        </w:rPr>
        <w:t xml:space="preserve">Abdelrahman Eslam Omar</w:t>
      </w:r>
    </w:p>
    <w:p>
      <w:pPr>
        <w:sectPr>
          <w:pgSz w:w="12240" w:h="15840" w:orient="portrait"/>
          <w:pgMar w:top="1440" w:right="1440" w:bottom="1440" w:left="1440" w:header="708" w:footer="708" w:gutter="0"/>
          <w:pgNumType/>
          <w:docGrid w:linePitch="360"/>
        </w:sectPr>
      </w:pPr>
    </w:p>
    <w:p>
      <w:pPr>
        <w:pStyle w:val="Heading1"/>
        <w:spacing w:after="200" w:before="480"/>
      </w:pPr>
      <w:r>
        <w:rPr>
          <w:b/>
          <w:bCs/>
        </w:rPr>
        <w:t xml:space="preserve">Contents</w:t>
      </w:r>
    </w:p>
    <w:p>
      <w:pPr>
        <w:tabs>
          <w:tab w:val="right" w:pos="9360" w:leader="dot"/>
        </w:tabs>
        <w:spacing w:after="140"/>
        <w:ind w:left="0"/>
      </w:pPr>
      <w:r>
        <w:rPr>
          <w:b/>
          <w:bCs/>
          <w:color w:val="1B1B1F"/>
          <w:sz w:val="24"/>
          <w:szCs w:val="24"/>
        </w:rPr>
        <w:t xml:space="preserve">1. Introduction</w:t>
      </w:r>
      <w:r>
        <w:rPr>
          <w:b/>
          <w:bCs/>
          <w:color w:val="1B1B1F"/>
          <w:sz w:val="24"/>
          <w:szCs w:val="24"/>
        </w:rPr>
        <w:ptab w:alignment="right" w:relativeTo="margin" w:leader="dot"/>
      </w:r>
      <w:r>
        <w:rPr>
          <w:b/>
          <w:bCs/>
          <w:color w:val="1B1B1F"/>
          <w:sz w:val="24"/>
          <w:szCs w:val="24"/>
        </w:rPr>
        <w:t xml:space="preserve">3</w:t>
      </w:r>
    </w:p>
    <w:p>
      <w:pPr>
        <w:tabs>
          <w:tab w:val="right" w:pos="9360" w:leader="dot"/>
        </w:tabs>
        <w:spacing w:after="90"/>
        <w:ind w:left="431"/>
      </w:pPr>
      <w:r>
        <w:rPr>
          <w:b w:val="false"/>
          <w:bCs w:val="false"/>
          <w:color w:val="5B5B66"/>
          <w:sz w:val="21"/>
          <w:szCs w:val="21"/>
        </w:rPr>
        <w:t xml:space="preserve">1.1 Motivation</w:t>
      </w:r>
      <w:r>
        <w:rPr>
          <w:b w:val="false"/>
          <w:bCs w:val="false"/>
          <w:color w:val="5B5B66"/>
          <w:sz w:val="21"/>
          <w:szCs w:val="21"/>
        </w:rPr>
        <w:ptab w:alignment="right" w:relativeTo="margin" w:leader="dot"/>
      </w:r>
      <w:r>
        <w:rPr>
          <w:b w:val="false"/>
          <w:bCs w:val="false"/>
          <w:color w:val="5B5B66"/>
          <w:sz w:val="21"/>
          <w:szCs w:val="21"/>
        </w:rPr>
        <w:t xml:space="preserve">3</w:t>
      </w:r>
    </w:p>
    <w:p>
      <w:pPr>
        <w:tabs>
          <w:tab w:val="right" w:pos="9360" w:leader="dot"/>
        </w:tabs>
        <w:spacing w:after="90"/>
        <w:ind w:left="431"/>
      </w:pPr>
      <w:r>
        <w:rPr>
          <w:b w:val="false"/>
          <w:bCs w:val="false"/>
          <w:color w:val="5B5B66"/>
          <w:sz w:val="21"/>
          <w:szCs w:val="21"/>
        </w:rPr>
        <w:t xml:space="preserve">1.2 Problem Statement</w:t>
      </w:r>
      <w:r>
        <w:rPr>
          <w:b w:val="false"/>
          <w:bCs w:val="false"/>
          <w:color w:val="5B5B66"/>
          <w:sz w:val="21"/>
          <w:szCs w:val="21"/>
        </w:rPr>
        <w:ptab w:alignment="right" w:relativeTo="margin" w:leader="dot"/>
      </w:r>
      <w:r>
        <w:rPr>
          <w:b w:val="false"/>
          <w:bCs w:val="false"/>
          <w:color w:val="5B5B66"/>
          <w:sz w:val="21"/>
          <w:szCs w:val="21"/>
        </w:rPr>
        <w:t xml:space="preserve">3</w:t>
      </w:r>
    </w:p>
    <w:p>
      <w:pPr>
        <w:tabs>
          <w:tab w:val="right" w:pos="9360" w:leader="dot"/>
        </w:tabs>
        <w:spacing w:after="90"/>
        <w:ind w:left="431"/>
      </w:pPr>
      <w:r>
        <w:rPr>
          <w:b w:val="false"/>
          <w:bCs w:val="false"/>
          <w:color w:val="5B5B66"/>
          <w:sz w:val="21"/>
          <w:szCs w:val="21"/>
        </w:rPr>
        <w:t xml:space="preserve">1.3 Goals</w:t>
      </w:r>
      <w:r>
        <w:rPr>
          <w:b w:val="false"/>
          <w:bCs w:val="false"/>
          <w:color w:val="5B5B66"/>
          <w:sz w:val="21"/>
          <w:szCs w:val="21"/>
        </w:rPr>
        <w:ptab w:alignment="right" w:relativeTo="margin" w:leader="dot"/>
      </w:r>
      <w:r>
        <w:rPr>
          <w:b w:val="false"/>
          <w:bCs w:val="false"/>
          <w:color w:val="5B5B66"/>
          <w:sz w:val="21"/>
          <w:szCs w:val="21"/>
        </w:rPr>
        <w:t xml:space="preserve">3</w:t>
      </w:r>
    </w:p>
    <w:p>
      <w:pPr>
        <w:tabs>
          <w:tab w:val="right" w:pos="9360" w:leader="dot"/>
        </w:tabs>
        <w:spacing w:after="90"/>
        <w:ind w:left="431"/>
      </w:pPr>
      <w:r>
        <w:rPr>
          <w:b w:val="false"/>
          <w:bCs w:val="false"/>
          <w:color w:val="5B5B66"/>
          <w:sz w:val="21"/>
          <w:szCs w:val="21"/>
        </w:rPr>
        <w:t xml:space="preserve">1.4 Solution Overview</w:t>
      </w:r>
      <w:r>
        <w:rPr>
          <w:b w:val="false"/>
          <w:bCs w:val="false"/>
          <w:color w:val="5B5B66"/>
          <w:sz w:val="21"/>
          <w:szCs w:val="21"/>
        </w:rPr>
        <w:ptab w:alignment="right" w:relativeTo="margin" w:leader="dot"/>
      </w:r>
      <w:r>
        <w:rPr>
          <w:b w:val="false"/>
          <w:bCs w:val="false"/>
          <w:color w:val="5B5B66"/>
          <w:sz w:val="21"/>
          <w:szCs w:val="21"/>
        </w:rPr>
        <w:t xml:space="preserve">4</w:t>
      </w:r>
    </w:p>
    <w:p>
      <w:pPr>
        <w:tabs>
          <w:tab w:val="right" w:pos="9360" w:leader="dot"/>
        </w:tabs>
        <w:spacing w:after="140"/>
        <w:ind w:left="0"/>
      </w:pPr>
      <w:r>
        <w:rPr>
          <w:b/>
          <w:bCs/>
          <w:color w:val="1B1B1F"/>
          <w:sz w:val="24"/>
          <w:szCs w:val="24"/>
        </w:rPr>
        <w:t xml:space="preserve">2. System Architecture</w:t>
      </w:r>
      <w:r>
        <w:rPr>
          <w:b/>
          <w:bCs/>
          <w:color w:val="1B1B1F"/>
          <w:sz w:val="24"/>
          <w:szCs w:val="24"/>
        </w:rPr>
        <w:ptab w:alignment="right" w:relativeTo="margin" w:leader="dot"/>
      </w:r>
      <w:r>
        <w:rPr>
          <w:b/>
          <w:bCs/>
          <w:color w:val="1B1B1F"/>
          <w:sz w:val="24"/>
          <w:szCs w:val="24"/>
        </w:rPr>
        <w:t xml:space="preserve">5</w:t>
      </w:r>
    </w:p>
    <w:p>
      <w:pPr>
        <w:tabs>
          <w:tab w:val="right" w:pos="9360" w:leader="dot"/>
        </w:tabs>
        <w:spacing w:after="140"/>
        <w:ind w:left="0"/>
      </w:pPr>
      <w:r>
        <w:rPr>
          <w:b/>
          <w:bCs/>
          <w:color w:val="1B1B1F"/>
          <w:sz w:val="24"/>
          <w:szCs w:val="24"/>
        </w:rPr>
        <w:t xml:space="preserve">3. Tools and Technologies</w:t>
      </w:r>
      <w:r>
        <w:rPr>
          <w:b/>
          <w:bCs/>
          <w:color w:val="1B1B1F"/>
          <w:sz w:val="24"/>
          <w:szCs w:val="24"/>
        </w:rPr>
        <w:ptab w:alignment="right" w:relativeTo="margin" w:leader="dot"/>
      </w:r>
      <w:r>
        <w:rPr>
          <w:b/>
          <w:bCs/>
          <w:color w:val="1B1B1F"/>
          <w:sz w:val="24"/>
          <w:szCs w:val="24"/>
        </w:rPr>
        <w:t xml:space="preserve">6</w:t>
      </w:r>
    </w:p>
    <w:p>
      <w:pPr>
        <w:tabs>
          <w:tab w:val="right" w:pos="9360" w:leader="dot"/>
        </w:tabs>
        <w:spacing w:after="90"/>
        <w:ind w:left="431"/>
      </w:pPr>
      <w:r>
        <w:rPr>
          <w:b w:val="false"/>
          <w:bCs w:val="false"/>
          <w:color w:val="5B5B66"/>
          <w:sz w:val="21"/>
          <w:szCs w:val="21"/>
        </w:rPr>
        <w:t xml:space="preserve">3.1 API &amp; Web Framework</w:t>
      </w:r>
      <w:r>
        <w:rPr>
          <w:b w:val="false"/>
          <w:bCs w:val="false"/>
          <w:color w:val="5B5B66"/>
          <w:sz w:val="21"/>
          <w:szCs w:val="21"/>
        </w:rPr>
        <w:ptab w:alignment="right" w:relativeTo="margin" w:leader="dot"/>
      </w:r>
      <w:r>
        <w:rPr>
          <w:b w:val="false"/>
          <w:bCs w:val="false"/>
          <w:color w:val="5B5B66"/>
          <w:sz w:val="21"/>
          <w:szCs w:val="21"/>
        </w:rPr>
        <w:t xml:space="preserve">6</w:t>
      </w:r>
    </w:p>
    <w:p>
      <w:pPr>
        <w:tabs>
          <w:tab w:val="right" w:pos="9360" w:leader="dot"/>
        </w:tabs>
        <w:spacing w:after="90"/>
        <w:ind w:left="431"/>
      </w:pPr>
      <w:r>
        <w:rPr>
          <w:b w:val="false"/>
          <w:bCs w:val="false"/>
          <w:color w:val="5B5B66"/>
          <w:sz w:val="21"/>
          <w:szCs w:val="21"/>
        </w:rPr>
        <w:t xml:space="preserve">3.2 Orchestration</w:t>
      </w:r>
      <w:r>
        <w:rPr>
          <w:b w:val="false"/>
          <w:bCs w:val="false"/>
          <w:color w:val="5B5B66"/>
          <w:sz w:val="21"/>
          <w:szCs w:val="21"/>
        </w:rPr>
        <w:ptab w:alignment="right" w:relativeTo="margin" w:leader="dot"/>
      </w:r>
      <w:r>
        <w:rPr>
          <w:b w:val="false"/>
          <w:bCs w:val="false"/>
          <w:color w:val="5B5B66"/>
          <w:sz w:val="21"/>
          <w:szCs w:val="21"/>
        </w:rPr>
        <w:t xml:space="preserve">7</w:t>
      </w:r>
    </w:p>
    <w:p>
      <w:pPr>
        <w:tabs>
          <w:tab w:val="right" w:pos="9360" w:leader="dot"/>
        </w:tabs>
        <w:spacing w:after="90"/>
        <w:ind w:left="431"/>
      </w:pPr>
      <w:r>
        <w:rPr>
          <w:b w:val="false"/>
          <w:bCs w:val="false"/>
          <w:color w:val="5B5B66"/>
          <w:sz w:val="21"/>
          <w:szCs w:val="21"/>
        </w:rPr>
        <w:t xml:space="preserve">3.3 Large Language Model</w:t>
      </w:r>
      <w:r>
        <w:rPr>
          <w:b w:val="false"/>
          <w:bCs w:val="false"/>
          <w:color w:val="5B5B66"/>
          <w:sz w:val="21"/>
          <w:szCs w:val="21"/>
        </w:rPr>
        <w:ptab w:alignment="right" w:relativeTo="margin" w:leader="dot"/>
      </w:r>
      <w:r>
        <w:rPr>
          <w:b w:val="false"/>
          <w:bCs w:val="false"/>
          <w:color w:val="5B5B66"/>
          <w:sz w:val="21"/>
          <w:szCs w:val="21"/>
        </w:rPr>
        <w:t xml:space="preserve">7</w:t>
      </w:r>
    </w:p>
    <w:p>
      <w:pPr>
        <w:tabs>
          <w:tab w:val="right" w:pos="9360" w:leader="dot"/>
        </w:tabs>
        <w:spacing w:after="90"/>
        <w:ind w:left="431"/>
      </w:pPr>
      <w:r>
        <w:rPr>
          <w:b w:val="false"/>
          <w:bCs w:val="false"/>
          <w:color w:val="5B5B66"/>
          <w:sz w:val="21"/>
          <w:szCs w:val="21"/>
        </w:rPr>
        <w:t xml:space="preserve">3.4 Document Parsing &amp; Input Handling</w:t>
      </w:r>
      <w:r>
        <w:rPr>
          <w:b w:val="false"/>
          <w:bCs w:val="false"/>
          <w:color w:val="5B5B66"/>
          <w:sz w:val="21"/>
          <w:szCs w:val="21"/>
        </w:rPr>
        <w:ptab w:alignment="right" w:relativeTo="margin" w:leader="dot"/>
      </w:r>
      <w:r>
        <w:rPr>
          <w:b w:val="false"/>
          <w:bCs w:val="false"/>
          <w:color w:val="5B5B66"/>
          <w:sz w:val="21"/>
          <w:szCs w:val="21"/>
        </w:rPr>
        <w:t xml:space="preserve">7</w:t>
      </w:r>
    </w:p>
    <w:p>
      <w:pPr>
        <w:tabs>
          <w:tab w:val="right" w:pos="9360" w:leader="dot"/>
        </w:tabs>
        <w:spacing w:after="90"/>
        <w:ind w:left="431"/>
      </w:pPr>
      <w:r>
        <w:rPr>
          <w:b w:val="false"/>
          <w:bCs w:val="false"/>
          <w:color w:val="5B5B66"/>
          <w:sz w:val="21"/>
          <w:szCs w:val="21"/>
        </w:rPr>
        <w:t xml:space="preserve">3.5 Retrieval-Augmented Generation (RAG)</w:t>
      </w:r>
      <w:r>
        <w:rPr>
          <w:b w:val="false"/>
          <w:bCs w:val="false"/>
          <w:color w:val="5B5B66"/>
          <w:sz w:val="21"/>
          <w:szCs w:val="21"/>
        </w:rPr>
        <w:ptab w:alignment="right" w:relativeTo="margin" w:leader="dot"/>
      </w:r>
      <w:r>
        <w:rPr>
          <w:b w:val="false"/>
          <w:bCs w:val="false"/>
          <w:color w:val="5B5B66"/>
          <w:sz w:val="21"/>
          <w:szCs w:val="21"/>
        </w:rPr>
        <w:t xml:space="preserve">8</w:t>
      </w:r>
    </w:p>
    <w:p>
      <w:pPr>
        <w:tabs>
          <w:tab w:val="right" w:pos="9360" w:leader="dot"/>
        </w:tabs>
        <w:spacing w:after="90"/>
        <w:ind w:left="431"/>
      </w:pPr>
      <w:r>
        <w:rPr>
          <w:b w:val="false"/>
          <w:bCs w:val="false"/>
          <w:color w:val="5B5B66"/>
          <w:sz w:val="21"/>
          <w:szCs w:val="21"/>
        </w:rPr>
        <w:t xml:space="preserve">3.6 Legal AI &amp; NLP</w:t>
      </w:r>
      <w:r>
        <w:rPr>
          <w:b w:val="false"/>
          <w:bCs w:val="false"/>
          <w:color w:val="5B5B66"/>
          <w:sz w:val="21"/>
          <w:szCs w:val="21"/>
        </w:rPr>
        <w:ptab w:alignment="right" w:relativeTo="margin" w:leader="dot"/>
      </w:r>
      <w:r>
        <w:rPr>
          <w:b w:val="false"/>
          <w:bCs w:val="false"/>
          <w:color w:val="5B5B66"/>
          <w:sz w:val="21"/>
          <w:szCs w:val="21"/>
        </w:rPr>
        <w:t xml:space="preserve">10</w:t>
      </w:r>
    </w:p>
    <w:p>
      <w:pPr>
        <w:tabs>
          <w:tab w:val="right" w:pos="9360" w:leader="dot"/>
        </w:tabs>
        <w:spacing w:after="90"/>
        <w:ind w:left="431"/>
      </w:pPr>
      <w:r>
        <w:rPr>
          <w:b w:val="false"/>
          <w:bCs w:val="false"/>
          <w:color w:val="5B5B66"/>
          <w:sz w:val="21"/>
          <w:szCs w:val="21"/>
        </w:rPr>
        <w:t xml:space="preserve">3.7 Authentication &amp; Security</w:t>
      </w:r>
      <w:r>
        <w:rPr>
          <w:b w:val="false"/>
          <w:bCs w:val="false"/>
          <w:color w:val="5B5B66"/>
          <w:sz w:val="21"/>
          <w:szCs w:val="21"/>
        </w:rPr>
        <w:ptab w:alignment="right" w:relativeTo="margin" w:leader="dot"/>
      </w:r>
      <w:r>
        <w:rPr>
          <w:b w:val="false"/>
          <w:bCs w:val="false"/>
          <w:color w:val="5B5B66"/>
          <w:sz w:val="21"/>
          <w:szCs w:val="21"/>
        </w:rPr>
        <w:t xml:space="preserve">11</w:t>
      </w:r>
    </w:p>
    <w:p>
      <w:pPr>
        <w:tabs>
          <w:tab w:val="right" w:pos="9360" w:leader="dot"/>
        </w:tabs>
        <w:spacing w:after="90"/>
        <w:ind w:left="431"/>
      </w:pPr>
      <w:r>
        <w:rPr>
          <w:b w:val="false"/>
          <w:bCs w:val="false"/>
          <w:color w:val="5B5B66"/>
          <w:sz w:val="21"/>
          <w:szCs w:val="21"/>
        </w:rPr>
        <w:t xml:space="preserve">3.8 Data Storage</w:t>
      </w:r>
      <w:r>
        <w:rPr>
          <w:b w:val="false"/>
          <w:bCs w:val="false"/>
          <w:color w:val="5B5B66"/>
          <w:sz w:val="21"/>
          <w:szCs w:val="21"/>
        </w:rPr>
        <w:ptab w:alignment="right" w:relativeTo="margin" w:leader="dot"/>
      </w:r>
      <w:r>
        <w:rPr>
          <w:b w:val="false"/>
          <w:bCs w:val="false"/>
          <w:color w:val="5B5B66"/>
          <w:sz w:val="21"/>
          <w:szCs w:val="21"/>
        </w:rPr>
        <w:t xml:space="preserve">11</w:t>
      </w:r>
    </w:p>
    <w:p>
      <w:pPr>
        <w:tabs>
          <w:tab w:val="right" w:pos="9360" w:leader="dot"/>
        </w:tabs>
        <w:spacing w:after="90"/>
        <w:ind w:left="431"/>
      </w:pPr>
      <w:r>
        <w:rPr>
          <w:b w:val="false"/>
          <w:bCs w:val="false"/>
          <w:color w:val="5B5B66"/>
          <w:sz w:val="21"/>
          <w:szCs w:val="21"/>
        </w:rPr>
        <w:t xml:space="preserve">3.9 Frontend</w:t>
      </w:r>
      <w:r>
        <w:rPr>
          <w:b w:val="false"/>
          <w:bCs w:val="false"/>
          <w:color w:val="5B5B66"/>
          <w:sz w:val="21"/>
          <w:szCs w:val="21"/>
        </w:rPr>
        <w:ptab w:alignment="right" w:relativeTo="margin" w:leader="dot"/>
      </w:r>
      <w:r>
        <w:rPr>
          <w:b w:val="false"/>
          <w:bCs w:val="false"/>
          <w:color w:val="5B5B66"/>
          <w:sz w:val="21"/>
          <w:szCs w:val="21"/>
        </w:rPr>
        <w:t xml:space="preserve">12</w:t>
      </w:r>
    </w:p>
    <w:p>
      <w:pPr>
        <w:tabs>
          <w:tab w:val="right" w:pos="9360" w:leader="dot"/>
        </w:tabs>
        <w:spacing w:after="90"/>
        <w:ind w:left="431"/>
      </w:pPr>
      <w:r>
        <w:rPr>
          <w:b w:val="false"/>
          <w:bCs w:val="false"/>
          <w:color w:val="5B5B66"/>
          <w:sz w:val="21"/>
          <w:szCs w:val="21"/>
        </w:rPr>
        <w:t xml:space="preserve">3.10 Deployment</w:t>
      </w:r>
      <w:r>
        <w:rPr>
          <w:b w:val="false"/>
          <w:bCs w:val="false"/>
          <w:color w:val="5B5B66"/>
          <w:sz w:val="21"/>
          <w:szCs w:val="21"/>
        </w:rPr>
        <w:ptab w:alignment="right" w:relativeTo="margin" w:leader="dot"/>
      </w:r>
      <w:r>
        <w:rPr>
          <w:b w:val="false"/>
          <w:bCs w:val="false"/>
          <w:color w:val="5B5B66"/>
          <w:sz w:val="21"/>
          <w:szCs w:val="21"/>
        </w:rPr>
        <w:t xml:space="preserve">12</w:t>
      </w:r>
    </w:p>
    <w:p>
      <w:pPr>
        <w:tabs>
          <w:tab w:val="right" w:pos="9360" w:leader="dot"/>
        </w:tabs>
        <w:spacing w:after="140"/>
        <w:ind w:left="0"/>
      </w:pPr>
      <w:r>
        <w:rPr>
          <w:b/>
          <w:bCs/>
          <w:color w:val="1B1B1F"/>
          <w:sz w:val="24"/>
          <w:szCs w:val="24"/>
        </w:rPr>
        <w:t xml:space="preserve">4. Why This Stack Fits the Problem</w:t>
      </w:r>
      <w:r>
        <w:rPr>
          <w:b/>
          <w:bCs/>
          <w:color w:val="1B1B1F"/>
          <w:sz w:val="24"/>
          <w:szCs w:val="24"/>
        </w:rPr>
        <w:ptab w:alignment="right" w:relativeTo="margin" w:leader="dot"/>
      </w:r>
      <w:r>
        <w:rPr>
          <w:b/>
          <w:bCs/>
          <w:color w:val="1B1B1F"/>
          <w:sz w:val="24"/>
          <w:szCs w:val="24"/>
        </w:rPr>
        <w:t xml:space="preserve">13</w:t>
      </w:r>
    </w:p>
    <w:p>
      <w:pPr>
        <w:tabs>
          <w:tab w:val="right" w:pos="9360" w:leader="dot"/>
        </w:tabs>
        <w:spacing w:after="140"/>
        <w:ind w:left="0"/>
      </w:pPr>
      <w:r>
        <w:rPr>
          <w:b/>
          <w:bCs/>
          <w:color w:val="1B1B1F"/>
          <w:sz w:val="24"/>
          <w:szCs w:val="24"/>
        </w:rPr>
        <w:t xml:space="preserve">5. Limitations &amp; Future Work</w:t>
      </w:r>
      <w:r>
        <w:rPr>
          <w:b/>
          <w:bCs/>
          <w:color w:val="1B1B1F"/>
          <w:sz w:val="24"/>
          <w:szCs w:val="24"/>
        </w:rPr>
        <w:ptab w:alignment="right" w:relativeTo="margin" w:leader="dot"/>
      </w:r>
      <w:r>
        <w:rPr>
          <w:b/>
          <w:bCs/>
          <w:color w:val="1B1B1F"/>
          <w:sz w:val="24"/>
          <w:szCs w:val="24"/>
        </w:rPr>
        <w:t xml:space="preserve">14</w:t>
      </w:r>
    </w:p>
    <w:p>
      <w:r>
        <w:br w:type="page"/>
      </w:r>
    </w:p>
    <w:p>
      <w:pPr>
        <w:pStyle w:val="Heading1"/>
        <w:spacing w:after="200" w:before="480"/>
      </w:pPr>
      <w:r>
        <w:rPr>
          <w:b/>
          <w:bCs/>
        </w:rPr>
        <w:t xml:space="preserve">1. Introduction</w:t>
      </w:r>
    </w:p>
    <w:p>
      <w:pPr>
        <w:pStyle w:val="Heading2"/>
        <w:spacing w:after="160" w:before="320"/>
      </w:pPr>
      <w:r>
        <w:rPr>
          <w:b/>
          <w:bCs/>
        </w:rPr>
        <w:t xml:space="preserve">1.1 Motivation</w:t>
      </w:r>
    </w:p>
    <w:p>
      <w:pPr>
        <w:spacing w:after="200" w:line="300"/>
        <w:jc w:val="both"/>
      </w:pPr>
      <w:r>
        <w:t xml:space="preserve">Contracts, terms-of-service pages, and policy documents are written to be legally precise, not to be read quickly. Most people who are asked to sign one — a lease, an NDA, a SaaS agreement, a set of platform terms — either skim it, skip it, or read it without the legal background to know which clause actually matters. The risk that follows is not exotic: an auto-renewal clause nobody noticed, a liability cap that was never negotiated, a data-sharing provision that quietly conflicts with GDPR. The gap this project addresses is the gap between what a document says and what a non-lawyer can reasonably extract from it in the time they actually have.</w:t>
      </w:r>
    </w:p>
    <w:p>
      <w:pPr>
        <w:spacing w:after="200" w:line="300"/>
        <w:jc w:val="both"/>
      </w:pPr>
      <w:r>
        <w:t xml:space="preserve">Terms was built to close that gap directly: upload or paste a document, and get back a system that reads it the way a careful junior associate would — flagging risky language, checking it against known regulatory requirements, pulling out every deadline that matters, and then staying available to answer follow-up questions in plain language, with every answer traceable back to the exact clause it came from.</w:t>
      </w:r>
    </w:p>
    <w:p>
      <w:pPr>
        <w:pStyle w:val="Heading2"/>
        <w:spacing w:after="160" w:before="320"/>
      </w:pPr>
      <w:r>
        <w:rPr>
          <w:b/>
          <w:bCs/>
        </w:rPr>
        <w:t xml:space="preserve">1.2 Problem Statement</w:t>
      </w:r>
    </w:p>
    <w:p>
      <w:pPr>
        <w:pStyle w:val="ListParagraph"/>
        <w:numPr>
          <w:ilvl w:val="0"/>
          <w:numId w:val="2"/>
        </w:numPr>
        <w:spacing w:after="100" w:line="280"/>
      </w:pPr>
      <w:r>
        <w:t xml:space="preserve">Legal and quasi-legal documents are dense, long, and written in a register most readers cannot quickly parse — the parts that matter are not visually distinct from the boilerplate around them.</w:t>
      </w:r>
    </w:p>
    <w:p>
      <w:pPr>
        <w:pStyle w:val="ListParagraph"/>
        <w:numPr>
          <w:ilvl w:val="0"/>
          <w:numId w:val="2"/>
        </w:numPr>
        <w:spacing w:after="100" w:line="280"/>
      </w:pPr>
      <w:r>
        <w:t xml:space="preserve">Manual legal review does not scale to the volume of documents an individual or a small business actually encounters — every lease, vendor contract, and terms-of-service update would need a lawyer's time that most people don't have on standby.</w:t>
      </w:r>
    </w:p>
    <w:p>
      <w:pPr>
        <w:pStyle w:val="ListParagraph"/>
        <w:numPr>
          <w:ilvl w:val="0"/>
          <w:numId w:val="2"/>
        </w:numPr>
        <w:spacing w:after="100" w:line="280"/>
      </w:pPr>
      <w:r>
        <w:t xml:space="preserve">Generic chatbots answer confidently from general knowledge, not from the specific document in front of the user — which is close to useless, and occasionally actively misleading, for a question whose correct answer depends entirely on the exact wording of one clause.</w:t>
      </w:r>
    </w:p>
    <w:p>
      <w:pPr>
        <w:pStyle w:val="ListParagraph"/>
        <w:numPr>
          <w:ilvl w:val="0"/>
          <w:numId w:val="2"/>
        </w:numPr>
        <w:spacing w:after="100" w:line="280"/>
      </w:pPr>
      <w:r>
        <w:t xml:space="preserve">Compliance gaps (missing GDPR/CCPA-required language, absent governing-law clauses) and structural risk patterns (unilateral termination, unlimited liability, non-compete) are exactly the kind of thing a trained eye catches instantly and an untrained one misses entirely.</w:t>
      </w:r>
    </w:p>
    <w:p>
      <w:pPr>
        <w:pStyle w:val="ListParagraph"/>
        <w:numPr>
          <w:ilvl w:val="0"/>
          <w:numId w:val="2"/>
        </w:numPr>
        <w:spacing w:after="100" w:line="280"/>
      </w:pPr>
      <w:r>
        <w:t xml:space="preserve">Key dates — renewal notice windows, termination notice periods, payment due dates — are easy to bury in paragraph text and easy to miss until the deadline has already passed.</w:t>
      </w:r>
    </w:p>
    <w:p>
      <w:pPr>
        <w:pStyle w:val="Heading2"/>
        <w:spacing w:after="160" w:before="320"/>
      </w:pPr>
      <w:r>
        <w:rPr>
          <w:b/>
          <w:bCs/>
        </w:rPr>
        <w:t xml:space="preserve">1.3 Goals</w:t>
      </w:r>
    </w:p>
    <w:p>
      <w:pPr>
        <w:pStyle w:val="ListParagraph"/>
        <w:numPr>
          <w:ilvl w:val="0"/>
          <w:numId w:val="2"/>
        </w:numPr>
        <w:spacing w:after="100" w:line="280"/>
      </w:pPr>
      <w:r>
        <w:t xml:space="preserve">Accept a document in whatever form it actually arrives in — PDF, Word, a scanned image, or even a voice note — and get usable text out of it regardless.</w:t>
      </w:r>
    </w:p>
    <w:p>
      <w:pPr>
        <w:pStyle w:val="ListParagraph"/>
        <w:numPr>
          <w:ilvl w:val="0"/>
          <w:numId w:val="2"/>
        </w:numPr>
        <w:spacing w:after="100" w:line="280"/>
      </w:pPr>
      <w:r>
        <w:t xml:space="preserve">Ground every AI-generated answer in retrieved excerpts from the actual document, and surface those excerpts as citations rather than asking the user to trust an unverifiable claim.</w:t>
      </w:r>
    </w:p>
    <w:p>
      <w:pPr>
        <w:pStyle w:val="ListParagraph"/>
        <w:numPr>
          <w:ilvl w:val="0"/>
          <w:numId w:val="2"/>
        </w:numPr>
        <w:spacing w:after="100" w:line="280"/>
      </w:pPr>
      <w:r>
        <w:t xml:space="preserve">Run automated risk classification and PII detection on the document's content, so red flags surface immediately instead of only after something goes wrong.</w:t>
      </w:r>
    </w:p>
    <w:p>
      <w:pPr>
        <w:pStyle w:val="ListParagraph"/>
        <w:numPr>
          <w:ilvl w:val="0"/>
          <w:numId w:val="2"/>
        </w:numPr>
        <w:spacing w:after="100" w:line="280"/>
      </w:pPr>
      <w:r>
        <w:t xml:space="preserve">Check the document against a transparent, auditable set of GDPR/CCPA/general compliance rules that can be read and extended without retraining a model.</w:t>
      </w:r>
    </w:p>
    <w:p>
      <w:pPr>
        <w:pStyle w:val="ListParagraph"/>
        <w:numPr>
          <w:ilvl w:val="0"/>
          <w:numId w:val="2"/>
        </w:numPr>
        <w:spacing w:after="100" w:line="280"/>
      </w:pPr>
      <w:r>
        <w:t xml:space="preserve">Extract obligations and deadlines into a structured, sortable list instead of leaving them buried in prose.</w:t>
      </w:r>
    </w:p>
    <w:p>
      <w:pPr>
        <w:pStyle w:val="ListParagraph"/>
        <w:numPr>
          <w:ilvl w:val="0"/>
          <w:numId w:val="2"/>
        </w:numPr>
        <w:spacing w:after="100" w:line="280"/>
      </w:pPr>
      <w:r>
        <w:t xml:space="preserve">Support both Arabic and English end-to-end — parsing, retrieval, and generation — since legal documents in the target market are not exclusively in one language.</w:t>
      </w:r>
    </w:p>
    <w:p>
      <w:pPr>
        <w:pStyle w:val="ListParagraph"/>
        <w:numPr>
          <w:ilvl w:val="0"/>
          <w:numId w:val="2"/>
        </w:numPr>
        <w:spacing w:after="100" w:line="280"/>
      </w:pPr>
      <w:r>
        <w:t xml:space="preserve">Degrade gracefully: a missing optional model (OCR, the risk classifier, Whisper) should narrow what the system can do, never crash the request.</w:t>
      </w:r>
    </w:p>
    <w:p>
      <w:pPr>
        <w:pStyle w:val="Heading2"/>
        <w:spacing w:after="160" w:before="320"/>
      </w:pPr>
      <w:r>
        <w:rPr>
          <w:b/>
          <w:bCs/>
        </w:rPr>
        <w:t xml:space="preserve">1.4 Solution Overview</w:t>
      </w:r>
    </w:p>
    <w:p>
      <w:pPr>
        <w:spacing w:after="200" w:line="300"/>
        <w:jc w:val="both"/>
      </w:pPr>
      <w:r>
        <w:t xml:space="preserve">Terms is a FastAPI backend paired with a lightweight HTML/JavaScript frontend. Every document goes through an indexing pipeline — text extraction, cleaning, semantic chunking, embedding, and a first-pass compliance check — the moment it is uploaded. Every chat message that references a document goes through a second pipeline: hybrid retrieval, reranking, concurrent risk-and-PII analysis, and a targeted compliance check on just the retrieved context, all assembled into a grounded prompt before the language model ever sees the question. Both pipelines are explicit, inspectable graphs rather than a single black-box function — the sections that follow explain, tool by tool, why each piece of that graph is built the way it is.</w:t>
      </w:r>
    </w:p>
    <w:p>
      <w:r>
        <w:br w:type="page"/>
      </w:r>
    </w:p>
    <w:p>
      <w:pPr>
        <w:pStyle w:val="Heading1"/>
        <w:spacing w:after="200" w:before="480"/>
      </w:pPr>
      <w:r>
        <w:rPr>
          <w:b/>
          <w:bCs/>
        </w:rPr>
        <w:t xml:space="preserve">2. System Architecture</w:t>
      </w:r>
    </w:p>
    <w:p>
      <w:pPr>
        <w:spacing w:after="200" w:line="300"/>
        <w:jc w:val="both"/>
      </w:pPr>
      <w:r>
        <w:t xml:space="preserve">The system is organized as a pipeline, not a monolith: a thin API layer hands off to an AI Orchestrator, which routes work through parsing, retrieval, and legal-analysis stages before a prompt ever reaches the language model. The diagram below is the same shape the code takes — every box is a real module, and every arrow is a real function call.</w:t>
      </w:r>
    </w:p>
    <w:p>
      <w:pPr>
        <w:spacing w:after="200"/>
        <w:jc w:val="center"/>
      </w:pPr>
      <w:r>
        <w:rPr>
          <w:rFonts w:ascii="Consolas" w:cs="Consolas" w:eastAsia="Consolas" w:hAnsi="Consolas"/>
          <w:color w:val="1B1B1F"/>
          <w:sz w:val="18"/>
          <w:szCs w:val="18"/>
        </w:rPr>
        <w:t xml:space="preserve">Frontend  →  FastAPI (main.py)  →  AI Orchestrator (LangGraph)
                                        │
            ┌───────────────┬───────────┼────────────┬───────────────┐
         Parsing           RAG        Legal AI     Compliance     Prompt Builder
     (PDF/DOCX/OCR/     (embed, BM25,  (risk +      (rule        (assembles the
      Whisper)           rerank)        PII)        engine)      grounded prompt)
                                        │
                                  Groq LLM API
                              (streamed response)</w:t>
      </w:r>
    </w:p>
    <w:p>
      <w:pPr>
        <w:spacing w:after="200" w:line="300"/>
        <w:jc w:val="both"/>
      </w:pPr>
      <w:r>
        <w:t xml:space="preserve">Two properties of this architecture matter more than any individual box: every stage is optional and every stage is measured. Optional, because a document-grounded answer should still be possible even if — say — the risk classifier was never trained, or OCR isn't installed; the orchestrator's _safe() wrapper catches exactly that class of failure and turns it into a warning instead of a 500 error. Measured, because every stage records its own latency, so a slow answer is diagnosable ("the reranker took 900ms") instead of just a number on a stopwatch.</w:t>
      </w:r>
    </w:p>
    <w:p>
      <w:r>
        <w:br w:type="page"/>
      </w:r>
    </w:p>
    <w:p>
      <w:pPr>
        <w:pStyle w:val="Heading1"/>
        <w:spacing w:after="200" w:before="480"/>
      </w:pPr>
      <w:r>
        <w:rPr>
          <w:b/>
          <w:bCs/>
        </w:rPr>
        <w:t xml:space="preserve">3. Tools and Technologies</w:t>
      </w:r>
    </w:p>
    <w:p>
      <w:pPr>
        <w:spacing w:after="200" w:line="300"/>
        <w:jc w:val="both"/>
      </w:pPr>
      <w:r>
        <w:t xml:space="preserve">This is the core of this document: every framework, model, and library in the stack, what it does, and — more importantly — why it was the right choice for this specific problem rather than an available alternative.</w:t>
      </w:r>
    </w:p>
    <w:p>
      <w:pPr>
        <w:pStyle w:val="Heading2"/>
        <w:spacing w:after="160" w:before="320"/>
      </w:pPr>
      <w:r>
        <w:rPr>
          <w:b/>
          <w:bCs/>
        </w:rPr>
        <w:t xml:space="preserve">3.1 API &amp; Web Framework</w:t>
      </w:r>
    </w:p>
    <w:p>
      <w:pPr>
        <w:pStyle w:val="Heading3"/>
        <w:spacing w:after="100" w:before="240"/>
      </w:pPr>
      <w:r>
        <w:rPr>
          <w:b/>
          <w:bCs/>
          <w:color w:val="7C3AED"/>
        </w:rPr>
        <w:t xml:space="preserve">FastAPI</w:t>
      </w:r>
    </w:p>
    <w:p>
      <w:pPr>
        <w:spacing w:after="120"/>
      </w:pPr>
      <w:r>
        <w:rPr>
          <w:i/>
          <w:iCs/>
          <w:color w:val="5B5B66"/>
          <w:sz w:val="20"/>
          <w:szCs w:val="20"/>
        </w:rPr>
        <w:t xml:space="preserve">The web framework the entire backend is built on.</w:t>
      </w:r>
    </w:p>
    <w:p>
      <w:pPr>
        <w:spacing w:after="200" w:line="300"/>
        <w:jc w:val="both"/>
      </w:pPr>
      <w:r>
        <w:t xml:space="preserve">FastAPI was chosen for three reasons that all matter directly here: native async support, which is what lets a single request stream the LLM's response token-by-token back to the browser instead of blocking until the whole answer is ready; automatic OpenAPI/Swagger documentation, generated from the same Pydantic models that validate every request, so the API is self-documenting at /docs with zero extra effort; and dependency injection (Depends(get_current_user)), which keeps authentication as a one-line declaration on every protected route instead of repeated boilerplate. For a service whose defining feature is a long-running streamed response wrapped around several seconds of CPU-bound model work, an async-first framework is not a stylistic preference — it's what keeps the server able to serve a concurrent /api/health check while a heavier request is still running.</w:t>
      </w:r>
    </w:p>
    <w:p>
      <w:pPr>
        <w:pStyle w:val="Heading3"/>
        <w:spacing w:after="100" w:before="240"/>
      </w:pPr>
      <w:r>
        <w:rPr>
          <w:b/>
          <w:bCs/>
          <w:color w:val="7C3AED"/>
        </w:rPr>
        <w:t xml:space="preserve">Uvicorn</w:t>
      </w:r>
    </w:p>
    <w:p>
      <w:pPr>
        <w:spacing w:after="120"/>
      </w:pPr>
      <w:r>
        <w:rPr>
          <w:i/>
          <w:iCs/>
          <w:color w:val="5B5B66"/>
          <w:sz w:val="20"/>
          <w:szCs w:val="20"/>
        </w:rPr>
        <w:t xml:space="preserve">The ASGI server that actually runs FastAPI.</w:t>
      </w:r>
    </w:p>
    <w:p>
      <w:pPr>
        <w:spacing w:after="200" w:line="300"/>
        <w:jc w:val="both"/>
      </w:pPr>
      <w:r>
        <w:t xml:space="preserve">Uvicorn is the standard, high-performance ASGI implementation the FastAPI documentation itself recommends, built on uvloop and httptools for near-C-level I/O performance. It was chosen simply because it is the least surprising, best-supported option or FastAPI's async model — there is no meaningful alternative that doesn't reinvent the same wheel.</w:t>
      </w:r>
    </w:p>
    <w:p>
      <w:pPr>
        <w:pStyle w:val="Heading3"/>
        <w:spacing w:after="100" w:before="240"/>
      </w:pPr>
      <w:r>
        <w:rPr>
          <w:b/>
          <w:bCs/>
          <w:color w:val="7C3AED"/>
        </w:rPr>
        <w:t xml:space="preserve">Pydantic</w:t>
      </w:r>
    </w:p>
    <w:p>
      <w:pPr>
        <w:spacing w:after="120"/>
      </w:pPr>
      <w:r>
        <w:rPr>
          <w:i/>
          <w:iCs/>
          <w:color w:val="5B5B66"/>
          <w:sz w:val="20"/>
          <w:szCs w:val="20"/>
        </w:rPr>
        <w:t xml:space="preserve">Request/response validation and settings modelling.</w:t>
      </w:r>
    </w:p>
    <w:p>
      <w:pPr>
        <w:spacing w:after="200" w:line="300"/>
        <w:jc w:val="both"/>
      </w:pPr>
      <w:r>
        <w:t xml:space="preserve">Every request body in main.py (ChatBody, RegisterBody, PasteTextBody, ...) is a Pydantic model. This buys two things at once: FastAPI rejects a malformed request before a single line of business logic runs, and the same model doubles as the source of the OpenAPI schema — so the validation rules and the documentation can never silently drift apart.</w:t>
      </w:r>
    </w:p>
    <w:p>
      <w:pPr>
        <w:pStyle w:val="Heading3"/>
        <w:spacing w:after="100" w:before="240"/>
      </w:pPr>
      <w:r>
        <w:rPr>
          <w:b/>
          <w:bCs/>
          <w:color w:val="7C3AED"/>
        </w:rPr>
        <w:t xml:space="preserve">httpx</w:t>
      </w:r>
    </w:p>
    <w:p>
      <w:pPr>
        <w:spacing w:after="120"/>
      </w:pPr>
      <w:r>
        <w:rPr>
          <w:i/>
          <w:iCs/>
          <w:color w:val="5B5B66"/>
          <w:sz w:val="20"/>
          <w:szCs w:val="20"/>
        </w:rPr>
        <w:t xml:space="preserve">The async HTTP client used to call the Groq API.</w:t>
      </w:r>
    </w:p>
    <w:p>
      <w:pPr>
        <w:spacing w:after="200" w:line="300"/>
        <w:jc w:val="both"/>
      </w:pPr>
      <w:r>
        <w:t xml:space="preserve">httpx was picked over the older requests library specifically because it is async-native and supports streaming responses through the same async/await syntax as the rest of the FastAPI request handler — calling Groq's chat-completions endpoint and re-streaming its server-sent-events response back to the browser is a straight pass-through with httpx, and would need a thread-pool workaround with a synchronous client. A single module-level AsyncClient is also reused across requests, so the TCP/TLS handshake to api.groq.com is paid once via keep-alive, not on every message.</w:t>
      </w:r>
    </w:p>
    <w:p>
      <w:pPr>
        <w:pStyle w:val="Heading3"/>
        <w:spacing w:after="100" w:before="240"/>
      </w:pPr>
      <w:r>
        <w:rPr>
          <w:b/>
          <w:bCs/>
          <w:color w:val="7C3AED"/>
        </w:rPr>
        <w:t xml:space="preserve">python-dotenv</w:t>
      </w:r>
    </w:p>
    <w:p>
      <w:pPr>
        <w:spacing w:after="120"/>
      </w:pPr>
      <w:r>
        <w:rPr>
          <w:i/>
          <w:iCs/>
          <w:color w:val="5B5B66"/>
          <w:sz w:val="20"/>
          <w:szCs w:val="20"/>
        </w:rPr>
        <w:t xml:space="preserve">Loads configuration from a .env file into the process environment.</w:t>
      </w:r>
    </w:p>
    <w:p>
      <w:pPr>
        <w:spacing w:after="200" w:line="300"/>
        <w:jc w:val="both"/>
      </w:pPr>
      <w:r>
        <w:t xml:space="preserve">Every credential and tunable in this project — GROQ_API_KEY, AUTH_PEPPER, WHISPER_MODEL, and the rest — is read from os.environ, never hard-coded. python-dotenv is the thinnest possible bridge between a local .env file and that convention, letting the exact same code run unmodified in local development and in a real deployment where the environment is set by the platform instead of a file.</w:t>
      </w:r>
    </w:p>
    <w:p>
      <w:pPr>
        <w:pStyle w:val="Heading2"/>
        <w:spacing w:after="160" w:before="320"/>
      </w:pPr>
      <w:r>
        <w:rPr>
          <w:b/>
          <w:bCs/>
        </w:rPr>
        <w:t xml:space="preserve">3.2 Orchestration</w:t>
      </w:r>
    </w:p>
    <w:p>
      <w:pPr>
        <w:pStyle w:val="Heading3"/>
        <w:spacing w:after="100" w:before="240"/>
      </w:pPr>
      <w:r>
        <w:rPr>
          <w:b/>
          <w:bCs/>
          <w:color w:val="7C3AED"/>
        </w:rPr>
        <w:t xml:space="preserve">LangGraph</w:t>
      </w:r>
    </w:p>
    <w:p>
      <w:pPr>
        <w:spacing w:after="120"/>
      </w:pPr>
      <w:r>
        <w:rPr>
          <w:i/>
          <w:iCs/>
          <w:color w:val="5B5B66"/>
          <w:sz w:val="20"/>
          <w:szCs w:val="20"/>
        </w:rPr>
        <w:t xml:space="preserve">Models the chat-turn pipeline as an explicit state graph.</w:t>
      </w:r>
    </w:p>
    <w:p>
      <w:pPr>
        <w:spacing w:after="200" w:line="300"/>
        <w:jc w:val="both"/>
      </w:pPr>
      <w:r>
        <w:t xml:space="preserve">The alternative to LangGraph here would have been a long function full of nested if statements — "if there's a document, embed the query; if that succeeds, retrieve; if retrieval returns something, rerank; ...". That works, but it is not readable, not independently testable stage-by-stage, and it makes adding a new stage (a query-rewriting step, an answer-evaluation step) a surgical edit deep inside existing logic. LangGraph turns the same control flow into a StateGraph: each stage is an isolated node function, and every short-circuit — no document attached, a failed embedding, an empty retrieval — is a conditional edge you can read directly off the graph definition. The state itself (ChatTurnState) accumulates warnings and timings through explicit reducers (operator.add, operator.or_), so instrumentation is a property of the graph, not something bolted on inside each node. Adding a new pipeline stage in the future is one node plus one edge, not a rewritten conditional tree.</w:t>
      </w:r>
    </w:p>
    <w:p>
      <w:pPr>
        <w:pStyle w:val="Heading2"/>
        <w:spacing w:after="160" w:before="320"/>
      </w:pPr>
      <w:r>
        <w:rPr>
          <w:b/>
          <w:bCs/>
        </w:rPr>
        <w:t xml:space="preserve">3.3 Large Language Model</w:t>
      </w:r>
    </w:p>
    <w:p>
      <w:pPr>
        <w:pStyle w:val="Heading3"/>
        <w:spacing w:after="100" w:before="240"/>
      </w:pPr>
      <w:r>
        <w:rPr>
          <w:b/>
          <w:bCs/>
          <w:color w:val="7C3AED"/>
        </w:rPr>
        <w:t xml:space="preserve">Groq (openai/gpt-oss-120b)</w:t>
      </w:r>
    </w:p>
    <w:p>
      <w:pPr>
        <w:spacing w:after="120"/>
      </w:pPr>
      <w:r>
        <w:rPr>
          <w:i/>
          <w:iCs/>
          <w:color w:val="5B5B66"/>
          <w:sz w:val="20"/>
          <w:szCs w:val="20"/>
        </w:rPr>
        <w:t xml:space="preserve">The hosted inference provider for the language model that generates every answer.</w:t>
      </w:r>
    </w:p>
    <w:p>
      <w:pPr>
        <w:spacing w:after="200" w:line="300"/>
        <w:jc w:val="both"/>
      </w:pPr>
      <w:r>
        <w:t xml:space="preserve">Running a large open-weight model locally would mean either a serious GPU budget or an unacceptably slow CPU inference time — neither fits a project meant to run comfortably on a single small cloud instance. Groq hosts full-size open models (the openai/gpt-oss family here) on its own purpose-built inference hardware, which means the project gets frontier-adjacent answer quality without owning or renting a GPU, at streaming speeds fast enough that the token-by-token UI never feels like it's waiting on a network round trip. The model choice is also just a string (GROQ_MODEL) read from the environment, so when Groq deprecates a model — which it does periodically — recovering is a configuration change, not a code change.</w:t>
      </w:r>
    </w:p>
    <w:p>
      <w:pPr>
        <w:pStyle w:val="Heading2"/>
        <w:spacing w:after="160" w:before="320"/>
      </w:pPr>
      <w:r>
        <w:rPr>
          <w:b/>
          <w:bCs/>
        </w:rPr>
        <w:t xml:space="preserve">3.4 Document Parsing &amp; Input Handling</w:t>
      </w:r>
    </w:p>
    <w:p>
      <w:pPr>
        <w:pStyle w:val="Heading3"/>
        <w:spacing w:after="100" w:before="240"/>
      </w:pPr>
      <w:r>
        <w:rPr>
          <w:b/>
          <w:bCs/>
          <w:color w:val="7C3AED"/>
        </w:rPr>
        <w:t xml:space="preserve">PyMuPDF (fitz)</w:t>
      </w:r>
    </w:p>
    <w:p>
      <w:pPr>
        <w:spacing w:after="120"/>
      </w:pPr>
      <w:r>
        <w:rPr>
          <w:i/>
          <w:iCs/>
          <w:color w:val="5B5B66"/>
          <w:sz w:val="20"/>
          <w:szCs w:val="20"/>
        </w:rPr>
        <w:t xml:space="preserve">Extracts text from PDF files, page by page.</w:t>
      </w:r>
    </w:p>
    <w:p>
      <w:pPr>
        <w:spacing w:after="200" w:line="300"/>
        <w:jc w:val="both"/>
      </w:pPr>
      <w:r>
        <w:t xml:space="preserve">PyMuPDF is fast, has no heavyweight system dependency (unlike, e.g., poppler-based tools), and — critically for this project — it exposes exactly the signal needed to decide whether a page has a real text layer or is a scanned image: the character count PyMuPDF extracts. A page with almost no extractable text is flagged is_likely_scanned and routed to OCR automatically, so a scanned contract and a digitally-produced one go through the same upload endpoint without the user having to know or say which kind they have.</w:t>
      </w:r>
    </w:p>
    <w:p>
      <w:pPr>
        <w:pStyle w:val="Heading3"/>
        <w:spacing w:after="100" w:before="240"/>
      </w:pPr>
      <w:r>
        <w:rPr>
          <w:b/>
          <w:bCs/>
          <w:color w:val="7C3AED"/>
        </w:rPr>
        <w:t xml:space="preserve">python-docx</w:t>
      </w:r>
    </w:p>
    <w:p>
      <w:pPr>
        <w:spacing w:after="120"/>
      </w:pPr>
      <w:r>
        <w:rPr>
          <w:i/>
          <w:iCs/>
          <w:color w:val="5B5B66"/>
          <w:sz w:val="20"/>
          <w:szCs w:val="20"/>
        </w:rPr>
        <w:t xml:space="preserve">Extracts text from Word (.docx) files.</w:t>
      </w:r>
    </w:p>
    <w:p>
      <w:pPr>
        <w:spacing w:after="200" w:line="300"/>
        <w:jc w:val="both"/>
      </w:pPr>
      <w:r>
        <w:t xml:space="preserve">The standard, actively maintained library for reading .docx as a structured document rather than raw XML. It preserves document order across paragraphs and table cells and keeps heading-style metadata ("Heading 1", "Normal", "Table Cell") attached to each block — that structure is what lets the downstream chunker respect section boundaries instead of chunking blindly.</w:t>
      </w:r>
    </w:p>
    <w:p>
      <w:pPr>
        <w:pStyle w:val="Heading3"/>
        <w:spacing w:after="100" w:before="240"/>
      </w:pPr>
      <w:r>
        <w:rPr>
          <w:b/>
          <w:bCs/>
          <w:color w:val="7C3AED"/>
        </w:rPr>
        <w:t xml:space="preserve">RapidOCR (ONNX Runtime)</w:t>
      </w:r>
    </w:p>
    <w:p>
      <w:pPr>
        <w:spacing w:after="120"/>
      </w:pPr>
      <w:r>
        <w:rPr>
          <w:i/>
          <w:iCs/>
          <w:color w:val="5B5B66"/>
          <w:sz w:val="20"/>
          <w:szCs w:val="20"/>
        </w:rPr>
        <w:t xml:space="preserve">Optical character recognition for scanned PDFs and photographed documents.</w:t>
      </w:r>
    </w:p>
    <w:p>
      <w:pPr>
        <w:spacing w:after="200" w:line="300"/>
        <w:jc w:val="both"/>
      </w:pPr>
      <w:r>
        <w:t xml:space="preserve">This project deliberately moved off PaddleOCR directly, which pulls in the entire PaddlePaddle deep-learning framework — a multi-hundred-megabyte install with its own CUDA/MKL wiring — just to run three small CNN forward passes (text detection, orientation classification, recognition). RapidOCR-ONNXRuntime ships the exact same PaddleOCR-trained models, pre-converted to ONNX, and runs them on plain onnxruntime: identical accuracy, a fraction of the install footprint, and — just as importantly — the same inference engine every other model in this project already depends on (the risk classifier included), so there is one runtime to reason about instead of two. English works out of the box from the pip-bundled models; Arabic recognition needs one small (4–8MB) additional model, fetched by a one-time setup script, reflecting how thin that specific language's footprint should be.</w:t>
      </w:r>
    </w:p>
    <w:p>
      <w:pPr>
        <w:pStyle w:val="Heading3"/>
        <w:spacing w:after="100" w:before="240"/>
      </w:pPr>
      <w:r>
        <w:rPr>
          <w:b/>
          <w:bCs/>
          <w:color w:val="7C3AED"/>
        </w:rPr>
        <w:t xml:space="preserve">faster-whisper</w:t>
      </w:r>
    </w:p>
    <w:p>
      <w:pPr>
        <w:spacing w:after="120"/>
      </w:pPr>
      <w:r>
        <w:rPr>
          <w:i/>
          <w:iCs/>
          <w:color w:val="5B5B66"/>
          <w:sz w:val="20"/>
          <w:szCs w:val="20"/>
        </w:rPr>
        <w:t xml:space="preserve">Speech-to-text for audio uploads (voice notes, recorded calls).</w:t>
      </w:r>
    </w:p>
    <w:p>
      <w:pPr>
        <w:spacing w:after="200" w:line="300"/>
        <w:jc w:val="both"/>
      </w:pPr>
      <w:r>
        <w:t xml:space="preserve">faster-whisper runs OpenAI's Whisper models through a CTranslate2 backend, which gives materially lower RAM/VRAM use and faster inference than the reference openai-whisper package at identical accuracy. Audio is a secondary input path in this project — contracts are the primary target — so the default model size ("small", ~250MB) is deliberately the light end of the trade-off curve, with WHISPER_MODEL exposed as an environment variable for anyone who wants to trade latency for the accuracy ceiling of a larger checkpoint.</w:t>
      </w:r>
    </w:p>
    <w:p>
      <w:pPr>
        <w:pStyle w:val="Heading2"/>
        <w:spacing w:after="160" w:before="320"/>
      </w:pPr>
      <w:r>
        <w:rPr>
          <w:b/>
          <w:bCs/>
        </w:rPr>
        <w:t xml:space="preserve">3.5 Retrieval-Augmented Generation (RAG)</w:t>
      </w:r>
    </w:p>
    <w:p>
      <w:pPr>
        <w:pStyle w:val="Heading3"/>
        <w:spacing w:after="100" w:before="240"/>
      </w:pPr>
      <w:r>
        <w:rPr>
          <w:b/>
          <w:bCs/>
          <w:color w:val="7C3AED"/>
        </w:rPr>
        <w:t xml:space="preserve">sentence-transformers — paraphrase-multilingual-MiniLM-L12-v2</w:t>
      </w:r>
    </w:p>
    <w:p>
      <w:pPr>
        <w:spacing w:after="120"/>
      </w:pPr>
      <w:r>
        <w:rPr>
          <w:i/>
          <w:iCs/>
          <w:color w:val="5B5B66"/>
          <w:sz w:val="20"/>
          <w:szCs w:val="20"/>
        </w:rPr>
        <w:t xml:space="preserve">Turns document chunks and questions into vectors for semantic search.</w:t>
      </w:r>
    </w:p>
    <w:p>
      <w:pPr>
        <w:spacing w:after="200" w:line="300"/>
        <w:jc w:val="both"/>
      </w:pPr>
      <w:r>
        <w:t xml:space="preserve">The single hardest constraint on this choice was language: the platform has to handle Arabic and English contracts in the same retrieval index, which immediately rules out most English-only embedding models. paraphrase-multilingual-MiniLM-L12-v2 covers more than fifty languages including Arabic in one shared vector space, at roughly a tenth the size of a heavier alternative like BAAI/bge-m3 (~2.2GB). For a service meant to run on modest cloud hardware, that size difference is the difference between a fast cold start and a slow one — and the model swap is a one-line MODEL_NAME change if a project later needs bge-m3's larger context window or slightly higher retrieval ceiling.</w:t>
      </w:r>
    </w:p>
    <w:p>
      <w:pPr>
        <w:pStyle w:val="Heading3"/>
        <w:spacing w:after="100" w:before="240"/>
      </w:pPr>
      <w:r>
        <w:rPr>
          <w:b/>
          <w:bCs/>
          <w:color w:val="7C3AED"/>
        </w:rPr>
        <w:t xml:space="preserve">rank_bm25</w:t>
      </w:r>
    </w:p>
    <w:p>
      <w:pPr>
        <w:spacing w:after="120"/>
      </w:pPr>
      <w:r>
        <w:rPr>
          <w:i/>
          <w:iCs/>
          <w:color w:val="5B5B66"/>
          <w:sz w:val="20"/>
          <w:szCs w:val="20"/>
        </w:rPr>
        <w:t xml:space="preserve">Classic keyword (sparse/lexical) search, run alongside the embedding search.</w:t>
      </w:r>
    </w:p>
    <w:p>
      <w:pPr>
        <w:spacing w:after="200" w:line="300"/>
        <w:jc w:val="both"/>
      </w:pPr>
      <w:r>
        <w:t xml:space="preserve">Dense embeddings are excellent at paraphrase and semantic matches — "what happens if I want to cancel early" correctly surfaces the auto-renewal clause even with zero words in common — but they are known to under-perform on exact legal text: a clause number like "Section 5.2(b)", a specific dollar figure, a party's exact name. Ask what does section 9.3 say and a purely dense retriever can miss the one chunk that literally contains "9.3" if nothing about it is semantically distinctive. rank_bm25 closes that gap with essentially zero cost — pure Python, no model download, no GPU, negligible latency — and it is meant to run alongside the dense retriever, not replace it.</w:t>
      </w:r>
    </w:p>
    <w:p>
      <w:pPr>
        <w:pStyle w:val="Heading3"/>
        <w:spacing w:after="100" w:before="240"/>
      </w:pPr>
      <w:r>
        <w:rPr>
          <w:b/>
          <w:bCs/>
          <w:color w:val="7C3AED"/>
        </w:rPr>
        <w:t xml:space="preserve">Hybrid retrieval via Reciprocal Rank Fusion</w:t>
      </w:r>
    </w:p>
    <w:p>
      <w:pPr>
        <w:spacing w:after="120"/>
      </w:pPr>
      <w:r>
        <w:rPr>
          <w:i/>
          <w:iCs/>
          <w:color w:val="5B5B66"/>
          <w:sz w:val="20"/>
          <w:szCs w:val="20"/>
        </w:rPr>
        <w:t xml:space="preserve">Combines the dense and BM25 result lists into one ranking.</w:t>
      </w:r>
    </w:p>
    <w:p>
      <w:pPr>
        <w:spacing w:after="200" w:line="300"/>
        <w:jc w:val="both"/>
      </w:pPr>
      <w:r>
        <w:t xml:space="preserve">Dense cosine-similarity scores live in [-1, 1]; BM25 scores are unbounded term-frequency scores on a completely different scale. Averaging the two directly would let whichever list happens to produce larger raw numbers dominate the fused ranking for reasons that have nothing to do with actual relevance. Reciprocal Rank Fusion sidesteps that by using only each result's rank — its position — in its own list, which is scale-free by construction. This is standard modern RAG practice for exactly this reason: it lets two retrievers with structurally different scoring behave as equal partners.</w:t>
      </w:r>
    </w:p>
    <w:p>
      <w:pPr>
        <w:pStyle w:val="Heading3"/>
        <w:spacing w:after="100" w:before="240"/>
      </w:pPr>
      <w:r>
        <w:rPr>
          <w:b/>
          <w:bCs/>
          <w:color w:val="7C3AED"/>
        </w:rPr>
        <w:t xml:space="preserve">Cross-encoder reranker — cross-encoder/mmarco-mMiniLMv2-L12-H384-v1</w:t>
      </w:r>
    </w:p>
    <w:p>
      <w:pPr>
        <w:spacing w:after="120"/>
      </w:pPr>
      <w:r>
        <w:rPr>
          <w:i/>
          <w:iCs/>
          <w:color w:val="5B5B66"/>
          <w:sz w:val="20"/>
          <w:szCs w:val="20"/>
        </w:rPr>
        <w:t xml:space="preserve">A second, more accurate pass over the top candidates before they reach the prompt.</w:t>
      </w:r>
    </w:p>
    <w:p>
      <w:pPr>
        <w:spacing w:after="200" w:line="300"/>
        <w:jc w:val="both"/>
      </w:pPr>
      <w:r>
        <w:t xml:space="preserve">Embedding similarity search is fast but approximate — it compares two vectors that were each computed independently of the other. A cross-encoder instead reads the (question, chunk) pair together and produces a single relevance score, which is far more accurate at picking the true top few results out of a noisier candidate pool. The standard pattern — retrieve ~20 candidates cheaply, rerank down to the 3–5 that actually go in the prompt — is exactly what this stage does. The specific model was picked for being trained on mMARCO, a multilingual ranking dataset that includes Arabic, at a light enough footprint (a 12-layer MiniLM cross-encoder) to run comfortably on CPU.</w:t>
      </w:r>
    </w:p>
    <w:p>
      <w:pPr>
        <w:pStyle w:val="Heading3"/>
        <w:spacing w:after="100" w:before="240"/>
      </w:pPr>
      <w:r>
        <w:rPr>
          <w:b/>
          <w:bCs/>
          <w:color w:val="7C3AED"/>
        </w:rPr>
        <w:t xml:space="preserve">Parquet + pandas + pyarrow</w:t>
      </w:r>
    </w:p>
    <w:p>
      <w:pPr>
        <w:spacing w:after="120"/>
      </w:pPr>
      <w:r>
        <w:rPr>
          <w:i/>
          <w:iCs/>
          <w:color w:val="5B5B66"/>
          <w:sz w:val="20"/>
          <w:szCs w:val="20"/>
        </w:rPr>
        <w:t xml:space="preserve">Where every document's chunk embeddings actually live on disk.</w:t>
      </w:r>
    </w:p>
    <w:p>
      <w:pPr>
        <w:spacing w:after="200" w:line="300"/>
        <w:jc w:val="both"/>
      </w:pPr>
      <w:r>
        <w:t xml:space="preserve">Rather than standing up a dedicated vector database, each document's chunks and embeddings are written to a single Parquet file — a columnar format built for exactly this kind of numeric, tabular data, with pyarrow handling the on-disk format and pandas handling in-memory manipulation. For a project meant to run as a single local or single-instance service, this avoids an entire extra piece of deployed infrastructure while still comfortably handling the target scale (a few hundred thousand chunks per document, with an in-process cache so repeated similarity searches on the same document don't re-read the file). The migration path to a dedicated ANN index like FAISS or Chroma is explicit and isolated to one module (vector_store.py) if a deployment ever outgrows this.</w:t>
      </w:r>
    </w:p>
    <w:p>
      <w:pPr>
        <w:pStyle w:val="Heading2"/>
        <w:spacing w:after="160" w:before="320"/>
      </w:pPr>
      <w:r>
        <w:rPr>
          <w:b/>
          <w:bCs/>
        </w:rPr>
        <w:t xml:space="preserve">3.6 Legal AI &amp; NLP</w:t>
      </w:r>
    </w:p>
    <w:p>
      <w:pPr>
        <w:pStyle w:val="Heading3"/>
        <w:spacing w:after="100" w:before="240"/>
      </w:pPr>
      <w:r>
        <w:rPr>
          <w:b/>
          <w:bCs/>
          <w:color w:val="7C3AED"/>
        </w:rPr>
        <w:t xml:space="preserve">Legal-BERT + DeBERTa ONNX ensemble (onnxruntime, transformers)</w:t>
      </w:r>
    </w:p>
    <w:p>
      <w:pPr>
        <w:spacing w:after="120"/>
      </w:pPr>
      <w:r>
        <w:rPr>
          <w:i/>
          <w:iCs/>
          <w:color w:val="5B5B66"/>
          <w:sz w:val="20"/>
          <w:szCs w:val="20"/>
        </w:rPr>
        <w:t xml:space="preserve">Classifies contract risk category — Safe/Standard, Unilateral Termination, Unlimited Liability, Non-Compete.</w:t>
      </w:r>
    </w:p>
    <w:p>
      <w:pPr>
        <w:spacing w:after="200" w:line="300"/>
        <w:jc w:val="both"/>
      </w:pPr>
      <w:r>
        <w:t xml:space="preserve">This is a two-model ensemble — Legal-BERT-base and DeBERTa-v3-base, with probability averaging — because a single fine-tuned model on this specific classification card tops out around 92% solo F1, while the averaged ensemble reaches roughly 97.7%. Both sub-models must be present for the ensemble to run at all: loading only one would silently downgrade accuracy without any visible sign that it had happened, so the loader raises a clear error instead of a quiet regression. Inference itself runs on plain ONNX Runtime rather than a full PyTorch runtime, for the same reason RapidOCR does: the exported .onnx graphs run with graph-level optimizations enabled and no GPU requirement, and it is the same lightweight inference engine already used elsewhere in the stack. Crucially, this output is never handed to the LLM unconditionally — a confidence threshold (0.5) gates whether a label is trusted enough to state as fact in the prompt at all, since the model generating the final answer has no independent way to sanity-check a classifier's guess.</w:t>
      </w:r>
    </w:p>
    <w:p>
      <w:pPr>
        <w:pStyle w:val="Heading3"/>
        <w:spacing w:after="100" w:before="240"/>
      </w:pPr>
      <w:r>
        <w:rPr>
          <w:b/>
          <w:bCs/>
          <w:color w:val="7C3AED"/>
        </w:rPr>
        <w:t xml:space="preserve">Microsoft Presidio + spaCy</w:t>
      </w:r>
    </w:p>
    <w:p>
      <w:pPr>
        <w:spacing w:after="120"/>
      </w:pPr>
      <w:r>
        <w:rPr>
          <w:i/>
          <w:iCs/>
          <w:color w:val="5B5B66"/>
          <w:sz w:val="20"/>
          <w:szCs w:val="20"/>
        </w:rPr>
        <w:t xml:space="preserve">Detects personally identifiable information — emails, phone numbers, national IDs, IBANs.</w:t>
      </w:r>
    </w:p>
    <w:p>
      <w:pPr>
        <w:spacing w:after="200" w:line="300"/>
        <w:jc w:val="both"/>
      </w:pPr>
      <w:r>
        <w:t xml:space="preserve">Presidio is the standard open-source PII-detection toolkit specifically because it isn't a single model call — it combines pattern-based recognizers (regex for emails, phone numbers, credit cards) with an NLP-based recognizer (spaCy's NER) for the entities regex alone can't reliably catch, like person and organization names. spaCy's smallest English pipeline, en_core_web_sm, is the default specifically for latency: it has no word-vector table and runs several times faster per request than the larger _md/_lg variants, which matters because PII detection runs on every chat turn that has a document attached, not just at upload time. If spaCy isn't installed at all, the system falls back to the regex-only recognizers rather than failing outright — a present/absent PII signal degrades gracefully to "still mostly present", never to "nothing".</w:t>
      </w:r>
    </w:p>
    <w:p>
      <w:pPr>
        <w:pStyle w:val="Heading3"/>
        <w:spacing w:after="100" w:before="240"/>
      </w:pPr>
      <w:r>
        <w:rPr>
          <w:b/>
          <w:bCs/>
          <w:color w:val="7C3AED"/>
        </w:rPr>
        <w:t xml:space="preserve">A hand-written regex rule engine</w:t>
      </w:r>
    </w:p>
    <w:p>
      <w:pPr>
        <w:spacing w:after="120"/>
      </w:pPr>
      <w:r>
        <w:rPr>
          <w:i/>
          <w:iCs/>
          <w:color w:val="5B5B66"/>
          <w:sz w:val="20"/>
          <w:szCs w:val="20"/>
        </w:rPr>
        <w:t xml:space="preserve">GDPR / CCPA / general compliance checks — deliberately not machine-learned.</w:t>
      </w:r>
    </w:p>
    <w:p>
      <w:pPr>
        <w:spacing w:after="200" w:line="300"/>
        <w:jc w:val="both"/>
      </w:pPr>
      <w:r>
        <w:t xml:space="preserve">Compliance checking is the one place in this stack where a black-box model is the wrong tool, not just an unnecessary one. A GDPR gap check needs to be auditable by an actual lawyer, extendable without a training run, and wrong in a predictable, inspectable way if it's wrong at all — a list of {rule_id, regulation, severity, regex pattern} entries satisfies every one of those requirements, and a trained classifier satisfies none of them. The patterns are kept deliberately broad, on the reasoning that a false positive here (the rule thinks a clause is present when it technically isn't quite complete) is far cheaper than a false negative a lawyer or end user ends up relying on.</w:t>
      </w:r>
    </w:p>
    <w:p>
      <w:pPr>
        <w:pStyle w:val="Heading3"/>
        <w:spacing w:after="100" w:before="240"/>
      </w:pPr>
      <w:r>
        <w:rPr>
          <w:b/>
          <w:bCs/>
          <w:color w:val="7C3AED"/>
        </w:rPr>
        <w:t xml:space="preserve">python-dateutil</w:t>
      </w:r>
    </w:p>
    <w:p>
      <w:pPr>
        <w:spacing w:after="120"/>
      </w:pPr>
      <w:r>
        <w:rPr>
          <w:i/>
          <w:iCs/>
          <w:color w:val="5B5B66"/>
          <w:sz w:val="20"/>
          <w:szCs w:val="20"/>
        </w:rPr>
        <w:t xml:space="preserve">Parses the dates found by the obligations-extraction module into a sortable ISO format.</w:t>
      </w:r>
    </w:p>
    <w:p>
      <w:pPr>
        <w:spacing w:after="200" w:line="300"/>
        <w:jc w:val="both"/>
      </w:pPr>
      <w:r>
        <w:t xml:space="preserve">Obligation extraction (renewal deadlines, notice periods, payment due dates) is also deliberately regex-only for the same auditability reason as the compliance engine — a wrong "type" label here is a user missing a real deadline, and an inspectable regex a lawyer can read beats a black-box classifier until there is a labeled dataset to properly train and evaluate one against. dateutil's role is narrow but necessary: once a regex has found something that looks like "January 1, 2027" or "01/12/2027", dateutil's best-effort parser turns it into a real, sortable date so a UI can order and alert on it, rather than leaving it as an opaque string.</w:t>
      </w:r>
    </w:p>
    <w:p>
      <w:pPr>
        <w:pStyle w:val="Heading2"/>
        <w:spacing w:after="160" w:before="320"/>
      </w:pPr>
      <w:r>
        <w:rPr>
          <w:b/>
          <w:bCs/>
        </w:rPr>
        <w:t xml:space="preserve">3.7 Authentication &amp; Security</w:t>
      </w:r>
    </w:p>
    <w:p>
      <w:pPr>
        <w:pStyle w:val="Heading3"/>
        <w:spacing w:after="100" w:before="240"/>
      </w:pPr>
      <w:r>
        <w:rPr>
          <w:b/>
          <w:bCs/>
          <w:color w:val="7C3AED"/>
        </w:rPr>
        <w:t xml:space="preserve">Salted + peppered SHA-256 password hashing, plain SQLite sessions</w:t>
      </w:r>
    </w:p>
    <w:p>
      <w:pPr>
        <w:spacing w:after="120"/>
      </w:pPr>
      <w:r>
        <w:rPr>
          <w:i/>
          <w:iCs/>
          <w:color w:val="5B5B66"/>
          <w:sz w:val="20"/>
          <w:szCs w:val="20"/>
        </w:rPr>
        <w:t xml:space="preserve">Local authentication without pulling in a full auth framework.</w:t>
      </w:r>
    </w:p>
    <w:p>
      <w:pPr>
        <w:spacing w:after="200" w:line="300"/>
        <w:jc w:val="both"/>
      </w:pPr>
      <w:r>
        <w:t xml:space="preserve">No JWT, no external auth provider — deliberately. Every password gets a random per-user salt plus a server-wide pepper (AUTH_PEPPER) before hashing, and sessions are opaque random tokens looked up against SQLite on every request, which is trivial to reason about and just as trivial to revoke (delete the row). For the current scale of this project — a small service on a single instance — this is a proportionate amount of auth machinery; the boundary for when to swap it for a real provider (Auth0, Cognito, a full OAuth stack) is explicit and documented directly in the module.</w:t>
      </w:r>
    </w:p>
    <w:p>
      <w:pPr>
        <w:pStyle w:val="Heading3"/>
        <w:spacing w:after="100" w:before="240"/>
      </w:pPr>
      <w:r>
        <w:rPr>
          <w:b/>
          <w:bCs/>
          <w:color w:val="7C3AED"/>
        </w:rPr>
        <w:t xml:space="preserve">google-auth</w:t>
      </w:r>
    </w:p>
    <w:p>
      <w:pPr>
        <w:spacing w:after="120"/>
      </w:pPr>
      <w:r>
        <w:rPr>
          <w:i/>
          <w:iCs/>
          <w:color w:val="5B5B66"/>
          <w:sz w:val="20"/>
          <w:szCs w:val="20"/>
        </w:rPr>
        <w:t xml:space="preserve">Server-side verification of Google Sign-In tokens.</w:t>
      </w:r>
    </w:p>
    <w:p>
      <w:pPr>
        <w:spacing w:after="200" w:line="300"/>
        <w:jc w:val="both"/>
      </w:pPr>
      <w:r>
        <w:t xml:space="preserve">The frontend receiving a Google ID token proves nothing on its own — a client could send any email/name pair it wants. google-auth's verify_oauth2_token is what actually checks the token's cryptographic signature against Google's public keys server-side, which is the entire point of offering Google Sign-In as an option at all. A small clock-skew allowance (10 seconds) is set explicitly, since the library's zero-tolerance default is stricter than real-world clock drift on most machines warrants.</w:t>
      </w:r>
    </w:p>
    <w:p>
      <w:pPr>
        <w:pStyle w:val="Heading2"/>
        <w:spacing w:after="160" w:before="320"/>
      </w:pPr>
      <w:r>
        <w:rPr>
          <w:b/>
          <w:bCs/>
        </w:rPr>
        <w:t xml:space="preserve">3.8 Data Storage</w:t>
      </w:r>
    </w:p>
    <w:p>
      <w:pPr>
        <w:pStyle w:val="Heading3"/>
        <w:spacing w:after="100" w:before="240"/>
      </w:pPr>
      <w:r>
        <w:rPr>
          <w:b/>
          <w:bCs/>
          <w:color w:val="7C3AED"/>
        </w:rPr>
        <w:t xml:space="preserve">SQLite (plain sqlite3, no ORM)</w:t>
      </w:r>
    </w:p>
    <w:p>
      <w:pPr>
        <w:spacing w:after="120"/>
      </w:pPr>
      <w:r>
        <w:rPr>
          <w:i/>
          <w:iCs/>
          <w:color w:val="5B5B66"/>
          <w:sz w:val="20"/>
          <w:szCs w:val="20"/>
        </w:rPr>
        <w:t xml:space="preserve">Stores users, sessions, chats, messages, and document metadata.</w:t>
      </w:r>
    </w:p>
    <w:p>
      <w:pPr>
        <w:spacing w:after="200" w:line="300"/>
        <w:jc w:val="both"/>
      </w:pPr>
      <w:r>
        <w:t xml:space="preserve">SQLite plus WAL (write-ahead logging) mode lets reads and writes proceed concurrently instead of blocking each other, which is exactly the concurrency profile a single-instance FastAPI service needs — no separate database server to run, back up, or lose network connectivity to. An ORM like SQLAlchemy was deliberately left out: at this scale, the extra abstraction layer wasn't buying anything over plain, indexed SQL, and every query in the codebase is short enough to read and audit directly. The upgrade path (a managed Postgres instance, an ORM) is explicit and isolated to one module (database.py) if the project ever needs true multi-instance scaling.</w:t>
      </w:r>
    </w:p>
    <w:p>
      <w:pPr>
        <w:pStyle w:val="Heading2"/>
        <w:spacing w:after="160" w:before="320"/>
      </w:pPr>
      <w:r>
        <w:rPr>
          <w:b/>
          <w:bCs/>
        </w:rPr>
        <w:t xml:space="preserve">3.9 Frontend</w:t>
      </w:r>
    </w:p>
    <w:p>
      <w:pPr>
        <w:pStyle w:val="Heading3"/>
        <w:spacing w:after="100" w:before="240"/>
      </w:pPr>
      <w:r>
        <w:rPr>
          <w:b/>
          <w:bCs/>
          <w:color w:val="7C3AED"/>
        </w:rPr>
        <w:t xml:space="preserve">Plain HTML5, CSS3, and JavaScript (ES6+) — no framework</w:t>
      </w:r>
    </w:p>
    <w:p>
      <w:pPr>
        <w:spacing w:after="120"/>
      </w:pPr>
      <w:r>
        <w:rPr>
          <w:i/>
          <w:iCs/>
          <w:color w:val="5B5B66"/>
          <w:sz w:val="20"/>
          <w:szCs w:val="20"/>
        </w:rPr>
        <w:t xml:space="preserve">The entire client-side experience: login, chat, upload, citations, reports.</w:t>
      </w:r>
    </w:p>
    <w:p>
      <w:pPr>
        <w:spacing w:after="200" w:line="300"/>
        <w:jc w:val="both"/>
      </w:pPr>
      <w:r>
        <w:t xml:space="preserve">No React, no build step, no bundler. For an interface whose job is a handful of screens — sign in, a chat window, an upload flow — a framework's benefits (component reuse across a large app, complex client-side state management) don't outweigh its costs (a build pipeline, a dependency tree, a slower iteration loop). Plain JavaScript talking directly to the REST API keeps the frontend deployable as static files served by literally anything, which is exactly what the current EC2 deployment does — a plain Python http.server process, nothing more.</w:t>
      </w:r>
    </w:p>
    <w:p>
      <w:pPr>
        <w:pStyle w:val="Heading2"/>
        <w:spacing w:after="160" w:before="320"/>
      </w:pPr>
      <w:r>
        <w:rPr>
          <w:b/>
          <w:bCs/>
        </w:rPr>
        <w:t xml:space="preserve">3.10 Deployment</w:t>
      </w:r>
    </w:p>
    <w:p>
      <w:pPr>
        <w:pStyle w:val="Heading3"/>
        <w:spacing w:after="100" w:before="240"/>
      </w:pPr>
      <w:r>
        <w:rPr>
          <w:b/>
          <w:bCs/>
          <w:color w:val="7C3AED"/>
        </w:rPr>
        <w:t xml:space="preserve">AWS EC2</w:t>
      </w:r>
    </w:p>
    <w:p>
      <w:pPr>
        <w:spacing w:after="120"/>
      </w:pPr>
      <w:r>
        <w:rPr>
          <w:i/>
          <w:iCs/>
          <w:color w:val="5B5B66"/>
          <w:sz w:val="20"/>
          <w:szCs w:val="20"/>
        </w:rPr>
        <w:t xml:space="preserve">Hosts both the backend API and the static frontend.</w:t>
      </w:r>
    </w:p>
    <w:p>
      <w:pPr>
        <w:spacing w:after="200" w:line="300"/>
        <w:jc w:val="both"/>
      </w:pPr>
      <w:r>
        <w:t xml:space="preserve">A single EC2 instance is enough to run everything this project needs: the FastAPI backend on one port, a static file server for the frontend on another. For a project at this stage — a working demo rather than a production service handling real user volume — a single general-purpose instance avoids the operational overhead of a multi-service, load-balanced deployment while still being a real, publicly reachable environment rather than a laptop-only demo. The path to production hardening from here (HTTPS termination, a tighter CORS policy, horizontal scaling behind a load balancer) is well understood and incremental, not a rewrite.</w:t>
      </w:r>
    </w:p>
    <w:p>
      <w:r>
        <w:br w:type="page"/>
      </w:r>
    </w:p>
    <w:p>
      <w:pPr>
        <w:pStyle w:val="Heading1"/>
        <w:spacing w:after="200" w:before="480"/>
      </w:pPr>
      <w:r>
        <w:rPr>
          <w:b/>
          <w:bCs/>
        </w:rPr>
        <w:t xml:space="preserve">4. Why This Stack Fits the Problem</w:t>
      </w:r>
    </w:p>
    <w:p>
      <w:pPr>
        <w:spacing w:after="200" w:line="300"/>
        <w:jc w:val="both"/>
      </w:pPr>
      <w:r>
        <w:t xml:space="preserve">Looked at individually, every tool above was picked for a specific, narrow reason. Looked at together, they share one property that matters more than any of them alone: almost nothing in this stack requires a GPU, and nothing requires a large, dedicated model server. The embeddings model, the reranker, the OCR engine, and the risk classifier are all deliberately chosen at the light end of their category's size/accuracy trade-off, all running through the same CPU-friendly ONNX Runtime where possible. The one genuinely large model in the pipeline — the LLM itself — is not run locally at all; it's a hosted API call. The result is a system that can realistically run end-to-end on a single modest cloud instance, which matches exactly the constraint this project actually operates under.</w:t>
      </w:r>
    </w:p>
    <w:p>
      <w:pPr>
        <w:spacing w:after="200" w:line="300"/>
        <w:jc w:val="both"/>
      </w:pPr>
      <w:r>
        <w:t xml:space="preserve">The second thread running through the whole stack is groundedness. Nearly every design decision documented above — hybrid retrieval instead of dense-only, a reranker instead of trusting raw similarity scores, confidence thresholds before a classifier's output reaches the prompt, citations returned alongside every answer, a rule engine instead of a model for compliance checks — exists to make sure the system's output is traceable back to something real in the document, rather than a plausible-sounding guess. For a domain where a wrong answer has real consequences, that property was treated as a requirement, not a nice-to-have.</w:t>
      </w:r>
    </w:p>
    <w:p>
      <w:pPr>
        <w:spacing w:after="200" w:line="300"/>
        <w:jc w:val="both"/>
      </w:pPr>
      <w:r>
        <w:t xml:space="preserve">Finally, every optional stage is built to fail safely. A missing OCR model, an untrained risk classifier, an unreachable Whisper download — none of these take the system down; each one narrows what a single request can do and says so explicitly in the response. That degrade-gracefully property is itself a technology choice as much as any individual library is: it shaped how the orchestrator itself is written, wrapping every model call in the same _safe() boundary rather than letting any one missing piece become a single point of failure for the whole service.</w:t>
      </w:r>
    </w:p>
    <w:p>
      <w:r>
        <w:br w:type="page"/>
      </w:r>
    </w:p>
    <w:p>
      <w:pPr>
        <w:pStyle w:val="Heading1"/>
        <w:spacing w:after="200" w:before="480"/>
      </w:pPr>
      <w:r>
        <w:rPr>
          <w:b/>
          <w:bCs/>
        </w:rPr>
        <w:t xml:space="preserve">5. Limitations &amp; Future Work</w:t>
      </w:r>
    </w:p>
    <w:p>
      <w:pPr>
        <w:pStyle w:val="ListParagraph"/>
        <w:numPr>
          <w:ilvl w:val="0"/>
          <w:numId w:val="2"/>
        </w:numPr>
        <w:spacing w:after="100" w:line="280"/>
      </w:pPr>
      <w:r>
        <w:t xml:space="preserve">AI-generated risk flags, compliance findings, and chat answers are model outputs, not legal advice — the system is built to ground and caveat them, not to replace a qualified lawyer's review.</w:t>
      </w:r>
    </w:p>
    <w:p>
      <w:pPr>
        <w:pStyle w:val="ListParagraph"/>
        <w:numPr>
          <w:ilvl w:val="0"/>
          <w:numId w:val="2"/>
        </w:numPr>
        <w:spacing w:after="100" w:line="280"/>
      </w:pPr>
      <w:r>
        <w:t xml:space="preserve">The risk classifier needs a trained model dropped into place before it can run at all; until then, that specific stage degrades to a documented warning rather than silently returning nothing.</w:t>
      </w:r>
    </w:p>
    <w:p>
      <w:pPr>
        <w:pStyle w:val="ListParagraph"/>
        <w:numPr>
          <w:ilvl w:val="0"/>
          <w:numId w:val="2"/>
        </w:numPr>
        <w:spacing w:after="100" w:line="280"/>
      </w:pPr>
      <w:r>
        <w:t xml:space="preserve">Arabic OCR needs one additional small model fetched by a setup script — it is not bundled by default the way the English recognizer is.</w:t>
      </w:r>
    </w:p>
    <w:p>
      <w:pPr>
        <w:pStyle w:val="ListParagraph"/>
        <w:numPr>
          <w:ilvl w:val="0"/>
          <w:numId w:val="2"/>
        </w:numPr>
        <w:spacing w:after="100" w:line="280"/>
      </w:pPr>
      <w:r>
        <w:t xml:space="preserve">The vector store's brute-force similarity search is appropriate at the current target scale (up to a few hundred thousand chunks per document) and would need a dedicated ANN index (FAISS, Chroma) well beyond that.</w:t>
      </w:r>
    </w:p>
    <w:p>
      <w:pPr>
        <w:pStyle w:val="ListParagraph"/>
        <w:numPr>
          <w:ilvl w:val="0"/>
          <w:numId w:val="2"/>
        </w:numPr>
        <w:spacing w:after="100" w:line="280"/>
      </w:pPr>
      <w:r>
        <w:t xml:space="preserve">The system depends on an external LLM provider (Groq); its availability and latency are outside the platform's direct control.</w:t>
      </w:r>
    </w:p>
    <w:p>
      <w:pPr>
        <w:pStyle w:val="ListParagraph"/>
        <w:numPr>
          <w:ilvl w:val="0"/>
          <w:numId w:val="2"/>
        </w:numPr>
        <w:spacing w:after="100" w:line="280"/>
      </w:pPr>
      <w:r>
        <w:t xml:space="preserve">SQLite and local-disk storage assume a single instance — horizontal scaling would need a managed database and shared object storage.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B66"/>
        <w:sz w:val="18"/>
        <w:szCs w:val="18"/>
      </w:rPr>
      <w:t xml:space="preserve">Page </w:t>
    </w:r>
    <w:r>
      <w:rPr>
        <w:color w:val="5B5B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5B66"/>
        <w:sz w:val="16"/>
        <w:szCs w:val="16"/>
      </w:rPr>
      <w:t xml:space="preserve">TERMS — Technology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B1B1F"/>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E8590C"/>
      <w:sz w:val="26"/>
      <w:szCs w:val="26"/>
    </w:rPr>
  </w:style>
  <w:style w:type="paragraph" w:styleId="Heading3">
    <w:name w:val="Heading 3"/>
    <w:basedOn w:val="Normal"/>
    <w:next w:val="Normal"/>
    <w:qFormat/>
    <w:pPr>
      <w:spacing w:after="100" w:before="240"/>
      <w:outlineLvl w:val="2"/>
    </w:pPr>
    <w:rPr>
      <w:rFonts w:ascii="Calibri" w:cs="Calibri" w:eastAsia="Calibri" w:hAnsi="Calibri"/>
      <w:b/>
      <w:bCs/>
      <w:color w:val="7C3AE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d60d4cf9a351c88c2b080ff26b7ef61f39ada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2026-08-07T10:09:54.395Z</dcterms:created>
  <dcterms:modified xsi:type="dcterms:W3CDTF">2026-08-07T10:09:54.409Z</dcterms:modified>
</cp:coreProperties>
</file>

<file path=docProps/custom.xml><?xml version="1.0" encoding="utf-8"?>
<Properties xmlns="http://schemas.openxmlformats.org/officeDocument/2006/custom-properties" xmlns:vt="http://schemas.openxmlformats.org/officeDocument/2006/docPropsVTypes"/>
</file>