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Week 2 Data Analysis Report</w:t>
      </w:r>
    </w:p>
    <w:p>
      <w:pP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Cairo Air Quality Forecasting: five districts, 1,096 days (2023-09-01 to 2026-08-31)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0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Mohamed Amr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Statistical hypothesis testing &amp; correlation analysis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Abdelrahman Rafiq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STL decomposition, AQI labels, wind encoding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Abdelrahman Ashraf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Spatial interpolation, upwind/downwind and interaction features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Yousif Sherif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Satellite validation &amp; definitive feature matrix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Yousif Mamdouh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Seasonal spatial patterns &amp; feature-importance pre-screening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Abdullah Alaa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Weather-pollution dashboard, weekday/weekend analysis, report &amp; final dataset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Districts differ significantly</w:t>
      </w:r>
      <w:r>
        <w:rPr>
          <w:rFonts w:ascii="Arial" w:cs="Arial" w:eastAsia="Arial" w:hAnsi="Arial"/>
          <w:sz w:val="21"/>
          <w:szCs w:val="21"/>
        </w:rPr>
        <w:t xml:space="preserve"> for PM2.5, PM10, NO2 and SO2 (Kruskal-Wallis p &lt; 0.001 for all four), so one city-wide model would average away real local structure.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Seasonality is strong.</w:t>
      </w:r>
      <w:r>
        <w:rPr>
          <w:rFonts w:ascii="Arial" w:cs="Arial" w:eastAsia="Arial" w:hAnsi="Arial"/>
          <w:sz w:val="21"/>
          <w:szCs w:val="21"/>
        </w:rPr>
        <w:t xml:space="preserve"> PM10 shifts significantly in the Khamsin season in all five districts, and PM2.5 is higher in winter than in summer in four of five districts (October is the exception).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Wind speed is the main weather driver</w:t>
      </w:r>
      <w:r>
        <w:rPr>
          <w:rFonts w:ascii="Arial" w:cs="Arial" w:eastAsia="Arial" w:hAnsi="Arial"/>
          <w:sz w:val="21"/>
          <w:szCs w:val="21"/>
        </w:rPr>
        <w:t xml:space="preserve"> (Spearman r = -0.69 with SO2 and -0.59 with NO2 pooled). Pressure is positively and temperature negatively associated with NO2/SO2.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Health risk is common.</w:t>
      </w:r>
      <w:r>
        <w:rPr>
          <w:rFonts w:ascii="Arial" w:cs="Arial" w:eastAsia="Arial" w:hAnsi="Arial"/>
          <w:sz w:val="21"/>
          <w:szCs w:val="21"/>
        </w:rPr>
        <w:t xml:space="preserve"> 12-31% of days per district are Unhealthy or worse. No day is Good or Hazardous, and only 5 days are Very Unhealthy, so the classification target is heavily imbalanced.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Satellite NO2 carries signal</w:t>
      </w:r>
      <w:r>
        <w:rPr>
          <w:rFonts w:ascii="Arial" w:cs="Arial" w:eastAsia="Arial" w:hAnsi="Arial"/>
          <w:sz w:val="21"/>
          <w:szCs w:val="21"/>
        </w:rPr>
        <w:t xml:space="preserve"> (r = 0.40-0.60 vs surface NO2). Satellite SO2 and CO do not (r &lt; 0.16) and are dropped.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Deliverable for Week 3: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daily_features_v2.parquet</w:t>
      </w:r>
      <w:r>
        <w:rPr>
          <w:rFonts w:ascii="Arial" w:cs="Arial" w:eastAsia="Arial" w:hAnsi="Arial"/>
          <w:sz w:val="21"/>
          <w:szCs w:val="21"/>
        </w:rPr>
        <w:t xml:space="preserve">, 5,480 rows x 105 columns, built from the final drop list, with the rolling averages recomputed on previous days only.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Statistical Analysis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Source: Task 1, Mohamed Amr. Significance level α = 0.05 throughout.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1.1 Differences between districts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One-way ANOVA (means) and the Kruskal-Wallis test (ranks, no normality assumption) were applied to each pollutant, with H0 = all five districts share the same distribution. Significant Kruskal-Wallis results were followed by Dunn's post-hoc test with Holm correction.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000"/>
        <w:gridCol w:w="1500"/>
        <w:gridCol w:w="900"/>
        <w:gridCol w:w="40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Pollutant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ANOVA 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ANOVA 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Kruskal-Wallis 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K-W p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Post-hoc (Dunn-Holm)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PM2.5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121.47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638.59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Most pairs differ. Helwan vs Shobra does not (p = 0.775)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PM10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39.98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183.21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Cairo and Shobra differ from all others. Downtown, Helwan, October are similar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601.18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2115.58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pair differs (all p &lt; 0.001)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616.05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2703.83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pair differs (all p &lt; 0.001)</w:t>
            </w:r>
          </w:p>
        </w:tc>
      </w:tr>
    </w:tbl>
    <w:p>
      <w:pPr>
        <w:keepNext w:val="false"/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Meaning:</w:t>
      </w:r>
      <w:r>
        <w:rPr>
          <w:rFonts w:ascii="Arial" w:cs="Arial" w:eastAsia="Arial" w:hAnsi="Arial"/>
          <w:sz w:val="21"/>
          <w:szCs w:val="21"/>
        </w:rPr>
        <w:t xml:space="preserve"> pollution is not spatially uniform. NO2 and SO2 are the most district-specific, which supports district-aware features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station_id</w:t>
      </w:r>
      <w:r>
        <w:rPr>
          <w:rFonts w:ascii="Arial" w:cs="Arial" w:eastAsia="Arial" w:hAnsi="Arial"/>
          <w:sz w:val="21"/>
          <w:szCs w:val="21"/>
        </w:rPr>
        <w:t xml:space="preserve">, road and industrial context). The tests show that districts differ, not why.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1.2 Seasonal regimes</w:t>
      </w:r>
    </w:p>
    <w:p>
      <w:pPr>
        <w:keepNext/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PM10, Khamsin (Mar-May) vs non-Khamsin, Mann-Whitney 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00"/>
        <w:gridCol w:w="21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 statistic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Downtown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123,301.5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0.0258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130,965.5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Cairo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129,172.0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October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133,051.5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0.001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123,007.5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0.0304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120"/>
      </w:pPr>
    </w:p>
    <w:p>
      <w:pPr>
        <w:keepNext/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PM2.5, winter (Dec-Feb) vs summer (Jun-Aug), Mann-Whitney U (all p &lt; 0.001):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  <w:gridCol w:w="17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Winter median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Summer median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 statistic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Downtown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60.01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41.99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62,774.5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Winter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54.23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42.70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50,495.0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Winter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Cairo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46.57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34.44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55,606.0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Winter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October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33.49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40.42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28,258.5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Summer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61.29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36.99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68,303.0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Winter</w:t>
            </w:r>
          </w:p>
        </w:tc>
      </w:tr>
    </w:tbl>
    <w:p>
      <w:pPr>
        <w:keepNext w:val="false"/>
        <w:spacing w:after="120" w:before="14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Meaning:</w:t>
      </w:r>
      <w:r>
        <w:rPr>
          <w:rFonts w:ascii="Arial" w:cs="Arial" w:eastAsia="Arial" w:hAnsi="Arial"/>
          <w:sz w:val="21"/>
          <w:szCs w:val="21"/>
        </w:rPr>
        <w:t xml:space="preserve"> the seasonal flags already in the dataset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is_Khamsin_season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season</w:t>
      </w:r>
      <w:r>
        <w:rPr>
          <w:rFonts w:ascii="Arial" w:cs="Arial" w:eastAsia="Arial" w:hAnsi="Arial"/>
          <w:sz w:val="21"/>
          <w:szCs w:val="21"/>
        </w:rPr>
        <w:t xml:space="preserve">) correspond to statistically significant shifts, so they are valid features. October behaves differently (higher PM2.5 in summer), another reason to keep district identity in the model.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1.3 Weather-pollution correlations (Spearman, per district)</w:t>
      </w:r>
    </w:p>
    <w:p>
      <w:pPr>
        <w:keepNext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Correlations with |r| &gt; 0.4 were flagged as strong drivers. The strongest per-district results: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Downtown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Helwan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Cairo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Shobra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SO2 vs wind speed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-0.75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-0.66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-0.63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NO2 vs wind speed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-0.67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NO2 vs temperature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-0.55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-0.48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-0.48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SO2 vs temperature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NO2 vs surface pressure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0.53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0.53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SO2 vs surface pressure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0.45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"-" = no strong correlation (|r| &gt; 0.4) flagged for this pair. PM10 vs surface pressure in October: r = -0.44.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Wind speed, temperature and surface pressure produce most of the strong correlations; relative humidity and precipitation do not. These are associations, not causal effects.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429000" cy="2857500"/>
            <wp:effectExtent t="0" r="0" b="0" l="0"/>
            <wp:docPr id="1" name="heatmap.png" descr="heatmap.png" title="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1. Pooled Spearman correlation matrix (all districts), computed from the Week 2 dataset for the dashboard heatmap.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Temporal Decomposition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Source: Task 2, Abdelrahman Rafiq. STL decomposition was run on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pm10</w:t>
      </w:r>
      <w:r>
        <w:rPr>
          <w:rFonts w:ascii="Arial" w:cs="Arial" w:eastAsia="Arial" w:hAnsi="Arial"/>
          <w:sz w:val="21"/>
          <w:szCs w:val="21"/>
        </w:rPr>
        <w:t xml:space="preserve"> for each district with weekly (period = 7) and annual (period = 365) cycles. Helwan PM2.5 uses a multiplicative model (seasonal amplitude grows with the trend); the other series use an additive model.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2.1 Trend, seasonality and residuals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300"/>
        <w:gridCol w:w="2000"/>
        <w:gridCol w:w="3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PM2.5 trend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PM10 trend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Winter seasonal addition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residual drivers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Downtown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59 → 45 µg/m³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52 → 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+80 to +100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Winter pollution shocks (up to +75)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46 → 51 (rising)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 → 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+100 to +140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Industrial emissions and dust (up to +120)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Cairo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45 → 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43.5 → 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+75 to +100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Early-year and winter spikes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6th of October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37.5 → 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61 → 44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+75 to +150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Spring dust (Khamsin), -150 to +150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 → 43.5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 → 35.5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about +100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 combustion and spring dust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Trend ranges are from roughly late 2023 to late 2026. Seasonal additions are in µg/m³ (PM10 winter peaks).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Trend:</w:t>
      </w:r>
      <w:r>
        <w:rPr>
          <w:rFonts w:ascii="Arial" w:cs="Arial" w:eastAsia="Arial" w:hAnsi="Arial"/>
          <w:sz w:val="21"/>
          <w:szCs w:val="21"/>
        </w:rPr>
        <w:t xml:space="preserve"> PM2.5 is falling in Downtown, New Cairo and Shobra after a 2024 peak, and rising slowly in Helwan and October. PM10 declines in all five districts by late 2026.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Seasonality:</w:t>
      </w:r>
      <w:r>
        <w:rPr>
          <w:rFonts w:ascii="Arial" w:cs="Arial" w:eastAsia="Arial" w:hAnsi="Arial"/>
          <w:sz w:val="21"/>
          <w:szCs w:val="21"/>
        </w:rPr>
        <w:t xml:space="preserve"> winter (Dec-Jan) dominates the annual cycle. Weekly oscillations are smaller, roughly ±20 µg/m³ for PM2.5.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Residuals:</w:t>
      </w:r>
      <w:r>
        <w:rPr>
          <w:rFonts w:ascii="Arial" w:cs="Arial" w:eastAsia="Arial" w:hAnsi="Arial"/>
          <w:sz w:val="21"/>
          <w:szCs w:val="21"/>
        </w:rPr>
        <w:t xml:space="preserve"> zero-centred, with large positive spikes in winter stagnation and spring dust events. These unexplained spikes are the hardest for any model to predict.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The following figures illustrate the complete STL decomposition process for stations (Helwan and Downtown). The full set of STL component breakdowns for all 5 monitoring stations and target pollutants (PM2.5 and PM10) is available in the project repository notebook.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191000" cy="2924175"/>
            <wp:effectExtent t="0" r="0" b="0" l="0"/>
            <wp:docPr id="1" name="stl_downtown.png" descr="stl_downtown.png" title="stl_downt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2. Downtown PM2.5 (corrected), 365-day STL, additive model: observed, trend, seasonal and residual.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191000" cy="2924175"/>
            <wp:effectExtent t="0" r="0" b="0" l="0"/>
            <wp:docPr id="1" name="stl_helwan.png" descr="stl_helwan.png" title="stl_helw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3. Helwan PM2.5 (corrected), 365-day STL, multiplicative model.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2.2 AQI classification</w:t>
      </w:r>
    </w:p>
    <w:p>
      <w:pPr>
        <w:keepNext w:val="false"/>
        <w:spacing w:after="120" w:line="30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aqi_category</w:t>
      </w:r>
      <w:r>
        <w:rPr>
          <w:rFonts w:ascii="Arial" w:cs="Arial" w:eastAsia="Arial" w:hAnsi="Arial"/>
          <w:sz w:val="21"/>
          <w:szCs w:val="21"/>
        </w:rPr>
        <w:t xml:space="preserve"> applies US EPA breakpoints to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</w:t>
      </w:r>
      <w:r>
        <w:rPr>
          <w:rFonts w:ascii="Arial" w:cs="Arial" w:eastAsia="Arial" w:hAnsi="Arial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is_health_risk</w:t>
      </w:r>
      <w:r>
        <w:rPr>
          <w:rFonts w:ascii="Arial" w:cs="Arial" w:eastAsia="Arial" w:hAnsi="Arial"/>
          <w:sz w:val="21"/>
          <w:szCs w:val="21"/>
        </w:rPr>
        <w:t xml:space="preserve"> = 1 for Unhealthy or worse.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PM2.5 range (µg/m³)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Good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0 - 12.0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Moderate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12.1 - 35.4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Unhealthy for Sensitive Groups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35.5 - 55.4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Unhealthy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55.5 - 150.4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Very Unhealthy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150.5 - 250.4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Hazardous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250.5</w:t>
            </w:r>
          </w:p>
        </w:tc>
      </w:tr>
    </w:tbl>
    <w:p>
      <w:pPr>
        <w:spacing w:after="120"/>
      </w:pPr>
    </w:p>
    <w:p>
      <w:pPr>
        <w:keepNext/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 distribution per district (% of days; counts computed from the final dataset):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100"/>
        <w:gridCol w:w="900"/>
        <w:gridCol w:w="1200"/>
        <w:gridCol w:w="1700"/>
        <w:gridCol w:w="1138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Unhealthy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Very Unhealthy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Hazardous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Health-risk days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Downtown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57.8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31.1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31.1%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49.9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26.3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0.3 (3 days)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26.6%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Cairo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44.3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42.5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13.2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13.2%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October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52.0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35.6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12.4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12.4%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49.7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27.4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0.2 (2 days)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27.6%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Observed Distribution: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Very Unhealthy</w:t>
      </w:r>
      <w:r>
        <w:rPr>
          <w:rFonts w:ascii="Arial" w:cs="Arial" w:eastAsia="Arial" w:hAnsi="Arial"/>
          <w:sz w:val="21"/>
          <w:szCs w:val="21"/>
        </w:rPr>
        <w:t xml:space="preserve">: 5 instances out of 5,480 (~0.091%): Helwan 3 and Shobra 2.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Hazardous</w:t>
      </w:r>
      <w:r>
        <w:rPr>
          <w:rFonts w:ascii="Arial" w:cs="Arial" w:eastAsia="Arial" w:hAnsi="Arial"/>
          <w:sz w:val="21"/>
          <w:szCs w:val="21"/>
        </w:rPr>
        <w:t xml:space="preserve">: 0 instances (0.000%).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 imbalance:</w:t>
      </w:r>
      <w:r>
        <w:rPr>
          <w:rFonts w:ascii="Arial" w:cs="Arial" w:eastAsia="Arial" w:hAnsi="Arial"/>
          <w:sz w:val="21"/>
          <w:szCs w:val="21"/>
        </w:rPr>
        <w:t xml:space="preserve"> the upper AQI categories are extremely rare, so the six-class target is heavily imbalanced.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Implication for Week 3:</w:t>
      </w:r>
      <w:r>
        <w:rPr>
          <w:rFonts w:ascii="Arial" w:cs="Arial" w:eastAsia="Arial" w:hAnsi="Arial"/>
          <w:sz w:val="21"/>
          <w:szCs w:val="21"/>
        </w:rPr>
        <w:t xml:space="preserve"> classification models and risk predictors should not rely on standard cross-entropy loss or unweighted accuracy. Suitable techniques include: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 Weighting:</w:t>
      </w:r>
      <w:r>
        <w:rPr>
          <w:rFonts w:ascii="Arial" w:cs="Arial" w:eastAsia="Arial" w:hAnsi="Arial"/>
          <w:sz w:val="21"/>
          <w:szCs w:val="21"/>
        </w:rPr>
        <w:t xml:space="preserve"> Assigning significantly higher loss penalties to misclassifying minority classes.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Resampling:</w:t>
      </w:r>
      <w:r>
        <w:rPr>
          <w:rFonts w:ascii="Arial" w:cs="Arial" w:eastAsia="Arial" w:hAnsi="Arial"/>
          <w:sz w:val="21"/>
          <w:szCs w:val="21"/>
        </w:rPr>
        <w:t xml:space="preserve"> Using SMOTE, oversampling rare classes, or focal loss functions.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 Reformulation:</w:t>
      </w:r>
      <w:r>
        <w:rPr>
          <w:rFonts w:ascii="Arial" w:cs="Arial" w:eastAsia="Arial" w:hAnsi="Arial"/>
          <w:sz w:val="21"/>
          <w:szCs w:val="21"/>
        </w:rPr>
        <w:t xml:space="preserve"> Grouping rare extreme classes into broader buckets (e.g., evaluating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is_health_risk</w:t>
      </w:r>
      <w:r>
        <w:rPr>
          <w:rFonts w:ascii="Arial" w:cs="Arial" w:eastAsia="Arial" w:hAnsi="Arial"/>
          <w:sz w:val="21"/>
          <w:szCs w:val="21"/>
        </w:rPr>
        <w:t xml:space="preserve"> as a binary flag where 1 = Unhealthy or above, which combines Unhealthy, Very Unhealthy, and Hazardous into a single more frequent target class).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095750" cy="2038350"/>
            <wp:effectExtent t="0" r="0" b="0" l="0"/>
            <wp:docPr id="1" name="aqi-000.png" descr="aqi-000.png" title="aqi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4. AQI category distribution by district (Task 2).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095750" cy="2028825"/>
            <wp:effectExtent t="0" r="0" b="0" l="0"/>
            <wp:docPr id="1" name="aqi-001.png" descr="aqi-001.png" title="aqi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5. Health-risk vs no-risk days by district (Task 2).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2.3 Wind direction encoding</w:t>
      </w:r>
    </w:p>
    <w:p>
      <w:pPr>
        <w:keepNext w:val="false"/>
        <w:spacing w:after="120" w:line="30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wind_dir_sin = sin(θ·π/180)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wind_dir_cos = cos(θ·π/180)</w:t>
      </w:r>
      <w:r>
        <w:rPr>
          <w:rFonts w:ascii="Arial" w:cs="Arial" w:eastAsia="Arial" w:hAnsi="Arial"/>
          <w:sz w:val="21"/>
          <w:szCs w:val="21"/>
        </w:rPr>
        <w:t xml:space="preserve"> replace all raw wind-direction columns, removing the 359°/1° discontinuity of a circular variable.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Spatial Analysis &amp; New Features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Source: Task 3, Abdelrahman Ashraf. District coordinates are those used for the Open-Meteo requests.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wind_dir_sin/cos</w:t>
      </w:r>
      <w:r>
        <w:rPr>
          <w:rFonts w:ascii="Arial" w:cs="Arial" w:eastAsia="Arial" w:hAnsi="Arial"/>
          <w:sz w:val="21"/>
          <w:szCs w:val="21"/>
        </w:rPr>
        <w:t xml:space="preserve"> use the meteorological convention (direction the wind blows from, clockwise from north); the overall mean of 340° (NNW) matches Cairo's prevailing wind.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3.1 Spatial IDW interpolation check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Downtown PM2.5 was estimated each day from the other four districts using inverse distance weighting (haversine distance, power p = 2) and compared with the actual Downtown series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</w:t>
      </w:r>
      <w:r>
        <w:rPr>
          <w:rFonts w:ascii="Arial" w:cs="Arial" w:eastAsia="Arial" w:hAnsi="Arial"/>
          <w:sz w:val="21"/>
          <w:szCs w:val="21"/>
        </w:rPr>
        <w:t xml:space="preserve">; no raw OpenAQ column exists in the file).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400"/>
        <w:gridCol w:w="1400"/>
        <w:gridCol w:w="15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 (µg/m³)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IDW p = 2 (headline)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6.63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-4.02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0.960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IDW p =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6.70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8.38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-5.72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0.944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IDW p =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4.73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-2.96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0.961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Simple mean of 4 districts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11.07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-7.51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0.899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 only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6.66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-2.15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0.958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Persistence (yesterday)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9.83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14.71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-0.01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0.684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Climatology (mean)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13.51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18.50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Leave-one-out IDW (p = 2) per district:</w:t>
      </w:r>
      <w:r>
        <w:rPr>
          <w:rFonts w:ascii="Arial" w:cs="Arial" w:eastAsia="Arial" w:hAnsi="Arial"/>
          <w:sz w:val="21"/>
          <w:szCs w:val="21"/>
        </w:rPr>
        <w:t xml:space="preserve"> Shobra MAE 4.59 / r 0.956, Downtown 5.16 / 0.960, Helwan 9.06 / 0.790, New Cairo 9.78 / 0.862, October 14.43 / 0.595.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Proximity is meaningful</w:t>
      </w:r>
      <w:r>
        <w:rPr>
          <w:rFonts w:ascii="Arial" w:cs="Arial" w:eastAsia="Arial" w:hAnsi="Arial"/>
          <w:sz w:val="21"/>
          <w:szCs w:val="21"/>
        </w:rPr>
        <w:t xml:space="preserve"> around Downtown, Shobra and New Cairo: IDW beats persistence, climatology and the plain district mean.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IDW is essentially Shobra plus a small correction.</w:t>
      </w:r>
      <w:r>
        <w:rPr>
          <w:rFonts w:ascii="Arial" w:cs="Arial" w:eastAsia="Arial" w:hAnsi="Arial"/>
          <w:sz w:val="21"/>
          <w:szCs w:val="21"/>
        </w:rPr>
        <w:t xml:space="preserve"> Shobra carries 71% of the weight, and Shobra alone (MAE 4.81, r 0.958) is almost as good.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October and Helwan are source-dominated.</w:t>
      </w:r>
      <w:r>
        <w:rPr>
          <w:rFonts w:ascii="Arial" w:cs="Arial" w:eastAsia="Arial" w:hAnsi="Arial"/>
          <w:sz w:val="21"/>
          <w:szCs w:val="21"/>
        </w:rPr>
        <w:t xml:space="preserve"> Neighbours predict October poorly (r 0.52-0.60), so district-specific features matter there.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Shared forcing:</w:t>
      </w:r>
      <w:r>
        <w:rPr>
          <w:rFonts w:ascii="Arial" w:cs="Arial" w:eastAsia="Arial" w:hAnsi="Arial"/>
          <w:sz w:val="21"/>
          <w:szCs w:val="21"/>
        </w:rPr>
        <w:t xml:space="preserve"> the districts share the same reanalysis source and regional weather, so part of the 0.96 correlation is common forcing. The IDW estimate was kept as a diagnostic and not added as a feature, because it is a linear combination of other districts' same-day PM2.5 and would leak target-like information.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3.2 Upwind / downwind industrial exposure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 district is flagged downwind of a source (Helwan or Shobra El-Kheima, treated as point sources) when the direction the wind blows toward is within ±45° of the bearing from the source to that district.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is_downwind_helwan</w:t>
      </w:r>
      <w:r>
        <w:rPr>
          <w:rFonts w:ascii="Arial" w:cs="Arial" w:eastAsia="Arial" w:hAnsi="Arial"/>
          <w:sz w:val="21"/>
          <w:szCs w:val="21"/>
        </w:rPr>
        <w:t xml:space="preserve"> is 1 on about 5.1% of rows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is_downwind_shobra</w:t>
      </w:r>
      <w:r>
        <w:rPr>
          <w:rFonts w:ascii="Arial" w:cs="Arial" w:eastAsia="Arial" w:hAnsi="Arial"/>
          <w:sz w:val="21"/>
          <w:szCs w:val="21"/>
        </w:rPr>
        <w:t xml:space="preserve"> on about 36.2%; a source is never flagged downwind of itself.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4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→ district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 must come from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days flagged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 → Downtown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SSE (156°)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6.2%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 → Shobra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SSE (164°)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7.1%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 → New Cairo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SW (221°)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10.1%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 → October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ESE (110°)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2.2%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 → Downtown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N (4°)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55.8%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 → Helwan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NNW (344°)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58.3%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 → New Cairo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WNW (299°)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43.3%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 → October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 ENE (59°)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23.5%</w:t>
            </w:r>
          </w:p>
        </w:tc>
      </w:tr>
    </w:tbl>
    <w:p>
      <w:pPr>
        <w:spacing w:after="120"/>
      </w:pPr>
    </w:p>
    <w:p>
      <w:pPr>
        <w:spacing w:after="140" w:before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Interpretation.</w:t>
      </w:r>
      <w:r>
        <w:rPr>
          <w:rFonts w:ascii="Arial" w:cs="Arial" w:eastAsia="Arial" w:hAnsi="Arial"/>
          <w:sz w:val="21"/>
          <w:szCs w:val="21"/>
        </w:rPr>
        <w:t xml:space="preserve"> The flags are confounded with weather regime and season. About 63-66% of Helwan-downwind days fall in winter (southerly, low-dispersion flow), so higher PM on those days cannot be attributed to Helwan's emissions. Treat the flags as a geometry-aware re-encoding of wind direction, and test their importance after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wind_dir_sin/cos</w:t>
      </w:r>
      <w:r>
        <w:rPr>
          <w:rFonts w:ascii="Arial" w:cs="Arial" w:eastAsia="Arial" w:hAnsi="Arial"/>
          <w:sz w:val="21"/>
          <w:szCs w:val="21"/>
        </w:rPr>
        <w:t xml:space="preserve">, season and lags are in the model.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3.3 Interaction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dust_transport_proxy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wind_speed_10m_mean × pm10_lag_1d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Resuspension/advection proxy. 5 NaN (first day per district). Spearman with PM10 0.49, below pm10_lag_1d alone (0.70)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inversion_proxy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relative_humidity_2m_max × (temp_max − temp_min)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Implemented as specified, but a high value means a larger temperature range, i.e. less inversion-prone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inversion_proxy_v2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relative_humidity_2m_max / max(temp range, 1 °C)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Physically signed version: high value = humid and small temperature range = inversion-prone</w:t>
            </w:r>
          </w:p>
        </w:tc>
      </w:tr>
    </w:tbl>
    <w:p>
      <w:pPr>
        <w:keepNext w:val="false"/>
        <w:spacing w:after="120" w:before="140" w:line="300"/>
      </w:pPr>
      <w:r>
        <w:rPr>
          <w:rFonts w:ascii="Arial" w:cs="Arial" w:eastAsia="Arial" w:hAnsi="Arial"/>
          <w:sz w:val="21"/>
          <w:szCs w:val="21"/>
        </w:rPr>
        <w:t xml:space="preserve">Both inversion features are weak marginal predictors (Spearman with PM2.5 of -0.01 and -0.09), so they should be judged by model-based importance rather than by correlation.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3.4 New columns added to the dataset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1838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aqi_category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is_health_risk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categorical / binary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wind_dir_sin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wind_dir_cos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float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is_downwind_helwan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is_downwind_shobra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binary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dust_transport_proxy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float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inversion_proxy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inversion_proxy_v2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float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 3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Satellite Validation &amp; Feature Decisions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Source: Task 4, Yousif Sherif. Spearman correlation between each Sentinel-5P column and its surface counterpart, using only rows where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s5p_*_is_observed = 1</w:t>
      </w:r>
      <w:r>
        <w:rPr>
          <w:rFonts w:ascii="Arial" w:cs="Arial" w:eastAsia="Arial" w:hAnsi="Arial"/>
          <w:sz w:val="21"/>
          <w:szCs w:val="21"/>
        </w:rPr>
        <w:t xml:space="preserve">. Pairs with r &lt; 0.2 were flagged as carrying no surface-level signal.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4.1 Satellite vs surface correlation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000"/>
        <w:gridCol w:w="1000"/>
        <w:gridCol w:w="1100"/>
        <w:gridCol w:w="1000"/>
        <w:gridCol w:w="3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Pollutant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Downtown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Helwan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Shobra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Cairo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October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0.398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0.498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0.602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(strong in all districts)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0.220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0.271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0.184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0.274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Keep, marginal (r &lt; 0.2 in Shobra, New Cairo)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0.110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0.051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Values from task4_results.json. SO2 and CO were validated only for the districts shown; Task 4 reports r &lt; 0.16 (SO2) and r &lt; 0.08 (CO) across all districts.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4.2 Gap-fill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 (observed)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 (gap-filled)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s5p_no2_col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1.24e-08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1.87e-08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+51.1%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s5p_o3_col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1.04e-04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4.23e-05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-59.3%</w:t>
            </w:r>
          </w:p>
        </w:tc>
      </w:tr>
    </w:tbl>
    <w:p>
      <w:pPr>
        <w:spacing w:after="120"/>
      </w:pP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Forward-filled satellite values have a clearly different distribution from real observations.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Recommendation:</w:t>
      </w:r>
      <w:r>
        <w:rPr>
          <w:rFonts w:ascii="Arial" w:cs="Arial" w:eastAsia="Arial" w:hAnsi="Arial"/>
          <w:sz w:val="21"/>
          <w:szCs w:val="21"/>
        </w:rPr>
        <w:t xml:space="preserve"> keep the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s5p_no2_col_is_observed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s5p_o3_col_is_observed</w:t>
      </w:r>
      <w:r>
        <w:rPr>
          <w:rFonts w:ascii="Arial" w:cs="Arial" w:eastAsia="Arial" w:hAnsi="Arial"/>
          <w:sz w:val="21"/>
          <w:szCs w:val="21"/>
        </w:rPr>
        <w:t xml:space="preserve"> flags as mandatory features, or shorten the forward-fill window from 3 days to 1 day.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4.3 Definitive feature matrix (summary)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The decisions below apply to the 141 columns of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Merged_cleaned_daily_data_task3.csv</w:t>
      </w:r>
      <w:r>
        <w:rPr>
          <w:rFonts w:ascii="Arial" w:cs="Arial" w:eastAsia="Arial" w:hAnsi="Arial"/>
          <w:sz w:val="21"/>
          <w:szCs w:val="21"/>
        </w:rPr>
        <w:t xml:space="preserve">. The final drop list removes 35 of them and the leftover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Unnamed: 0</w:t>
      </w:r>
      <w:r>
        <w:rPr>
          <w:rFonts w:ascii="Arial" w:cs="Arial" w:eastAsia="Arial" w:hAnsi="Arial"/>
          <w:sz w:val="21"/>
          <w:szCs w:val="21"/>
        </w:rPr>
        <w:t xml:space="preserve"> index is also removed, which leaves 105 columns in the final dataset.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3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Primary target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pm2_5_corrected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Main regression target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Classification targets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aqi_category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is_health_risk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Classification task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Identifiers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station_id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day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Splitting and indexing, not features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 (leakers)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pm10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carbon_monoxide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nitrogen_dioxide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sulphur_dioxide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ozone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Same-day values; models use lags instead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 (same-day statistics)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daily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max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std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var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of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pm2_5_corrected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pm10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nitrogen_dioxide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sulphur_dioxide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carbon_monoxide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ozone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(24 columns)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Same-day statistics of the target and of the pollutants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 (no signal)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s5p_so2_col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s5p_co_col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and their gap_days / is_observed flags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Spearman r &lt; 0.2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(satellite)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s5p_no2_col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s5p_o3_col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and their flags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Validated signal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(new features)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wind_dir_sin/cos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is_downwind_*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dust_transport_proxy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inversion_proxy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inversion_proxy_v2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Tasks 2 and 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(core)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lags, rolling averages (previous days only), weather aggregates (including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uv_index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), road and industrial context, calendar and season flags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Temporal, meteorological and spatial predictors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4.4 Final dataset</w:t>
      </w:r>
    </w:p>
    <w:p>
      <w:pPr>
        <w:keepNext w:val="false"/>
        <w:spacing w:after="120" w:line="30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daily_features_v2.parquet</w:t>
      </w:r>
      <w:r>
        <w:rPr>
          <w:rFonts w:ascii="Arial" w:cs="Arial" w:eastAsia="Arial" w:hAnsi="Arial"/>
          <w:sz w:val="21"/>
          <w:szCs w:val="21"/>
        </w:rPr>
        <w:t xml:space="preserve"> contains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5,480 rows x 105 columns</w:t>
      </w:r>
      <w:r>
        <w:rPr>
          <w:rFonts w:ascii="Arial" w:cs="Arial" w:eastAsia="Arial" w:hAnsi="Arial"/>
          <w:sz w:val="21"/>
          <w:szCs w:val="21"/>
        </w:rPr>
        <w:t xml:space="preserve"> (5 districts x 1,096 days). It was built from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Merged_cleaned_daily_data_task3.csv</w:t>
      </w:r>
      <w:r>
        <w:rPr>
          <w:rFonts w:ascii="Arial" w:cs="Arial" w:eastAsia="Arial" w:hAnsi="Arial"/>
          <w:sz w:val="21"/>
          <w:szCs w:val="21"/>
        </w:rPr>
        <w:t xml:space="preserve"> by dropping the 35 columns in the final drop list and the leftover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Unnamed: 0</w:t>
      </w:r>
      <w:r>
        <w:rPr>
          <w:rFonts w:ascii="Arial" w:cs="Arial" w:eastAsia="Arial" w:hAnsi="Arial"/>
          <w:sz w:val="21"/>
          <w:szCs w:val="21"/>
        </w:rPr>
        <w:t xml:space="preserve"> index column. The rolling averages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*_roll_avg_3d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*_roll_avg_7d</w:t>
      </w:r>
      <w:r>
        <w:rPr>
          <w:rFonts w:ascii="Arial" w:cs="Arial" w:eastAsia="Arial" w:hAnsi="Arial"/>
          <w:sz w:val="21"/>
          <w:szCs w:val="21"/>
        </w:rPr>
        <w:t xml:space="preserve">) were recomputed from the previous days only (shifted by one day). Missing values are expected only in the lag columns (5 / 10 / 15 / 35 rows for the 1-, 2-, 3- and 7-day lags) and in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dust_transport_proxy</w:t>
      </w:r>
      <w:r>
        <w:rPr>
          <w:rFonts w:ascii="Arial" w:cs="Arial" w:eastAsia="Arial" w:hAnsi="Arial"/>
          <w:sz w:val="21"/>
          <w:szCs w:val="21"/>
        </w:rPr>
        <w:t xml:space="preserve"> (5 rows).</w:t>
      </w:r>
    </w:p>
    <w:p>
      <w:pPr>
        <w:spacing w:after="140" w:before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Leakage fix.</w:t>
      </w:r>
      <w:r>
        <w:rPr>
          <w:rFonts w:ascii="Arial" w:cs="Arial" w:eastAsia="Arial" w:hAnsi="Arial"/>
          <w:sz w:val="21"/>
          <w:szCs w:val="21"/>
        </w:rPr>
        <w:t xml:space="preserve"> Before the fix, the target could be reconstructed exactly as 3 x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pm2_5_corrected_roll_avg_3d</w:t>
      </w:r>
      <w:r>
        <w:rPr>
          <w:rFonts w:ascii="Arial" w:cs="Arial" w:eastAsia="Arial" w:hAnsi="Arial"/>
          <w:sz w:val="21"/>
          <w:szCs w:val="21"/>
        </w:rPr>
        <w:t xml:space="preserve"> -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pm2_5_corrected_lag_1d</w:t>
      </w:r>
      <w:r>
        <w:rPr>
          <w:rFonts w:ascii="Arial" w:cs="Arial" w:eastAsia="Arial" w:hAnsi="Arial"/>
          <w:sz w:val="21"/>
          <w:szCs w:val="21"/>
        </w:rPr>
        <w:t xml:space="preserve"> -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pm2_5_corrected_lag_2d</w:t>
      </w:r>
      <w:r>
        <w:rPr>
          <w:rFonts w:ascii="Arial" w:cs="Arial" w:eastAsia="Arial" w:hAnsi="Arial"/>
          <w:sz w:val="21"/>
          <w:szCs w:val="21"/>
        </w:rPr>
        <w:t xml:space="preserve"> (maximum error about 0.0000000000002 µg/m³). After recomputing the rolling averages on previous days, the same reconstruction has a maximum error of 126.7 µg/m³, so the current-day value is no longer contained in these columns. The first day of each district is NaN in the rolling columns, as no earlier day exists.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Visualizations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5.1 Seasonal spatial patterns and feature importance (Task 5)</w:t>
      </w:r>
    </w:p>
    <w:p>
      <w:pPr>
        <w:keepNext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Source: Task 5, Yousif Mamdouh. Mean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</w:t>
      </w:r>
      <w:r>
        <w:rPr>
          <w:rFonts w:ascii="Arial" w:cs="Arial" w:eastAsia="Arial" w:hAnsi="Arial"/>
          <w:sz w:val="21"/>
          <w:szCs w:val="21"/>
        </w:rPr>
        <w:t xml:space="preserve"> (µg/m³) by district and season, matching the values behind the seasonal choropleth maps: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17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Summer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Autumn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Downtown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65.3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51.2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42.9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49.2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61.1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48.6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44.6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43.0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Cairo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49.2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40.9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35.0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36.9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October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39.4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40.6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43.0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31.4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68.6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48.7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37.9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44.8</w:t>
            </w:r>
          </w:p>
        </w:tc>
      </w:tr>
    </w:tbl>
    <w:p>
      <w:pPr>
        <w:spacing w:after="12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4095750" cy="3505200"/>
            <wp:effectExtent t="0" r="0" b="0" l="0"/>
            <wp:docPr id="1" name="seasonal_maps.png" descr="seasonal_maps.png" title="seasonal_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6. Seasonal mean PM2.5 (corrected) by district (Task 5).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Winter (inversion):</w:t>
      </w:r>
      <w:r>
        <w:rPr>
          <w:rFonts w:ascii="Arial" w:cs="Arial" w:eastAsia="Arial" w:hAnsi="Arial"/>
          <w:sz w:val="21"/>
          <w:szCs w:val="21"/>
        </w:rPr>
        <w:t xml:space="preserve"> worst in Shobra, Downtown and Helwan, where traffic and industrial emissions are trapped near the surface.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Spring (Khamsin):</w:t>
      </w:r>
      <w:r>
        <w:rPr>
          <w:rFonts w:ascii="Arial" w:cs="Arial" w:eastAsia="Arial" w:hAnsi="Arial"/>
          <w:sz w:val="21"/>
          <w:szCs w:val="21"/>
        </w:rPr>
        <w:t xml:space="preserve"> values converge across districts (40.6 to 51.2 µg/m³) as the winter peaks fade; October is the only district where spring is higher than winter.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Summer and autumn:</w:t>
      </w:r>
      <w:r>
        <w:rPr>
          <w:rFonts w:ascii="Arial" w:cs="Arial" w:eastAsia="Arial" w:hAnsi="Arial"/>
          <w:sz w:val="21"/>
          <w:szCs w:val="21"/>
        </w:rPr>
        <w:t xml:space="preserve"> PM2.5 reaches its annual low in summer in Downtown, New Cairo and Shobra, and in autumn in Helwan (43.0). October is the exception: it peaks in summer (43.0) and drops to 31.4 in autumn, the cleanest value of any district and season.</w:t>
      </w:r>
    </w:p>
    <w:p>
      <w:pPr>
        <w:keepNext w:val="false"/>
        <w:spacing w:after="120" w:before="14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Feature-importance pre-screening.</w:t>
      </w:r>
      <w:r>
        <w:rPr>
          <w:rFonts w:ascii="Arial" w:cs="Arial" w:eastAsia="Arial" w:hAnsi="Arial"/>
          <w:sz w:val="21"/>
          <w:szCs w:val="21"/>
        </w:rPr>
        <w:t xml:space="preserve"> A LightGBM regressor (default settings, gain importance) was fitted on the final dataset (5,480 rows, 97 numeric features) with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</w:t>
      </w:r>
      <w:r>
        <w:rPr>
          <w:rFonts w:ascii="Arial" w:cs="Arial" w:eastAsia="Arial" w:hAnsi="Arial"/>
          <w:sz w:val="21"/>
          <w:szCs w:val="21"/>
        </w:rPr>
        <w:t xml:space="preserve"> as the target.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pm2_5_corrected_lag_1d</w:t>
      </w:r>
      <w:r>
        <w:rPr>
          <w:rFonts w:ascii="Arial" w:cs="Arial" w:eastAsia="Arial" w:hAnsi="Arial"/>
          <w:sz w:val="21"/>
          <w:szCs w:val="21"/>
        </w:rPr>
        <w:t xml:space="preserve">, the previous day's PM2.5, dominates with a gain more than ten times that of the next feature. Wind variables follow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wind_speed_10m_max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wind_speed_10m_mean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wind_dir_cos</w:t>
      </w:r>
      <w:r>
        <w:rPr>
          <w:rFonts w:ascii="Arial" w:cs="Arial" w:eastAsia="Arial" w:hAnsi="Arial"/>
          <w:sz w:val="21"/>
          <w:szCs w:val="21"/>
        </w:rPr>
        <w:t xml:space="preserve">), then humidity,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uv_index</w:t>
      </w:r>
      <w:r>
        <w:rPr>
          <w:rFonts w:ascii="Arial" w:cs="Arial" w:eastAsia="Arial" w:hAnsi="Arial"/>
          <w:sz w:val="21"/>
          <w:szCs w:val="21"/>
        </w:rPr>
        <w:t xml:space="preserve">, temperature variability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month</w:t>
      </w:r>
      <w:r>
        <w:rPr>
          <w:rFonts w:ascii="Arial" w:cs="Arial" w:eastAsia="Arial" w:hAnsi="Arial"/>
          <w:sz w:val="21"/>
          <w:szCs w:val="21"/>
        </w:rPr>
        <w:t xml:space="preserve">. The Task 3 features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inversion_proxy_v2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inversion_proxy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dust_transport_proxy</w:t>
      </w:r>
      <w:r>
        <w:rPr>
          <w:rFonts w:ascii="Arial" w:cs="Arial" w:eastAsia="Arial" w:hAnsi="Arial"/>
          <w:sz w:val="21"/>
          <w:szCs w:val="21"/>
        </w:rPr>
        <w:t xml:space="preserve">, and the satellite columns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s5p_no2_col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s5p_o3_col</w:t>
      </w:r>
      <w:r>
        <w:rPr>
          <w:rFonts w:ascii="Arial" w:cs="Arial" w:eastAsia="Arial" w:hAnsi="Arial"/>
          <w:sz w:val="21"/>
          <w:szCs w:val="21"/>
        </w:rPr>
        <w:t xml:space="preserve">, also reach the top 25. Week 3 should prioritise the previous-day PM2.5 value together with the wind and humidity features.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importance_lgbm.png" descr="importance_lgbm.png" title="importance_lgb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7. Top 25 features by LightGBM gain, target pm2_5_corrected (Task 5).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Importances come from a single default-settings fit on the final dataset, with the rolling averages recomputed on previous days only.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5.2 Pollutant-weather dashboard (Task 6)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The interactive dashboard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cairo_air_quality_dashboard.html</w:t>
      </w:r>
      <w:r>
        <w:rPr>
          <w:rFonts w:ascii="Arial" w:cs="Arial" w:eastAsia="Arial" w:hAnsi="Arial"/>
          <w:sz w:val="21"/>
          <w:szCs w:val="21"/>
        </w:rPr>
        <w:t xml:space="preserve">, standalone Plotly) contains PM2.5 vs wind speed and NO2 vs temperature scatter plots coloured by district with a district filter, PM2.5 box plots by season and by Khamsin flag, and the Spearman correlation heatmap. Static snapshots are shown below.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762500" cy="3295650"/>
            <wp:effectExtent t="0" r="0" b="0" l="0"/>
            <wp:docPr id="1" name="dash_panels.png" descr="dash_panels.png" title="dash_pan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8. Dashboard panels: scatter plots (top) and box plots by season and Khamsin flag (bottom).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PM2.5 falls as wind speed rises</w:t>
      </w:r>
      <w:r>
        <w:rPr>
          <w:rFonts w:ascii="Arial" w:cs="Arial" w:eastAsia="Arial" w:hAnsi="Arial"/>
          <w:sz w:val="21"/>
          <w:szCs w:val="21"/>
        </w:rPr>
        <w:t xml:space="preserve"> (pooled Spearman r = -0.37), consistent with dispersion. NO2 falls with temperature (r = -0.30).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Winter has the highest PM2.5 and the widest spread</w:t>
      </w:r>
      <w:r>
        <w:rPr>
          <w:rFonts w:ascii="Arial" w:cs="Arial" w:eastAsia="Arial" w:hAnsi="Arial"/>
          <w:sz w:val="21"/>
          <w:szCs w:val="21"/>
        </w:rPr>
        <w:t xml:space="preserve">, and the Khamsin flag is associated with a visible shift in the PM2.5 distribution.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5.3 Weekday vs weekend pollution (Task 6)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Means by day of week for each district, with Friday and Saturday (the Egyptian weekend, shaded) compared against the other five days.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095750" cy="3209925"/>
            <wp:effectExtent t="0" r="0" b="0" l="0"/>
            <wp:docPr id="1" name="nb_1_0.png" descr="nb_1_0.png" title="nb_1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9. Mean NO2 (top) and PM2.5 (bottom) by day of week across districts. Friday and Saturday are shaded.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500"/>
        <w:gridCol w:w="1400"/>
        <w:gridCol w:w="13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NO2 weekday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NO2 weekend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NO2 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PM2.5 weekday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PM2.5 weekend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PM2.5 change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Downtown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32.08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-12.3%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52.52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51.03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-2.8%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Helwan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28.17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27.75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-1.5%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49.20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49.66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+0.9%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Cairo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19.87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-16.5%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40.67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39.82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-2.1%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October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11.87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11.53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-2.9%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38.55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38.78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+0.6%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Shobra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22.37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19.25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-14.0%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50.22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49.25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-1.9%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Weekend = Friday and Saturday; weekday = Sunday to Thursday. Values in µg/m³.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NO2 shows a clear traffic signal in Downtown, Shobra and New Cairo</w:t>
      </w:r>
      <w:r>
        <w:rPr>
          <w:rFonts w:ascii="Arial" w:cs="Arial" w:eastAsia="Arial" w:hAnsi="Arial"/>
          <w:sz w:val="21"/>
          <w:szCs w:val="21"/>
        </w:rPr>
        <w:t xml:space="preserve">, dropping 12-17% on weekends.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Helwan and October show almost no weekly cycle</w:t>
      </w:r>
      <w:r>
        <w:rPr>
          <w:rFonts w:ascii="Arial" w:cs="Arial" w:eastAsia="Arial" w:hAnsi="Arial"/>
          <w:sz w:val="21"/>
          <w:szCs w:val="21"/>
        </w:rPr>
        <w:t xml:space="preserve"> (-1.5% and -2.9%), which fits industrial or background-dominated NO2 rather than commuter traffic.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PM2.5 barely changes</w:t>
      </w:r>
      <w:r>
        <w:rPr>
          <w:rFonts w:ascii="Arial" w:cs="Arial" w:eastAsia="Arial" w:hAnsi="Arial"/>
          <w:sz w:val="21"/>
          <w:szCs w:val="21"/>
        </w:rPr>
        <w:t xml:space="preserve"> (within about ±3%), so it behaves as a regional/background signal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is_weekend</w:t>
      </w:r>
      <w:r>
        <w:rPr>
          <w:rFonts w:ascii="Arial" w:cs="Arial" w:eastAsia="Arial" w:hAnsi="Arial"/>
          <w:sz w:val="21"/>
          <w:szCs w:val="21"/>
        </w:rPr>
        <w:t xml:space="preserve"> should matter mainly for NO2-related modelling.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Week 2 Data Analysis Report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5c32524f37d89ff9edd6ffc12d5e5fd12a05fa.png"/><Relationship Id="rId9" Type="http://schemas.openxmlformats.org/officeDocument/2006/relationships/image" Target="media/14525aeb3dc26dcd5cae1e50dfa2ff0cec4bbbf6.png"/><Relationship Id="rId10" Type="http://schemas.openxmlformats.org/officeDocument/2006/relationships/image" Target="media/8817e8b4a152f966daed06dbca5aef1a2d068cdd.png"/><Relationship Id="rId11" Type="http://schemas.openxmlformats.org/officeDocument/2006/relationships/image" Target="media/b30a689de70fd57043ea810bcf74c05bfcd5be71.png"/><Relationship Id="rId12" Type="http://schemas.openxmlformats.org/officeDocument/2006/relationships/image" Target="media/67420e64c5c93862b76669460c29f532496dd941.png"/><Relationship Id="rId13" Type="http://schemas.openxmlformats.org/officeDocument/2006/relationships/image" Target="media/c67f89471657428071cee8e0d8fbbfba630ab0fb.png"/><Relationship Id="rId14" Type="http://schemas.openxmlformats.org/officeDocument/2006/relationships/image" Target="media/d184612fd85169e8da19da41ff54e66360e484b9.png"/><Relationship Id="rId15" Type="http://schemas.openxmlformats.org/officeDocument/2006/relationships/image" Target="media/681e9f4136b4038b63eec304ed1a483801abf4b5.png"/><Relationship Id="rId16" Type="http://schemas.openxmlformats.org/officeDocument/2006/relationships/image" Target="media/430a04b6331a8e6db898af7418ef3e8627854a9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Data Analysis Report</dc:title>
  <dc:creator>Week 2 team</dc:creator>
  <cp:lastModifiedBy>Un-named</cp:lastModifiedBy>
  <cp:revision>1</cp:revision>
  <dcterms:created xsi:type="dcterms:W3CDTF">2026-10-09T17:41:27.424Z</dcterms:created>
  <dcterms:modified xsi:type="dcterms:W3CDTF">2026-10-09T17:41:27.424Z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