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before="2600"/>
        <w:jc w:val="start"/>
      </w:pPr>
      <w:r>
        <w:rPr>
          <w:rtl w:val="false"/>
        </w:rPr>
        <w:t xml:space="preserve"/>
      </w:r>
    </w:p>
    <w:p>
      <w:pPr>
        <w:pStyle w:val="Eyebrow"/>
        <w:bidi w:val="false"/>
        <w:jc w:val="start"/>
      </w:pPr>
      <w:r>
        <w:rPr>
          <w:rtl w:val="false"/>
        </w:rPr>
        <w:t xml:space="preserve">PROPOSAL</w:t>
      </w:r>
    </w:p>
    <w:p>
      <w:pPr>
        <w:pStyle w:val="Title"/>
        <w:bidi w:val="false"/>
        <w:jc w:val="start"/>
      </w:pPr>
      <w:r>
        <w:rPr>
          <w:rtl w:val="false"/>
        </w:rPr>
        <w:t xml:space="preserve">Document title in two lines at most</w:t>
      </w:r>
    </w:p>
    <w:p>
      <w:pPr>
        <w:pStyle w:val="Subtitle"/>
        <w:bidi w:val="false"/>
        <w:jc w:val="start"/>
      </w:pPr>
      <w:r>
        <w:rPr>
          <w:rtl w:val="false"/>
        </w:rPr>
        <w:t xml:space="preserve">One line on what this document is for</w:t>
      </w:r>
    </w:p>
    <w:p>
      <w:pPr>
        <w:bidi w:val="false"/>
        <w:spacing w:before="2400"/>
        <w:jc w:val="start"/>
      </w:pPr>
      <w:r>
        <w:rPr>
          <w:rtl w:val="false"/>
        </w:rPr>
        <w:t xml:space="preserve"/>
      </w:r>
    </w:p>
    <w:tbl>
      <w:tblPr>
        <w:bidiVisual w:val="false"/>
        <w:tblW w:type="dxa" w:w="9412"/>
        <w:tblBorders>
          <w:top w:val="none" w:color="FFFFFF" w:sz="0"/>
          <w:left w:val="none" w:color="FFFFFF" w:sz="0"/>
          <w:bottom w:val="none" w:color="FFFFFF" w:sz="0"/>
          <w:right w:val="none" w:color="FFFFFF" w:sz="0"/>
          <w:insideH w:val="single" w:color="D9D9D9" w:sz="4"/>
          <w:insideV w:val="none" w:color="FFFFFF" w:sz="0"/>
        </w:tblBorders>
        <w:tblLayout w:type="fixed"/>
      </w:tblPr>
      <w:tblGrid>
        <w:gridCol w:w="2600"/>
        <w:gridCol w:w="6812"/>
      </w:tblGrid>
      <w:tr>
        <w:tc>
          <w:tcPr>
            <w:tcW w:type="dxa" w:w="2600"/>
            <w:tcMar>
              <w:top w:type="dxa" w:w="80"/>
              <w:left w:type="dxa" w:w="0"/>
              <w:bottom w:type="dxa" w:w="80"/>
              <w:right w:type="dxa" w:w="120"/>
            </w:tcMar>
          </w:tcPr>
          <w:p>
            <w:pPr>
              <w:bidi w:val="false"/>
              <w:spacing w:after="0"/>
              <w:jc w:val="start"/>
            </w:pPr>
            <w:r>
              <w:rPr>
                <w:b/>
                <w:bCs/>
                <w:color w:val="64748B"/>
                <w:sz w:val="17"/>
                <w:szCs w:val="17"/>
                <w:rtl w:val="false"/>
              </w:rPr>
              <w:t xml:space="preserve">Prepared for</w:t>
            </w:r>
          </w:p>
        </w:tc>
        <w:tc>
          <w:tcPr>
            <w:tcW w:type="dxa" w:w="6812"/>
            <w:tcMar>
              <w:top w:type="dxa" w:w="80"/>
              <w:left w:type="dxa" w:w="0"/>
              <w:bottom w:type="dxa" w:w="80"/>
              <w:right w:type="dxa" w:w="0"/>
            </w:tcMar>
          </w:tcPr>
          <w:p>
            <w:pPr>
              <w:bidi w:val="false"/>
              <w:spacing w:after="0"/>
              <w:jc w:val="start"/>
            </w:pPr>
            <w:r>
              <w:rPr>
                <w:color w:val="0F172A"/>
                <w:sz w:val="20"/>
                <w:szCs w:val="20"/>
                <w:rtl w:val="false"/>
              </w:rPr>
              <w:t xml:space="preserve">Client name</w:t>
            </w:r>
          </w:p>
        </w:tc>
      </w:tr>
      <w:tr>
        <w:tc>
          <w:tcPr>
            <w:tcW w:type="dxa" w:w="2600"/>
            <w:tcMar>
              <w:top w:type="dxa" w:w="80"/>
              <w:left w:type="dxa" w:w="0"/>
              <w:bottom w:type="dxa" w:w="80"/>
              <w:right w:type="dxa" w:w="120"/>
            </w:tcMar>
          </w:tcPr>
          <w:p>
            <w:pPr>
              <w:bidi w:val="false"/>
              <w:spacing w:after="0"/>
              <w:jc w:val="start"/>
            </w:pPr>
            <w:r>
              <w:rPr>
                <w:b/>
                <w:bCs/>
                <w:color w:val="64748B"/>
                <w:sz w:val="17"/>
                <w:szCs w:val="17"/>
                <w:rtl w:val="false"/>
              </w:rPr>
              <w:t xml:space="preserve">Prepared by</w:t>
            </w:r>
          </w:p>
        </w:tc>
        <w:tc>
          <w:tcPr>
            <w:tcW w:type="dxa" w:w="6812"/>
            <w:tcMar>
              <w:top w:type="dxa" w:w="80"/>
              <w:left w:type="dxa" w:w="0"/>
              <w:bottom w:type="dxa" w:w="80"/>
              <w:right w:type="dxa" w:w="0"/>
            </w:tcMar>
          </w:tcPr>
          <w:p>
            <w:pPr>
              <w:bidi w:val="false"/>
              <w:spacing w:after="0"/>
              <w:jc w:val="start"/>
            </w:pPr>
            <w:r>
              <w:rPr>
                <w:color w:val="0F172A"/>
                <w:sz w:val="20"/>
                <w:szCs w:val="20"/>
                <w:rtl w:val="false"/>
              </w:rPr>
              <w:t xml:space="preserve">Name, Role · Fleetana</w:t>
            </w:r>
          </w:p>
        </w:tc>
      </w:tr>
      <w:tr>
        <w:tc>
          <w:tcPr>
            <w:tcW w:type="dxa" w:w="2600"/>
            <w:tcMar>
              <w:top w:type="dxa" w:w="80"/>
              <w:left w:type="dxa" w:w="0"/>
              <w:bottom w:type="dxa" w:w="80"/>
              <w:right w:type="dxa" w:w="120"/>
            </w:tcMar>
          </w:tcPr>
          <w:p>
            <w:pPr>
              <w:bidi w:val="false"/>
              <w:spacing w:after="0"/>
              <w:jc w:val="start"/>
            </w:pPr>
            <w:r>
              <w:rPr>
                <w:b/>
                <w:bCs/>
                <w:color w:val="64748B"/>
                <w:sz w:val="17"/>
                <w:szCs w:val="17"/>
                <w:rtl w:val="false"/>
              </w:rPr>
              <w:t xml:space="preserve">Date</w:t>
            </w:r>
          </w:p>
        </w:tc>
        <w:tc>
          <w:tcPr>
            <w:tcW w:type="dxa" w:w="6812"/>
            <w:tcMar>
              <w:top w:type="dxa" w:w="80"/>
              <w:left w:type="dxa" w:w="0"/>
              <w:bottom w:type="dxa" w:w="80"/>
              <w:right w:type="dxa" w:w="0"/>
            </w:tcMar>
          </w:tcPr>
          <w:p>
            <w:pPr>
              <w:bidi w:val="false"/>
              <w:spacing w:after="0"/>
              <w:jc w:val="start"/>
            </w:pPr>
            <w:r>
              <w:rPr>
                <w:color w:val="0F172A"/>
                <w:sz w:val="20"/>
                <w:szCs w:val="20"/>
                <w:rtl w:val="false"/>
              </w:rPr>
              <w:t xml:space="preserve">DD/MM/YYYY</w:t>
            </w:r>
          </w:p>
        </w:tc>
      </w:tr>
      <w:tr>
        <w:tc>
          <w:tcPr>
            <w:tcW w:type="dxa" w:w="2600"/>
            <w:tcMar>
              <w:top w:type="dxa" w:w="80"/>
              <w:left w:type="dxa" w:w="0"/>
              <w:bottom w:type="dxa" w:w="80"/>
              <w:right w:type="dxa" w:w="120"/>
            </w:tcMar>
          </w:tcPr>
          <w:p>
            <w:pPr>
              <w:bidi w:val="false"/>
              <w:spacing w:after="0"/>
              <w:jc w:val="start"/>
            </w:pPr>
            <w:r>
              <w:rPr>
                <w:b/>
                <w:bCs/>
                <w:color w:val="64748B"/>
                <w:sz w:val="17"/>
                <w:szCs w:val="17"/>
                <w:rtl w:val="false"/>
              </w:rPr>
              <w:t xml:space="preserve">Reference</w:t>
            </w:r>
          </w:p>
        </w:tc>
        <w:tc>
          <w:tcPr>
            <w:tcW w:type="dxa" w:w="6812"/>
            <w:tcMar>
              <w:top w:type="dxa" w:w="80"/>
              <w:left w:type="dxa" w:w="0"/>
              <w:bottom w:type="dxa" w:w="80"/>
              <w:right w:type="dxa" w:w="0"/>
            </w:tcMar>
          </w:tcPr>
          <w:p>
            <w:pPr>
              <w:bidi w:val="false"/>
              <w:spacing w:after="0"/>
              <w:jc w:val="start"/>
            </w:pPr>
            <w:r>
              <w:rPr>
                <w:color w:val="0F172A"/>
                <w:sz w:val="20"/>
                <w:szCs w:val="20"/>
                <w:rtl w:val="false"/>
              </w:rPr>
              <w:t xml:space="preserve">FL-2026-001</w:t>
            </w:r>
          </w:p>
        </w:tc>
      </w:tr>
    </w:tbl>
    <w:p>
      <w:r>
        <w:br w:type="page"/>
      </w:r>
    </w:p>
    <w:p>
      <w:pPr>
        <w:pStyle w:val="Heading1"/>
        <w:bidi w:val="false"/>
        <w:jc w:val="start"/>
      </w:pPr>
      <w:r>
        <w:rPr>
          <w:rtl w:val="false"/>
        </w:rPr>
        <w:t xml:space="preserve">Summary</w:t>
      </w:r>
    </w:p>
    <w:p>
      <w:pPr>
        <w:pStyle w:val="Lead"/>
        <w:bidi w:val="false"/>
        <w:jc w:val="start"/>
      </w:pPr>
      <w:r>
        <w:rPr>
          <w:rtl w:val="false"/>
        </w:rPr>
        <w:t xml:space="preserve">Lead paragraph. Say the point of the whole document in two or three sentences. A busy reader may stop here.</w:t>
      </w:r>
    </w:p>
    <w:p>
      <w:pPr>
        <w:bidi w:val="false"/>
        <w:jc w:val="start"/>
      </w:pPr>
      <w:r>
        <w:rPr>
          <w:rtl w:val="false"/>
        </w:rPr>
        <w:t xml:space="preserve">Body text is Inter 10.5 pt in Ink. Write in the second person, keep sentences short, and use numbers we can prove instead of adjectives. Replace this text with your own; every style you see here is in the Styles gallery.</w:t>
      </w:r>
    </w:p>
    <w:p>
      <w:pPr>
        <w:pStyle w:val="Heading2"/>
        <w:bidi w:val="false"/>
        <w:jc w:val="start"/>
      </w:pPr>
      <w:r>
        <w:rPr>
          <w:rtl w:val="false"/>
        </w:rPr>
        <w:t xml:space="preserve">Heading 2 for a sub-section</w:t>
      </w:r>
    </w:p>
    <w:p>
      <w:pPr>
        <w:bidi w:val="false"/>
        <w:jc w:val="start"/>
      </w:pPr>
      <w:r>
        <w:rPr>
          <w:rtl w:val="false"/>
        </w:rPr>
        <w:t xml:space="preserve">Use bullets for parallel items. Keep each one to a line where you can:</w:t>
      </w:r>
    </w:p>
    <w:p>
      <w:pPr>
        <w:pStyle w:val="ListParagraph"/>
        <w:numPr>
          <w:ilvl w:val="0"/>
          <w:numId w:val="2"/>
        </w:numPr>
        <w:bidi w:val="false"/>
        <w:jc w:val="start"/>
      </w:pPr>
      <w:r>
        <w:rPr>
          <w:rtl w:val="false"/>
        </w:rPr>
        <w:t xml:space="preserve">Service reminders by km, engine hours or date, whichever comes first</w:t>
      </w:r>
    </w:p>
    <w:p>
      <w:pPr>
        <w:pStyle w:val="ListParagraph"/>
        <w:numPr>
          <w:ilvl w:val="0"/>
          <w:numId w:val="2"/>
        </w:numPr>
        <w:bidi w:val="false"/>
        <w:jc w:val="start"/>
      </w:pPr>
      <w:r>
        <w:rPr>
          <w:rtl w:val="false"/>
        </w:rPr>
        <w:t xml:space="preserve">Fuel economy on every full fill with an odometer reading</w:t>
      </w:r>
    </w:p>
    <w:p>
      <w:pPr>
        <w:pStyle w:val="ListParagraph"/>
        <w:numPr>
          <w:ilvl w:val="0"/>
          <w:numId w:val="2"/>
        </w:numPr>
        <w:bidi w:val="false"/>
        <w:jc w:val="start"/>
      </w:pPr>
      <w:r>
        <w:rPr>
          <w:rtl w:val="false"/>
        </w:rPr>
        <w:t xml:space="preserve">Istimara, insurance and Fahes listed 30 days before they expire</w:t>
      </w:r>
    </w:p>
    <w:p>
      <w:pPr>
        <w:pStyle w:val="Callout"/>
        <w:bidi w:val="false"/>
        <w:jc w:val="start"/>
      </w:pPr>
      <w:r>
        <w:rPr>
          <w:rtl w:val="false"/>
        </w:rPr>
        <w:t xml:space="preserve">Callout: use it once or twice per document for the one thing the reader must remember.</w:t>
      </w:r>
    </w:p>
    <w:p>
      <w:pPr>
        <w:pStyle w:val="Heading2"/>
        <w:bidi w:val="false"/>
        <w:jc w:val="start"/>
      </w:pPr>
      <w:r>
        <w:rPr>
          <w:rtl w:val="false"/>
        </w:rPr>
        <w:t xml:space="preserve">Numbered steps</w:t>
      </w:r>
    </w:p>
    <w:p>
      <w:pPr>
        <w:bidi w:val="false"/>
        <w:jc w:val="start"/>
      </w:pPr>
      <w:r>
        <w:rPr>
          <w:rtl w:val="false"/>
        </w:rPr>
        <w:t xml:space="preserve">Use numbers when order matters:</w:t>
      </w:r>
    </w:p>
    <w:p>
      <w:pPr>
        <w:pStyle w:val="ListParagraph"/>
        <w:numPr>
          <w:ilvl w:val="0"/>
          <w:numId w:val="3"/>
        </w:numPr>
        <w:bidi w:val="false"/>
        <w:jc w:val="start"/>
      </w:pPr>
      <w:r>
        <w:rPr>
          <w:rtl w:val="false"/>
        </w:rPr>
        <w:t xml:space="preserve">Add your vehicles, drivers and their document dates.</w:t>
      </w:r>
    </w:p>
    <w:p>
      <w:pPr>
        <w:pStyle w:val="ListParagraph"/>
        <w:numPr>
          <w:ilvl w:val="0"/>
          <w:numId w:val="3"/>
        </w:numPr>
        <w:bidi w:val="false"/>
        <w:jc w:val="start"/>
      </w:pPr>
      <w:r>
        <w:rPr>
          <w:rtl w:val="false"/>
        </w:rPr>
        <w:t xml:space="preserve">Log fuel and service as it happens, from any device.</w:t>
      </w:r>
    </w:p>
    <w:p>
      <w:pPr>
        <w:pStyle w:val="ListParagraph"/>
        <w:numPr>
          <w:ilvl w:val="0"/>
          <w:numId w:val="3"/>
        </w:numPr>
        <w:bidi w:val="false"/>
        <w:jc w:val="start"/>
      </w:pPr>
      <w:r>
        <w:rPr>
          <w:rtl w:val="false"/>
        </w:rPr>
        <w:t xml:space="preserve">Open Home to see what is due, overdue or expiring.</w:t>
      </w:r>
    </w:p>
    <w:p>
      <w:pPr>
        <w:pStyle w:val="Heading3"/>
        <w:bidi w:val="false"/>
        <w:jc w:val="start"/>
      </w:pPr>
      <w:r>
        <w:rPr>
          <w:rtl w:val="false"/>
        </w:rPr>
        <w:t xml:space="preserve">Heading 3 · a small labelled block</w:t>
      </w:r>
    </w:p>
    <w:p>
      <w:pPr>
        <w:bidi w:val="false"/>
        <w:jc w:val="start"/>
      </w:pPr>
      <w:r>
        <w:rPr>
          <w:rtl w:val="false"/>
        </w:rPr>
        <w:t xml:space="preserve">Tables use a Tint header row, hairline rules and Paper banding. Plates, IDs and dates are set in IBM Plex Mono. Status uses the app's colours, never brand blue.</w:t>
      </w:r>
    </w:p>
    <w:tbl>
      <w:tblPr>
        <w:bidiVisual w:val="false"/>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24"/>
        <w:gridCol w:w="2071"/>
        <w:gridCol w:w="1882"/>
        <w:gridCol w:w="2635"/>
      </w:tblGrid>
      <w:tr>
        <w:trPr>
          <w:tblHeader/>
        </w:trPr>
        <w:tc>
          <w:tcPr>
            <w:tcW w:type="dxa" w:w="2824"/>
            <w:tcBorders>
              <w:top w:val="single" w:color="D9D9D9" w:sz="4"/>
              <w:left w:val="none" w:color="FFFFFF" w:sz="0"/>
              <w:bottom w:val="single" w:color="D9D9D9" w:sz="4"/>
              <w:right w:val="none" w:color="FFFFFF" w:sz="0"/>
            </w:tcBorders>
            <w:shd w:fill="E8F2FF" w:color="auto" w:val="clear"/>
            <w:tcMar>
              <w:top w:type="dxa" w:w="90"/>
              <w:left w:type="dxa" w:w="140"/>
              <w:bottom w:type="dxa" w:w="90"/>
              <w:right w:type="dxa" w:w="140"/>
            </w:tcMar>
            <w:vAlign w:val="center"/>
          </w:tcPr>
          <w:p>
            <w:pPr>
              <w:bidi w:val="false"/>
              <w:spacing w:after="0" w:line="264" w:lineRule="auto"/>
              <w:jc w:val="start"/>
            </w:pPr>
            <w:r>
              <w:rPr>
                <w:b/>
                <w:bCs/>
                <w:color w:val="1E3A8A"/>
                <w:sz w:val="17"/>
                <w:szCs w:val="17"/>
                <w:rtl w:val="false"/>
              </w:rPr>
              <w:t xml:space="preserve">Vehicle</w:t>
            </w:r>
          </w:p>
        </w:tc>
        <w:tc>
          <w:tcPr>
            <w:tcW w:type="dxa" w:w="2071"/>
            <w:tcBorders>
              <w:top w:val="single" w:color="D9D9D9" w:sz="4"/>
              <w:left w:val="none" w:color="FFFFFF" w:sz="0"/>
              <w:bottom w:val="single" w:color="D9D9D9" w:sz="4"/>
              <w:right w:val="none" w:color="FFFFFF" w:sz="0"/>
            </w:tcBorders>
            <w:shd w:fill="E8F2FF" w:color="auto" w:val="clear"/>
            <w:tcMar>
              <w:top w:type="dxa" w:w="90"/>
              <w:left w:type="dxa" w:w="140"/>
              <w:bottom w:type="dxa" w:w="90"/>
              <w:right w:type="dxa" w:w="140"/>
            </w:tcMar>
            <w:vAlign w:val="center"/>
          </w:tcPr>
          <w:p>
            <w:pPr>
              <w:bidi w:val="false"/>
              <w:spacing w:after="0" w:line="264" w:lineRule="auto"/>
              <w:jc w:val="start"/>
            </w:pPr>
            <w:r>
              <w:rPr>
                <w:b/>
                <w:bCs/>
                <w:color w:val="1E3A8A"/>
                <w:sz w:val="17"/>
                <w:szCs w:val="17"/>
                <w:rtl w:val="false"/>
              </w:rPr>
              <w:t xml:space="preserve">Plate</w:t>
            </w:r>
          </w:p>
        </w:tc>
        <w:tc>
          <w:tcPr>
            <w:tcW w:type="dxa" w:w="1882"/>
            <w:tcBorders>
              <w:top w:val="single" w:color="D9D9D9" w:sz="4"/>
              <w:left w:val="none" w:color="FFFFFF" w:sz="0"/>
              <w:bottom w:val="single" w:color="D9D9D9" w:sz="4"/>
              <w:right w:val="none" w:color="FFFFFF" w:sz="0"/>
            </w:tcBorders>
            <w:shd w:fill="E8F2FF" w:color="auto" w:val="clear"/>
            <w:tcMar>
              <w:top w:type="dxa" w:w="90"/>
              <w:left w:type="dxa" w:w="140"/>
              <w:bottom w:type="dxa" w:w="90"/>
              <w:right w:type="dxa" w:w="140"/>
            </w:tcMar>
            <w:vAlign w:val="center"/>
          </w:tcPr>
          <w:p>
            <w:pPr>
              <w:bidi w:val="false"/>
              <w:spacing w:after="0" w:line="264" w:lineRule="auto"/>
              <w:jc w:val="start"/>
            </w:pPr>
            <w:r>
              <w:rPr>
                <w:b/>
                <w:bCs/>
                <w:color w:val="1E3A8A"/>
                <w:sz w:val="17"/>
                <w:szCs w:val="17"/>
                <w:rtl w:val="false"/>
              </w:rPr>
              <w:t xml:space="preserve">Status</w:t>
            </w:r>
          </w:p>
        </w:tc>
        <w:tc>
          <w:tcPr>
            <w:tcW w:type="dxa" w:w="2635"/>
            <w:tcBorders>
              <w:top w:val="single" w:color="D9D9D9" w:sz="4"/>
              <w:left w:val="none" w:color="FFFFFF" w:sz="0"/>
              <w:bottom w:val="single" w:color="D9D9D9" w:sz="4"/>
              <w:right w:val="none" w:color="FFFFFF" w:sz="0"/>
            </w:tcBorders>
            <w:shd w:fill="E8F2FF" w:color="auto" w:val="clear"/>
            <w:tcMar>
              <w:top w:type="dxa" w:w="90"/>
              <w:left w:type="dxa" w:w="140"/>
              <w:bottom w:type="dxa" w:w="90"/>
              <w:right w:type="dxa" w:w="140"/>
            </w:tcMar>
            <w:vAlign w:val="center"/>
          </w:tcPr>
          <w:p>
            <w:pPr>
              <w:bidi w:val="false"/>
              <w:spacing w:after="0" w:line="264" w:lineRule="auto"/>
              <w:jc w:val="start"/>
            </w:pPr>
            <w:r>
              <w:rPr>
                <w:b/>
                <w:bCs/>
                <w:color w:val="1E3A8A"/>
                <w:sz w:val="17"/>
                <w:szCs w:val="17"/>
                <w:rtl w:val="false"/>
              </w:rPr>
              <w:t xml:space="preserve">Next service</w:t>
            </w:r>
          </w:p>
        </w:tc>
      </w:tr>
      <w:tr>
        <w:tc>
          <w:tcPr>
            <w:tcW w:type="dxa" w:w="2824"/>
            <w:tcBorders>
              <w:top w:val="single" w:color="D9D9D9" w:sz="4"/>
              <w:left w:val="none" w:color="FFFFFF" w:sz="0"/>
              <w:bottom w:val="single" w:color="D9D9D9" w:sz="4"/>
              <w:right w:val="none" w:color="FFFFFF" w:sz="0"/>
            </w:tcBorders>
            <w:tcMar>
              <w:top w:type="dxa" w:w="90"/>
              <w:left w:type="dxa" w:w="140"/>
              <w:bottom w:type="dxa" w:w="90"/>
              <w:right w:type="dxa" w:w="140"/>
            </w:tcMar>
            <w:vAlign w:val="center"/>
          </w:tcPr>
          <w:p>
            <w:pPr>
              <w:bidi w:val="false"/>
              <w:spacing w:after="0" w:line="264" w:lineRule="auto"/>
              <w:jc w:val="start"/>
            </w:pPr>
            <w:r>
              <w:rPr>
                <w:b/>
                <w:bCs/>
                <w:color w:val="0F172A"/>
                <w:sz w:val="19"/>
                <w:szCs w:val="19"/>
                <w:rtl w:val="false"/>
              </w:rPr>
              <w:t xml:space="preserve">Toyota Hilux 2022</w:t>
            </w:r>
          </w:p>
        </w:tc>
        <w:tc>
          <w:tcPr>
            <w:tcW w:type="dxa" w:w="2071"/>
            <w:tcBorders>
              <w:top w:val="single" w:color="D9D9D9" w:sz="4"/>
              <w:left w:val="none" w:color="FFFFFF" w:sz="0"/>
              <w:bottom w:val="single" w:color="D9D9D9" w:sz="4"/>
              <w:right w:val="none" w:color="FFFFFF" w:sz="0"/>
            </w:tcBorders>
            <w:tcMar>
              <w:top w:type="dxa" w:w="90"/>
              <w:left w:type="dxa" w:w="140"/>
              <w:bottom w:type="dxa" w:w="90"/>
              <w:right w:type="dxa" w:w="140"/>
            </w:tcMar>
            <w:vAlign w:val="center"/>
          </w:tcPr>
          <w:p>
            <w:pPr>
              <w:bidi w:val="false"/>
              <w:spacing w:after="0" w:line="264" w:lineRule="auto"/>
              <w:jc w:val="start"/>
            </w:pPr>
            <w:r>
              <w:rPr>
                <w:rFonts w:ascii="IBM Plex Mono" w:cs="IBM Plex Sans Arabic" w:eastAsia="IBM Plex Mono" w:hAnsi="IBM Plex Mono"/>
                <w:color w:val="0F172A"/>
                <w:sz w:val="18"/>
                <w:szCs w:val="18"/>
              </w:rPr>
              <w:t xml:space="preserve">⁦4271 ح ط ر⁩</w:t>
            </w:r>
          </w:p>
        </w:tc>
        <w:tc>
          <w:tcPr>
            <w:tcW w:type="dxa" w:w="1882"/>
            <w:tcBorders>
              <w:top w:val="single" w:color="D9D9D9" w:sz="4"/>
              <w:left w:val="none" w:color="FFFFFF" w:sz="0"/>
              <w:bottom w:val="single" w:color="D9D9D9" w:sz="4"/>
              <w:right w:val="none" w:color="FFFFFF" w:sz="0"/>
            </w:tcBorders>
            <w:tcMar>
              <w:top w:type="dxa" w:w="90"/>
              <w:left w:type="dxa" w:w="140"/>
              <w:bottom w:type="dxa" w:w="90"/>
              <w:right w:type="dxa" w:w="140"/>
            </w:tcMar>
            <w:vAlign w:val="center"/>
          </w:tcPr>
          <w:p>
            <w:pPr>
              <w:bidi w:val="false"/>
              <w:spacing w:after="0" w:line="264" w:lineRule="auto"/>
              <w:jc w:val="start"/>
            </w:pPr>
            <w:r>
              <w:rPr>
                <w:b/>
                <w:bCs/>
                <w:color w:val="15803D"/>
                <w:sz w:val="17"/>
                <w:szCs w:val="17"/>
                <w:shd w:fill="E3F4E9" w:color="auto" w:val="clear"/>
                <w:rtl w:val="false"/>
              </w:rPr>
              <w:t xml:space="preserve"> Active </w:t>
            </w:r>
          </w:p>
        </w:tc>
        <w:tc>
          <w:tcPr>
            <w:tcW w:type="dxa" w:w="2635"/>
            <w:tcBorders>
              <w:top w:val="single" w:color="D9D9D9" w:sz="4"/>
              <w:left w:val="none" w:color="FFFFFF" w:sz="0"/>
              <w:bottom w:val="single" w:color="D9D9D9" w:sz="4"/>
              <w:right w:val="none" w:color="FFFFFF" w:sz="0"/>
            </w:tcBorders>
            <w:tcMar>
              <w:top w:type="dxa" w:w="90"/>
              <w:left w:type="dxa" w:w="140"/>
              <w:bottom w:type="dxa" w:w="90"/>
              <w:right w:type="dxa" w:w="140"/>
            </w:tcMar>
            <w:vAlign w:val="center"/>
          </w:tcPr>
          <w:p>
            <w:pPr>
              <w:bidi w:val="false"/>
              <w:spacing w:after="0" w:line="264" w:lineRule="auto"/>
              <w:jc w:val="start"/>
            </w:pPr>
            <w:r>
              <w:rPr>
                <w:rFonts w:ascii="IBM Plex Mono" w:cs="IBM Plex Sans Arabic" w:eastAsia="IBM Plex Mono" w:hAnsi="IBM Plex Mono"/>
                <w:color w:val="45464D"/>
                <w:sz w:val="18"/>
                <w:szCs w:val="18"/>
              </w:rPr>
              <w:t xml:space="preserve">90,000 km</w:t>
            </w:r>
          </w:p>
        </w:tc>
      </w:tr>
      <w:tr>
        <w:tc>
          <w:tcPr>
            <w:tcW w:type="dxa" w:w="2824"/>
            <w:tcBorders>
              <w:top w:val="single" w:color="D9D9D9" w:sz="4"/>
              <w:left w:val="none" w:color="FFFFFF" w:sz="0"/>
              <w:bottom w:val="single" w:color="D9D9D9" w:sz="4"/>
              <w:right w:val="none" w:color="FFFFFF" w:sz="0"/>
            </w:tcBorders>
            <w:shd w:fill="F7F9FB" w:color="auto" w:val="clear"/>
            <w:tcMar>
              <w:top w:type="dxa" w:w="90"/>
              <w:left w:type="dxa" w:w="140"/>
              <w:bottom w:type="dxa" w:w="90"/>
              <w:right w:type="dxa" w:w="140"/>
            </w:tcMar>
            <w:vAlign w:val="center"/>
          </w:tcPr>
          <w:p>
            <w:pPr>
              <w:bidi w:val="false"/>
              <w:spacing w:after="0" w:line="264" w:lineRule="auto"/>
              <w:jc w:val="start"/>
            </w:pPr>
            <w:r>
              <w:rPr>
                <w:b/>
                <w:bCs/>
                <w:color w:val="0F172A"/>
                <w:sz w:val="19"/>
                <w:szCs w:val="19"/>
                <w:rtl w:val="false"/>
              </w:rPr>
              <w:t xml:space="preserve">Toyota Hiace 2021</w:t>
            </w:r>
          </w:p>
        </w:tc>
        <w:tc>
          <w:tcPr>
            <w:tcW w:type="dxa" w:w="2071"/>
            <w:tcBorders>
              <w:top w:val="single" w:color="D9D9D9" w:sz="4"/>
              <w:left w:val="none" w:color="FFFFFF" w:sz="0"/>
              <w:bottom w:val="single" w:color="D9D9D9" w:sz="4"/>
              <w:right w:val="none" w:color="FFFFFF" w:sz="0"/>
            </w:tcBorders>
            <w:shd w:fill="F7F9FB" w:color="auto" w:val="clear"/>
            <w:tcMar>
              <w:top w:type="dxa" w:w="90"/>
              <w:left w:type="dxa" w:w="140"/>
              <w:bottom w:type="dxa" w:w="90"/>
              <w:right w:type="dxa" w:w="140"/>
            </w:tcMar>
            <w:vAlign w:val="center"/>
          </w:tcPr>
          <w:p>
            <w:pPr>
              <w:bidi w:val="false"/>
              <w:spacing w:after="0" w:line="264" w:lineRule="auto"/>
              <w:jc w:val="start"/>
            </w:pPr>
            <w:r>
              <w:rPr>
                <w:rFonts w:ascii="IBM Plex Mono" w:cs="IBM Plex Sans Arabic" w:eastAsia="IBM Plex Mono" w:hAnsi="IBM Plex Mono"/>
                <w:color w:val="0F172A"/>
                <w:sz w:val="18"/>
                <w:szCs w:val="18"/>
              </w:rPr>
              <w:t xml:space="preserve">⁦8834 ب ن م⁩</w:t>
            </w:r>
          </w:p>
        </w:tc>
        <w:tc>
          <w:tcPr>
            <w:tcW w:type="dxa" w:w="1882"/>
            <w:tcBorders>
              <w:top w:val="single" w:color="D9D9D9" w:sz="4"/>
              <w:left w:val="none" w:color="FFFFFF" w:sz="0"/>
              <w:bottom w:val="single" w:color="D9D9D9" w:sz="4"/>
              <w:right w:val="none" w:color="FFFFFF" w:sz="0"/>
            </w:tcBorders>
            <w:shd w:fill="F7F9FB" w:color="auto" w:val="clear"/>
            <w:tcMar>
              <w:top w:type="dxa" w:w="90"/>
              <w:left w:type="dxa" w:w="140"/>
              <w:bottom w:type="dxa" w:w="90"/>
              <w:right w:type="dxa" w:w="140"/>
            </w:tcMar>
            <w:vAlign w:val="center"/>
          </w:tcPr>
          <w:p>
            <w:pPr>
              <w:bidi w:val="false"/>
              <w:spacing w:after="0" w:line="264" w:lineRule="auto"/>
              <w:jc w:val="start"/>
            </w:pPr>
            <w:r>
              <w:rPr>
                <w:b/>
                <w:bCs/>
                <w:color w:val="B45309"/>
                <w:sz w:val="17"/>
                <w:szCs w:val="17"/>
                <w:shd w:fill="FAECDC" w:color="auto" w:val="clear"/>
                <w:rtl w:val="false"/>
              </w:rPr>
              <w:t xml:space="preserve"> Due soon </w:t>
            </w:r>
          </w:p>
        </w:tc>
        <w:tc>
          <w:tcPr>
            <w:tcW w:type="dxa" w:w="2635"/>
            <w:tcBorders>
              <w:top w:val="single" w:color="D9D9D9" w:sz="4"/>
              <w:left w:val="none" w:color="FFFFFF" w:sz="0"/>
              <w:bottom w:val="single" w:color="D9D9D9" w:sz="4"/>
              <w:right w:val="none" w:color="FFFFFF" w:sz="0"/>
            </w:tcBorders>
            <w:shd w:fill="F7F9FB" w:color="auto" w:val="clear"/>
            <w:tcMar>
              <w:top w:type="dxa" w:w="90"/>
              <w:left w:type="dxa" w:w="140"/>
              <w:bottom w:type="dxa" w:w="90"/>
              <w:right w:type="dxa" w:w="140"/>
            </w:tcMar>
            <w:vAlign w:val="center"/>
          </w:tcPr>
          <w:p>
            <w:pPr>
              <w:bidi w:val="false"/>
              <w:spacing w:after="0" w:line="264" w:lineRule="auto"/>
              <w:jc w:val="start"/>
            </w:pPr>
            <w:r>
              <w:rPr>
                <w:rFonts w:ascii="IBM Plex Mono" w:cs="IBM Plex Sans Arabic" w:eastAsia="IBM Plex Mono" w:hAnsi="IBM Plex Mono"/>
                <w:color w:val="45464D"/>
                <w:sz w:val="18"/>
                <w:szCs w:val="18"/>
              </w:rPr>
              <w:t xml:space="preserve">01/11/2026</w:t>
            </w:r>
          </w:p>
        </w:tc>
      </w:tr>
      <w:tr>
        <w:tc>
          <w:tcPr>
            <w:tcW w:type="dxa" w:w="2824"/>
            <w:tcBorders>
              <w:top w:val="single" w:color="D9D9D9" w:sz="4"/>
              <w:left w:val="none" w:color="FFFFFF" w:sz="0"/>
              <w:bottom w:val="single" w:color="D9D9D9" w:sz="4"/>
              <w:right w:val="none" w:color="FFFFFF" w:sz="0"/>
            </w:tcBorders>
            <w:tcMar>
              <w:top w:type="dxa" w:w="90"/>
              <w:left w:type="dxa" w:w="140"/>
              <w:bottom w:type="dxa" w:w="90"/>
              <w:right w:type="dxa" w:w="140"/>
            </w:tcMar>
            <w:vAlign w:val="center"/>
          </w:tcPr>
          <w:p>
            <w:pPr>
              <w:bidi w:val="false"/>
              <w:spacing w:after="0" w:line="264" w:lineRule="auto"/>
              <w:jc w:val="start"/>
            </w:pPr>
            <w:r>
              <w:rPr>
                <w:b/>
                <w:bCs/>
                <w:color w:val="0F172A"/>
                <w:sz w:val="19"/>
                <w:szCs w:val="19"/>
                <w:rtl w:val="false"/>
              </w:rPr>
              <w:t xml:space="preserve">Isuzu NPR 2020</w:t>
            </w:r>
          </w:p>
        </w:tc>
        <w:tc>
          <w:tcPr>
            <w:tcW w:type="dxa" w:w="2071"/>
            <w:tcBorders>
              <w:top w:val="single" w:color="D9D9D9" w:sz="4"/>
              <w:left w:val="none" w:color="FFFFFF" w:sz="0"/>
              <w:bottom w:val="single" w:color="D9D9D9" w:sz="4"/>
              <w:right w:val="none" w:color="FFFFFF" w:sz="0"/>
            </w:tcBorders>
            <w:tcMar>
              <w:top w:type="dxa" w:w="90"/>
              <w:left w:type="dxa" w:w="140"/>
              <w:bottom w:type="dxa" w:w="90"/>
              <w:right w:type="dxa" w:w="140"/>
            </w:tcMar>
            <w:vAlign w:val="center"/>
          </w:tcPr>
          <w:p>
            <w:pPr>
              <w:bidi w:val="false"/>
              <w:spacing w:after="0" w:line="264" w:lineRule="auto"/>
              <w:jc w:val="start"/>
            </w:pPr>
            <w:r>
              <w:rPr>
                <w:rFonts w:ascii="IBM Plex Mono" w:cs="IBM Plex Sans Arabic" w:eastAsia="IBM Plex Mono" w:hAnsi="IBM Plex Mono"/>
                <w:color w:val="0F172A"/>
                <w:sz w:val="18"/>
                <w:szCs w:val="18"/>
              </w:rPr>
              <w:t xml:space="preserve">⁦1902 د ك ل⁩</w:t>
            </w:r>
          </w:p>
        </w:tc>
        <w:tc>
          <w:tcPr>
            <w:tcW w:type="dxa" w:w="1882"/>
            <w:tcBorders>
              <w:top w:val="single" w:color="D9D9D9" w:sz="4"/>
              <w:left w:val="none" w:color="FFFFFF" w:sz="0"/>
              <w:bottom w:val="single" w:color="D9D9D9" w:sz="4"/>
              <w:right w:val="none" w:color="FFFFFF" w:sz="0"/>
            </w:tcBorders>
            <w:tcMar>
              <w:top w:type="dxa" w:w="90"/>
              <w:left w:type="dxa" w:w="140"/>
              <w:bottom w:type="dxa" w:w="90"/>
              <w:right w:type="dxa" w:w="140"/>
            </w:tcMar>
            <w:vAlign w:val="center"/>
          </w:tcPr>
          <w:p>
            <w:pPr>
              <w:bidi w:val="false"/>
              <w:spacing w:after="0" w:line="264" w:lineRule="auto"/>
              <w:jc w:val="start"/>
            </w:pPr>
            <w:r>
              <w:rPr>
                <w:b/>
                <w:bCs/>
                <w:color w:val="475569"/>
                <w:sz w:val="17"/>
                <w:szCs w:val="17"/>
                <w:shd w:fill="ECEEF1" w:color="auto" w:val="clear"/>
                <w:rtl w:val="false"/>
              </w:rPr>
              <w:t xml:space="preserve"> In shop </w:t>
            </w:r>
          </w:p>
        </w:tc>
        <w:tc>
          <w:tcPr>
            <w:tcW w:type="dxa" w:w="2635"/>
            <w:tcBorders>
              <w:top w:val="single" w:color="D9D9D9" w:sz="4"/>
              <w:left w:val="none" w:color="FFFFFF" w:sz="0"/>
              <w:bottom w:val="single" w:color="D9D9D9" w:sz="4"/>
              <w:right w:val="none" w:color="FFFFFF" w:sz="0"/>
            </w:tcBorders>
            <w:tcMar>
              <w:top w:type="dxa" w:w="90"/>
              <w:left w:type="dxa" w:w="140"/>
              <w:bottom w:type="dxa" w:w="90"/>
              <w:right w:type="dxa" w:w="140"/>
            </w:tcMar>
            <w:vAlign w:val="center"/>
          </w:tcPr>
          <w:p>
            <w:pPr>
              <w:bidi w:val="false"/>
              <w:spacing w:after="0" w:line="264" w:lineRule="auto"/>
              <w:jc w:val="start"/>
            </w:pPr>
            <w:r>
              <w:rPr>
                <w:rFonts w:ascii="IBM Plex Mono" w:cs="IBM Plex Sans Arabic" w:eastAsia="IBM Plex Mono" w:hAnsi="IBM Plex Mono"/>
                <w:color w:val="45464D"/>
                <w:sz w:val="18"/>
                <w:szCs w:val="18"/>
              </w:rPr>
              <w:t xml:space="preserve">1,200 h</w:t>
            </w:r>
          </w:p>
        </w:tc>
      </w:tr>
      <w:tr>
        <w:tc>
          <w:tcPr>
            <w:tcW w:type="dxa" w:w="2824"/>
            <w:tcBorders>
              <w:top w:val="single" w:color="D9D9D9" w:sz="4"/>
              <w:left w:val="none" w:color="FFFFFF" w:sz="0"/>
              <w:bottom w:val="single" w:color="D9D9D9" w:sz="4"/>
              <w:right w:val="none" w:color="FFFFFF" w:sz="0"/>
            </w:tcBorders>
            <w:shd w:fill="F7F9FB" w:color="auto" w:val="clear"/>
            <w:tcMar>
              <w:top w:type="dxa" w:w="90"/>
              <w:left w:type="dxa" w:w="140"/>
              <w:bottom w:type="dxa" w:w="90"/>
              <w:right w:type="dxa" w:w="140"/>
            </w:tcMar>
            <w:vAlign w:val="center"/>
          </w:tcPr>
          <w:p>
            <w:pPr>
              <w:bidi w:val="false"/>
              <w:spacing w:after="0" w:line="264" w:lineRule="auto"/>
              <w:jc w:val="start"/>
            </w:pPr>
            <w:r>
              <w:rPr>
                <w:b/>
                <w:bCs/>
                <w:color w:val="0F172A"/>
                <w:sz w:val="19"/>
                <w:szCs w:val="19"/>
                <w:rtl w:val="false"/>
              </w:rPr>
              <w:t xml:space="preserve">Toyota Coaster 2019</w:t>
            </w:r>
          </w:p>
        </w:tc>
        <w:tc>
          <w:tcPr>
            <w:tcW w:type="dxa" w:w="2071"/>
            <w:tcBorders>
              <w:top w:val="single" w:color="D9D9D9" w:sz="4"/>
              <w:left w:val="none" w:color="FFFFFF" w:sz="0"/>
              <w:bottom w:val="single" w:color="D9D9D9" w:sz="4"/>
              <w:right w:val="none" w:color="FFFFFF" w:sz="0"/>
            </w:tcBorders>
            <w:shd w:fill="F7F9FB" w:color="auto" w:val="clear"/>
            <w:tcMar>
              <w:top w:type="dxa" w:w="90"/>
              <w:left w:type="dxa" w:w="140"/>
              <w:bottom w:type="dxa" w:w="90"/>
              <w:right w:type="dxa" w:w="140"/>
            </w:tcMar>
            <w:vAlign w:val="center"/>
          </w:tcPr>
          <w:p>
            <w:pPr>
              <w:bidi w:val="false"/>
              <w:spacing w:after="0" w:line="264" w:lineRule="auto"/>
              <w:jc w:val="start"/>
            </w:pPr>
            <w:r>
              <w:rPr>
                <w:rFonts w:ascii="IBM Plex Mono" w:cs="IBM Plex Sans Arabic" w:eastAsia="IBM Plex Mono" w:hAnsi="IBM Plex Mono"/>
                <w:color w:val="0F172A"/>
                <w:sz w:val="18"/>
                <w:szCs w:val="18"/>
              </w:rPr>
              <w:t xml:space="preserve">⁦3150 ر ي د⁩</w:t>
            </w:r>
          </w:p>
        </w:tc>
        <w:tc>
          <w:tcPr>
            <w:tcW w:type="dxa" w:w="1882"/>
            <w:tcBorders>
              <w:top w:val="single" w:color="D9D9D9" w:sz="4"/>
              <w:left w:val="none" w:color="FFFFFF" w:sz="0"/>
              <w:bottom w:val="single" w:color="D9D9D9" w:sz="4"/>
              <w:right w:val="none" w:color="FFFFFF" w:sz="0"/>
            </w:tcBorders>
            <w:shd w:fill="F7F9FB" w:color="auto" w:val="clear"/>
            <w:tcMar>
              <w:top w:type="dxa" w:w="90"/>
              <w:left w:type="dxa" w:w="140"/>
              <w:bottom w:type="dxa" w:w="90"/>
              <w:right w:type="dxa" w:w="140"/>
            </w:tcMar>
            <w:vAlign w:val="center"/>
          </w:tcPr>
          <w:p>
            <w:pPr>
              <w:bidi w:val="false"/>
              <w:spacing w:after="0" w:line="264" w:lineRule="auto"/>
              <w:jc w:val="start"/>
            </w:pPr>
            <w:r>
              <w:rPr>
                <w:b/>
                <w:bCs/>
                <w:color w:val="B91C1C"/>
                <w:sz w:val="17"/>
                <w:szCs w:val="17"/>
                <w:shd w:fill="FDE9E9" w:color="auto" w:val="clear"/>
                <w:rtl w:val="false"/>
              </w:rPr>
              <w:t xml:space="preserve"> Overdue </w:t>
            </w:r>
          </w:p>
        </w:tc>
        <w:tc>
          <w:tcPr>
            <w:tcW w:type="dxa" w:w="2635"/>
            <w:tcBorders>
              <w:top w:val="single" w:color="D9D9D9" w:sz="4"/>
              <w:left w:val="none" w:color="FFFFFF" w:sz="0"/>
              <w:bottom w:val="single" w:color="D9D9D9" w:sz="4"/>
              <w:right w:val="none" w:color="FFFFFF" w:sz="0"/>
            </w:tcBorders>
            <w:shd w:fill="F7F9FB" w:color="auto" w:val="clear"/>
            <w:tcMar>
              <w:top w:type="dxa" w:w="90"/>
              <w:left w:type="dxa" w:w="140"/>
              <w:bottom w:type="dxa" w:w="90"/>
              <w:right w:type="dxa" w:w="140"/>
            </w:tcMar>
            <w:vAlign w:val="center"/>
          </w:tcPr>
          <w:p>
            <w:pPr>
              <w:bidi w:val="false"/>
              <w:spacing w:after="0" w:line="264" w:lineRule="auto"/>
              <w:jc w:val="start"/>
            </w:pPr>
            <w:r>
              <w:rPr>
                <w:rFonts w:ascii="IBM Plex Mono" w:cs="IBM Plex Sans Arabic" w:eastAsia="IBM Plex Mono" w:hAnsi="IBM Plex Mono"/>
                <w:color w:val="45464D"/>
                <w:sz w:val="18"/>
                <w:szCs w:val="18"/>
              </w:rPr>
              <w:t xml:space="preserve">15/10/2026</w:t>
            </w:r>
          </w:p>
        </w:tc>
      </w:tr>
    </w:tbl>
    <w:p>
      <w:pPr>
        <w:pStyle w:val="Caption"/>
        <w:bidi w:val="false"/>
        <w:spacing w:before="80"/>
        <w:jc w:val="start"/>
      </w:pPr>
      <w:r>
        <w:rPr>
          <w:rtl w:val="false"/>
        </w:rPr>
        <w:t xml:space="preserve">Table 1 · Example fleet. Copy this table to keep the house style.</w:t>
      </w:r>
    </w:p>
    <w:p>
      <w:pPr>
        <w:spacing w:after="60" w:before="120"/>
        <w:jc w:val="center"/>
      </w:pPr>
      <w:r>
        <w:drawing>
          <wp:inline distT="0" distB="0" distL="0" distR="0">
            <wp:extent cx="5715000" cy="2371725"/>
            <wp:effectExtent t="0" r="0" b="0" l="0"/>
            <wp:docPr id="1" name="Figure 1 · Service reminders in Fleetana. Product screens are our illustrations; demo data must look like demo data." descr="Figure 1 · Service reminders in Fleetana. Product screens are our illustrations; demo data must look like demo data." title="Figure 1 · Service reminders in Fleetana. Product screens are our illustrations; demo data must look like demo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371725"/>
                    </a:xfrm>
                    <a:prstGeom prst="rect">
                      <a:avLst/>
                    </a:prstGeom>
                  </pic:spPr>
                </pic:pic>
              </a:graphicData>
            </a:graphic>
          </wp:inline>
        </w:drawing>
      </w:r>
    </w:p>
    <w:p>
      <w:pPr>
        <w:pStyle w:val="Caption"/>
        <w:bidi w:val="false"/>
        <w:jc w:val="start"/>
      </w:pPr>
      <w:r>
        <w:rPr>
          <w:rtl w:val="false"/>
        </w:rPr>
        <w:t xml:space="preserve">Figure 1 · Service reminders in Fleetana. Product screens are our illustrations; demo data must look like demo data.</w:t>
      </w:r>
    </w:p>
    <w:p>
      <w:pPr>
        <w:pStyle w:val="Heading1"/>
        <w:bidi w:val="false"/>
        <w:jc w:val="start"/>
      </w:pPr>
      <w:r>
        <w:rPr>
          <w:rtl w:val="false"/>
        </w:rPr>
        <w:t xml:space="preserve">Styles in this template</w:t>
      </w:r>
    </w:p>
    <w:p>
      <w:pPr>
        <w:bidi w:val="false"/>
        <w:jc w:val="start"/>
      </w:pPr>
      <w:r>
        <w:rPr>
          <w:rtl w:val="false"/>
        </w:rPr>
        <w:t xml:space="preserve">Pick styles from the gallery instead of formatting by hand, so every Fleetana document looks the same.</w:t>
      </w:r>
    </w:p>
    <w:tbl>
      <w:tblPr>
        <w:bidiVisual w:val="false"/>
        <w:tblW w:type="dxa" w:w="9412"/>
        <w:tblBorders>
          <w:top w:val="none" w:color="FFFFFF" w:sz="0"/>
          <w:left w:val="none" w:color="FFFFFF" w:sz="0"/>
          <w:bottom w:val="none" w:color="FFFFFF" w:sz="0"/>
          <w:right w:val="none" w:color="FFFFFF" w:sz="0"/>
          <w:insideH w:val="single" w:color="D9D9D9" w:sz="4"/>
          <w:insideV w:val="none" w:color="FFFFFF" w:sz="0"/>
        </w:tblBorders>
        <w:tblLayout w:type="fixed"/>
      </w:tblPr>
      <w:tblGrid>
        <w:gridCol w:w="2600"/>
        <w:gridCol w:w="6812"/>
      </w:tblGrid>
      <w:tr>
        <w:tc>
          <w:tcPr>
            <w:tcW w:type="dxa" w:w="2600"/>
            <w:tcMar>
              <w:top w:type="dxa" w:w="80"/>
              <w:left w:type="dxa" w:w="0"/>
              <w:bottom w:type="dxa" w:w="80"/>
              <w:right w:type="dxa" w:w="120"/>
            </w:tcMar>
          </w:tcPr>
          <w:p>
            <w:pPr>
              <w:bidi w:val="false"/>
              <w:spacing w:after="0"/>
              <w:jc w:val="start"/>
            </w:pPr>
            <w:r>
              <w:rPr>
                <w:b/>
                <w:bCs/>
                <w:color w:val="64748B"/>
                <w:sz w:val="17"/>
                <w:szCs w:val="17"/>
                <w:rtl w:val="false"/>
              </w:rPr>
              <w:t xml:space="preserve">Title</w:t>
            </w:r>
          </w:p>
        </w:tc>
        <w:tc>
          <w:tcPr>
            <w:tcW w:type="dxa" w:w="6812"/>
            <w:tcMar>
              <w:top w:type="dxa" w:w="80"/>
              <w:left w:type="dxa" w:w="0"/>
              <w:bottom w:type="dxa" w:w="80"/>
              <w:right w:type="dxa" w:w="0"/>
            </w:tcMar>
          </w:tcPr>
          <w:p>
            <w:pPr>
              <w:bidi w:val="false"/>
              <w:spacing w:after="0"/>
              <w:jc w:val="start"/>
            </w:pPr>
            <w:r>
              <w:rPr>
                <w:color w:val="0F172A"/>
                <w:sz w:val="20"/>
                <w:szCs w:val="20"/>
                <w:rtl w:val="false"/>
              </w:rPr>
              <w:t xml:space="preserve">Cover title, Hanken Grotesk 30 pt</w:t>
            </w:r>
          </w:p>
        </w:tc>
      </w:tr>
      <w:tr>
        <w:tc>
          <w:tcPr>
            <w:tcW w:type="dxa" w:w="2600"/>
            <w:tcMar>
              <w:top w:type="dxa" w:w="80"/>
              <w:left w:type="dxa" w:w="0"/>
              <w:bottom w:type="dxa" w:w="80"/>
              <w:right w:type="dxa" w:w="120"/>
            </w:tcMar>
          </w:tcPr>
          <w:p>
            <w:pPr>
              <w:bidi w:val="false"/>
              <w:spacing w:after="0"/>
              <w:jc w:val="start"/>
            </w:pPr>
            <w:r>
              <w:rPr>
                <w:b/>
                <w:bCs/>
                <w:color w:val="64748B"/>
                <w:sz w:val="17"/>
                <w:szCs w:val="17"/>
                <w:rtl w:val="false"/>
              </w:rPr>
              <w:t xml:space="preserve">Subtitle</w:t>
            </w:r>
          </w:p>
        </w:tc>
        <w:tc>
          <w:tcPr>
            <w:tcW w:type="dxa" w:w="6812"/>
            <w:tcMar>
              <w:top w:type="dxa" w:w="80"/>
              <w:left w:type="dxa" w:w="0"/>
              <w:bottom w:type="dxa" w:w="80"/>
              <w:right w:type="dxa" w:w="0"/>
            </w:tcMar>
          </w:tcPr>
          <w:p>
            <w:pPr>
              <w:bidi w:val="false"/>
              <w:spacing w:after="0"/>
              <w:jc w:val="start"/>
            </w:pPr>
            <w:r>
              <w:rPr>
                <w:color w:val="0F172A"/>
                <w:sz w:val="20"/>
                <w:szCs w:val="20"/>
                <w:rtl w:val="false"/>
              </w:rPr>
              <w:t xml:space="preserve">Cover line under the title, Accent Blue</w:t>
            </w:r>
          </w:p>
        </w:tc>
      </w:tr>
      <w:tr>
        <w:tc>
          <w:tcPr>
            <w:tcW w:type="dxa" w:w="2600"/>
            <w:tcMar>
              <w:top w:type="dxa" w:w="80"/>
              <w:left w:type="dxa" w:w="0"/>
              <w:bottom w:type="dxa" w:w="80"/>
              <w:right w:type="dxa" w:w="120"/>
            </w:tcMar>
          </w:tcPr>
          <w:p>
            <w:pPr>
              <w:bidi w:val="false"/>
              <w:spacing w:after="0"/>
              <w:jc w:val="start"/>
            </w:pPr>
            <w:r>
              <w:rPr>
                <w:b/>
                <w:bCs/>
                <w:color w:val="64748B"/>
                <w:sz w:val="17"/>
                <w:szCs w:val="17"/>
                <w:rtl w:val="false"/>
              </w:rPr>
              <w:t xml:space="preserve">Eyebrow</w:t>
            </w:r>
          </w:p>
        </w:tc>
        <w:tc>
          <w:tcPr>
            <w:tcW w:type="dxa" w:w="6812"/>
            <w:tcMar>
              <w:top w:type="dxa" w:w="80"/>
              <w:left w:type="dxa" w:w="0"/>
              <w:bottom w:type="dxa" w:w="80"/>
              <w:right w:type="dxa" w:w="0"/>
            </w:tcMar>
          </w:tcPr>
          <w:p>
            <w:pPr>
              <w:bidi w:val="false"/>
              <w:spacing w:after="0"/>
              <w:jc w:val="start"/>
            </w:pPr>
            <w:r>
              <w:rPr>
                <w:color w:val="0F172A"/>
                <w:sz w:val="20"/>
                <w:szCs w:val="20"/>
                <w:rtl w:val="false"/>
              </w:rPr>
              <w:t xml:space="preserve">Document type above the title</w:t>
            </w:r>
          </w:p>
        </w:tc>
      </w:tr>
      <w:tr>
        <w:tc>
          <w:tcPr>
            <w:tcW w:type="dxa" w:w="2600"/>
            <w:tcMar>
              <w:top w:type="dxa" w:w="80"/>
              <w:left w:type="dxa" w:w="0"/>
              <w:bottom w:type="dxa" w:w="80"/>
              <w:right w:type="dxa" w:w="120"/>
            </w:tcMar>
          </w:tcPr>
          <w:p>
            <w:pPr>
              <w:bidi w:val="false"/>
              <w:spacing w:after="0"/>
              <w:jc w:val="start"/>
            </w:pPr>
            <w:r>
              <w:rPr>
                <w:b/>
                <w:bCs/>
                <w:color w:val="64748B"/>
                <w:sz w:val="17"/>
                <w:szCs w:val="17"/>
                <w:rtl w:val="false"/>
              </w:rPr>
              <w:t xml:space="preserve">Heading 1 – 3</w:t>
            </w:r>
          </w:p>
        </w:tc>
        <w:tc>
          <w:tcPr>
            <w:tcW w:type="dxa" w:w="6812"/>
            <w:tcMar>
              <w:top w:type="dxa" w:w="80"/>
              <w:left w:type="dxa" w:w="0"/>
              <w:bottom w:type="dxa" w:w="80"/>
              <w:right w:type="dxa" w:w="0"/>
            </w:tcMar>
          </w:tcPr>
          <w:p>
            <w:pPr>
              <w:bidi w:val="false"/>
              <w:spacing w:after="0"/>
              <w:jc w:val="start"/>
            </w:pPr>
            <w:r>
              <w:rPr>
                <w:color w:val="0F172A"/>
                <w:sz w:val="20"/>
                <w:szCs w:val="20"/>
                <w:rtl w:val="false"/>
              </w:rPr>
              <w:t xml:space="preserve">Section, sub-section and labelled block</w:t>
            </w:r>
          </w:p>
        </w:tc>
      </w:tr>
      <w:tr>
        <w:tc>
          <w:tcPr>
            <w:tcW w:type="dxa" w:w="2600"/>
            <w:tcMar>
              <w:top w:type="dxa" w:w="80"/>
              <w:left w:type="dxa" w:w="0"/>
              <w:bottom w:type="dxa" w:w="80"/>
              <w:right w:type="dxa" w:w="120"/>
            </w:tcMar>
          </w:tcPr>
          <w:p>
            <w:pPr>
              <w:bidi w:val="false"/>
              <w:spacing w:after="0"/>
              <w:jc w:val="start"/>
            </w:pPr>
            <w:r>
              <w:rPr>
                <w:b/>
                <w:bCs/>
                <w:color w:val="64748B"/>
                <w:sz w:val="17"/>
                <w:szCs w:val="17"/>
                <w:rtl w:val="false"/>
              </w:rPr>
              <w:t xml:space="preserve">Lead</w:t>
            </w:r>
          </w:p>
        </w:tc>
        <w:tc>
          <w:tcPr>
            <w:tcW w:type="dxa" w:w="6812"/>
            <w:tcMar>
              <w:top w:type="dxa" w:w="80"/>
              <w:left w:type="dxa" w:w="0"/>
              <w:bottom w:type="dxa" w:w="80"/>
              <w:right w:type="dxa" w:w="0"/>
            </w:tcMar>
          </w:tcPr>
          <w:p>
            <w:pPr>
              <w:bidi w:val="false"/>
              <w:spacing w:after="0"/>
              <w:jc w:val="start"/>
            </w:pPr>
            <w:r>
              <w:rPr>
                <w:color w:val="0F172A"/>
                <w:sz w:val="20"/>
                <w:szCs w:val="20"/>
                <w:rtl w:val="false"/>
              </w:rPr>
              <w:t xml:space="preserve">Opening paragraph of a section</w:t>
            </w:r>
          </w:p>
        </w:tc>
      </w:tr>
      <w:tr>
        <w:tc>
          <w:tcPr>
            <w:tcW w:type="dxa" w:w="2600"/>
            <w:tcMar>
              <w:top w:type="dxa" w:w="80"/>
              <w:left w:type="dxa" w:w="0"/>
              <w:bottom w:type="dxa" w:w="80"/>
              <w:right w:type="dxa" w:w="120"/>
            </w:tcMar>
          </w:tcPr>
          <w:p>
            <w:pPr>
              <w:bidi w:val="false"/>
              <w:spacing w:after="0"/>
              <w:jc w:val="start"/>
            </w:pPr>
            <w:r>
              <w:rPr>
                <w:b/>
                <w:bCs/>
                <w:color w:val="64748B"/>
                <w:sz w:val="17"/>
                <w:szCs w:val="17"/>
                <w:rtl w:val="false"/>
              </w:rPr>
              <w:t xml:space="preserve">Normal</w:t>
            </w:r>
          </w:p>
        </w:tc>
        <w:tc>
          <w:tcPr>
            <w:tcW w:type="dxa" w:w="6812"/>
            <w:tcMar>
              <w:top w:type="dxa" w:w="80"/>
              <w:left w:type="dxa" w:w="0"/>
              <w:bottom w:type="dxa" w:w="80"/>
              <w:right w:type="dxa" w:w="0"/>
            </w:tcMar>
          </w:tcPr>
          <w:p>
            <w:pPr>
              <w:bidi w:val="false"/>
              <w:spacing w:after="0"/>
              <w:jc w:val="start"/>
            </w:pPr>
            <w:r>
              <w:rPr>
                <w:color w:val="0F172A"/>
                <w:sz w:val="20"/>
                <w:szCs w:val="20"/>
                <w:rtl w:val="false"/>
              </w:rPr>
              <w:t xml:space="preserve">Body text, Inter 10.5 pt</w:t>
            </w:r>
          </w:p>
        </w:tc>
      </w:tr>
      <w:tr>
        <w:tc>
          <w:tcPr>
            <w:tcW w:type="dxa" w:w="2600"/>
            <w:tcMar>
              <w:top w:type="dxa" w:w="80"/>
              <w:left w:type="dxa" w:w="0"/>
              <w:bottom w:type="dxa" w:w="80"/>
              <w:right w:type="dxa" w:w="120"/>
            </w:tcMar>
          </w:tcPr>
          <w:p>
            <w:pPr>
              <w:bidi w:val="false"/>
              <w:spacing w:after="0"/>
              <w:jc w:val="start"/>
            </w:pPr>
            <w:r>
              <w:rPr>
                <w:b/>
                <w:bCs/>
                <w:color w:val="64748B"/>
                <w:sz w:val="17"/>
                <w:szCs w:val="17"/>
                <w:rtl w:val="false"/>
              </w:rPr>
              <w:t xml:space="preserve">Callout</w:t>
            </w:r>
          </w:p>
        </w:tc>
        <w:tc>
          <w:tcPr>
            <w:tcW w:type="dxa" w:w="6812"/>
            <w:tcMar>
              <w:top w:type="dxa" w:w="80"/>
              <w:left w:type="dxa" w:w="0"/>
              <w:bottom w:type="dxa" w:w="80"/>
              <w:right w:type="dxa" w:w="0"/>
            </w:tcMar>
          </w:tcPr>
          <w:p>
            <w:pPr>
              <w:bidi w:val="false"/>
              <w:spacing w:after="0"/>
              <w:jc w:val="start"/>
            </w:pPr>
            <w:r>
              <w:rPr>
                <w:color w:val="0F172A"/>
                <w:sz w:val="20"/>
                <w:szCs w:val="20"/>
                <w:rtl w:val="false"/>
              </w:rPr>
              <w:t xml:space="preserve">The one thing to remember (Tint panel)</w:t>
            </w:r>
          </w:p>
        </w:tc>
      </w:tr>
      <w:tr>
        <w:tc>
          <w:tcPr>
            <w:tcW w:type="dxa" w:w="2600"/>
            <w:tcMar>
              <w:top w:type="dxa" w:w="80"/>
              <w:left w:type="dxa" w:w="0"/>
              <w:bottom w:type="dxa" w:w="80"/>
              <w:right w:type="dxa" w:w="120"/>
            </w:tcMar>
          </w:tcPr>
          <w:p>
            <w:pPr>
              <w:bidi w:val="false"/>
              <w:spacing w:after="0"/>
              <w:jc w:val="start"/>
            </w:pPr>
            <w:r>
              <w:rPr>
                <w:b/>
                <w:bCs/>
                <w:color w:val="64748B"/>
                <w:sz w:val="17"/>
                <w:szCs w:val="17"/>
                <w:rtl w:val="false"/>
              </w:rPr>
              <w:t xml:space="preserve">Caption</w:t>
            </w:r>
          </w:p>
        </w:tc>
        <w:tc>
          <w:tcPr>
            <w:tcW w:type="dxa" w:w="6812"/>
            <w:tcMar>
              <w:top w:type="dxa" w:w="80"/>
              <w:left w:type="dxa" w:w="0"/>
              <w:bottom w:type="dxa" w:w="80"/>
              <w:right w:type="dxa" w:w="0"/>
            </w:tcMar>
          </w:tcPr>
          <w:p>
            <w:pPr>
              <w:bidi w:val="false"/>
              <w:spacing w:after="0"/>
              <w:jc w:val="start"/>
            </w:pPr>
            <w:r>
              <w:rPr>
                <w:color w:val="0F172A"/>
                <w:sz w:val="20"/>
                <w:szCs w:val="20"/>
                <w:rtl w:val="false"/>
              </w:rPr>
              <w:t xml:space="preserve">Under tables and figures</w:t>
            </w:r>
          </w:p>
        </w:tc>
      </w:tr>
      <w:tr>
        <w:tc>
          <w:tcPr>
            <w:tcW w:type="dxa" w:w="2600"/>
            <w:tcMar>
              <w:top w:type="dxa" w:w="80"/>
              <w:left w:type="dxa" w:w="0"/>
              <w:bottom w:type="dxa" w:w="80"/>
              <w:right w:type="dxa" w:w="120"/>
            </w:tcMar>
          </w:tcPr>
          <w:p>
            <w:pPr>
              <w:bidi w:val="false"/>
              <w:spacing w:after="0"/>
              <w:jc w:val="start"/>
            </w:pPr>
            <w:r>
              <w:rPr>
                <w:b/>
                <w:bCs/>
                <w:color w:val="64748B"/>
                <w:sz w:val="17"/>
                <w:szCs w:val="17"/>
                <w:rtl w:val="false"/>
              </w:rPr>
              <w:t xml:space="preserve">Data</w:t>
            </w:r>
          </w:p>
        </w:tc>
        <w:tc>
          <w:tcPr>
            <w:tcW w:type="dxa" w:w="6812"/>
            <w:tcMar>
              <w:top w:type="dxa" w:w="80"/>
              <w:left w:type="dxa" w:w="0"/>
              <w:bottom w:type="dxa" w:w="80"/>
              <w:right w:type="dxa" w:w="0"/>
            </w:tcMar>
          </w:tcPr>
          <w:p>
            <w:pPr>
              <w:bidi w:val="false"/>
              <w:spacing w:after="0"/>
              <w:jc w:val="start"/>
            </w:pPr>
            <w:r>
              <w:rPr>
                <w:color w:val="0F172A"/>
                <w:sz w:val="20"/>
                <w:szCs w:val="20"/>
                <w:rtl w:val="false"/>
              </w:rPr>
              <w:t xml:space="preserve">Plates, IDs, odometers (IBM Plex Mono)</w:t>
            </w:r>
          </w:p>
        </w:tc>
      </w:tr>
    </w:tbl>
    <w:p>
      <w:pPr>
        <w:bidi w:val="false"/>
        <w:spacing w:after="60" w:before="240"/>
        <w:jc w:val="start"/>
      </w:pPr>
      <w:r>
        <w:rPr>
          <w:b/>
          <w:bCs/>
          <w:color w:val="64748B"/>
          <w:sz w:val="17"/>
          <w:szCs w:val="17"/>
          <w:rtl w:val="false"/>
        </w:rPr>
        <w:t xml:space="preserve">Data style</w:t>
      </w:r>
    </w:p>
    <w:p>
      <w:pPr>
        <w:pStyle w:val="Data"/>
        <w:bidi w:val="false"/>
        <w:jc w:val="left"/>
      </w:pPr>
      <w:r>
        <w:rPr>
          <w:rFonts w:ascii="IBM Plex Mono" w:cs="IBM Plex Sans Arabic" w:eastAsia="IBM Plex Mono" w:hAnsi="IBM Plex Mono"/>
        </w:rPr>
        <w:t xml:space="preserve">WO-000123 · ⁦4271 ح ط ر⁩ · 21/10/2026 · 89,420 km</w:t>
      </w:r>
    </w:p>
    <w:p>
      <w:pPr>
        <w:bidi w:val="false"/>
        <w:jc w:val="start"/>
      </w:pPr>
      <w:r>
        <w:rPr>
          <w:rtl w:val="false"/>
        </w:rPr>
        <w:t xml:space="preserve"/>
      </w:r>
    </w:p>
    <w:p>
      <w:pPr>
        <w:bidi w:val="false"/>
        <w:spacing w:after="0" w:before="240"/>
        <w:jc w:val="start"/>
      </w:pPr>
      <w:r>
        <w:rPr>
          <w:rtl w:val="false"/>
        </w:rPr>
        <w:t xml:space="preserve">Regards,</w:t>
      </w:r>
    </w:p>
    <w:p>
      <w:pPr>
        <w:bidi w:val="false"/>
        <w:spacing w:after="0"/>
        <w:jc w:val="start"/>
      </w:pPr>
      <w:r>
        <w:rPr>
          <w:b/>
          <w:bCs/>
          <w:sz w:val="22"/>
          <w:szCs w:val="22"/>
          <w:rtl w:val="false"/>
        </w:rPr>
        <w:t xml:space="preserve">Full name</w:t>
      </w:r>
    </w:p>
    <w:p>
      <w:pPr>
        <w:bidi w:val="false"/>
        <w:spacing w:after="0"/>
        <w:jc w:val="start"/>
      </w:pPr>
      <w:r>
        <w:rPr>
          <w:color w:val="45464D"/>
          <w:rtl w:val="false"/>
        </w:rPr>
        <w:t xml:space="preserve">Role, Fleetana</w:t>
      </w:r>
    </w:p>
    <w:p>
      <w:pPr>
        <w:bidi w:val="false"/>
        <w:jc w:val="start"/>
      </w:pPr>
      <w:r>
        <w:rPr>
          <w:color w:val="0051D5"/>
          <w:rtl w:val="false"/>
        </w:rPr>
        <w:t xml:space="preserve">fleetana.sa</w:t>
      </w:r>
    </w:p>
    <w:sectPr>
      <w:headerReference w:type="default" r:id="rId7"/>
      <w:headerReference w:type="first" r:id="rId8"/>
      <w:footerReference w:type="default" r:id="rId9"/>
      <w:footerReference w:type="first" r:id="rId10"/>
      <w:pgSz w:w="11906" w:h="16838" w:orient="portrait"/>
      <w:pgMar w:top="1700" w:right="1247" w:bottom="1300" w:left="1247" w:header="64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bidiVisual w:val="false"/>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06"/>
      <w:gridCol w:w="4706"/>
    </w:tblGrid>
    <w:tr>
      <w:tc>
        <w:tcPr>
          <w:tcW w:type="dxa" w:w="4706"/>
          <w:tcBorders>
            <w:top w:val="single" w:color="D9D9D9" w:sz="4"/>
            <w:left w:val="none" w:color="FFFFFF" w:sz="0"/>
            <w:bottom w:val="none" w:color="FFFFFF" w:sz="0"/>
            <w:right w:val="none" w:color="FFFFFF" w:sz="0"/>
          </w:tcBorders>
          <w:tcMar>
            <w:top w:type="dxa" w:w="100"/>
            <w:left w:type="dxa" w:w="0"/>
            <w:bottom w:type="dxa" w:w="0"/>
            <w:right w:type="dxa" w:w="0"/>
          </w:tcMar>
        </w:tcPr>
        <w:p>
          <w:pPr>
            <w:bidi w:val="false"/>
            <w:spacing w:after="0"/>
            <w:jc w:val="start"/>
          </w:pPr>
          <w:r>
            <w:rPr>
              <w:rFonts w:ascii="Inter" w:cs="IBM Plex Sans Arabic" w:eastAsia="Inter" w:hAnsi="Inter"/>
              <w:color w:val="64748B"/>
              <w:sz w:val="16"/>
              <w:szCs w:val="16"/>
            </w:rPr>
            <w:t xml:space="preserve">fleetana.sa</w:t>
          </w:r>
        </w:p>
      </w:tc>
      <w:tc>
        <w:tcPr>
          <w:tcW w:type="dxa" w:w="4706"/>
          <w:tcBorders>
            <w:top w:val="single" w:color="D9D9D9" w:sz="4"/>
            <w:left w:val="none" w:color="FFFFFF" w:sz="0"/>
            <w:bottom w:val="none" w:color="FFFFFF" w:sz="0"/>
            <w:right w:val="none" w:color="FFFFFF" w:sz="0"/>
          </w:tcBorders>
          <w:tcMar>
            <w:top w:type="dxa" w:w="100"/>
            <w:left w:type="dxa" w:w="0"/>
            <w:bottom w:type="dxa" w:w="0"/>
            <w:right w:type="dxa" w:w="0"/>
          </w:tcMar>
        </w:tcPr>
        <w:p>
          <w:pPr>
            <w:bidi w:val="false"/>
            <w:spacing w:after="0"/>
            <w:jc w:val="end"/>
          </w:pPr>
          <w:r>
            <w:rPr>
              <w:rFonts w:ascii="Inter" w:cs="IBM Plex Sans Arabic" w:eastAsia="Inter" w:hAnsi="Inter"/>
              <w:color w:val="64748B"/>
              <w:sz w:val="16"/>
              <w:szCs w:val="16"/>
              <w:rtl w:val="false"/>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tc>
    </w:tr>
  </w:tbl>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left"/>
    </w:pPr>
    <w:r>
      <w:drawing>
        <wp:inline distT="0" distB="0" distL="0" distR="0">
          <wp:extent cx="2076450" cy="285750"/>
          <wp:effectExtent t="0" r="0" b="0" l="0"/>
          <wp:docPr id="1" name="Fleetana logo" descr="Fleetana logo" title="Fleet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76450" cy="28575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Cover background" descr="Fleetana particle texture" title="Cover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7562850" cy="10696575"/>
                  </a:xfrm>
                  <a:prstGeom prst="rect">
                    <a:avLst/>
                  </a:prstGeom>
                </pic:spPr>
              </pic:pic>
            </a:graphicData>
          </a:graphic>
        </wp:anchor>
      </w:drawing>
    </w:r>
    <w:r>
      <w:drawing>
        <wp:inline distT="0" distB="0" distL="0" distR="0">
          <wp:extent cx="3324225" cy="457200"/>
          <wp:effectExtent t="0" r="0" b="0" l="0"/>
          <wp:docPr id="1" name="Fleetana logo" descr="Fleetana logo" title="Fleet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324225" cy="457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start="400" w:hanging="260"/>
      </w:pPr>
      <w:rPr>
        <w:b/>
        <w:bCs/>
        <w:color w:val="2A89FA"/>
      </w:rPr>
    </w:lvl>
  </w:abstractNum>
  <w:abstractNum w:abstractNumId="3" w15:restartNumberingAfterBreak="0">
    <w:multiLevelType w:val="hybridMultilevel"/>
    <w:lvl w:ilvl="0" w15:tentative="1">
      <w:start w:val="1"/>
      <w:numFmt w:val="decimal"/>
      <w:lvlText w:val="%1."/>
      <w:lvlJc w:val="start"/>
      <w:pPr>
        <w:ind w:start="400" w:hanging="300"/>
      </w:pPr>
      <w:rPr>
        <w:b/>
        <w:bCs/>
        <w:color w:val="0051D5"/>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BM Plex Sans Arabic" w:eastAsia="Inter" w:hAnsi="Inter"/>
        <w:color w:val="0F172A"/>
        <w:sz w:val="21"/>
        <w:szCs w:val="21"/>
        <w:rtl w:val="false"/>
      </w:rPr>
    </w:rPrDefault>
    <w:pPrDefault>
      <w:pPr>
        <w:spacing w:after="140" w:line="324" w:lineRule="auto"/>
      </w:pPr>
    </w:pPrDefault>
  </w:docDefaults>
  <w:style w:type="paragraph" w:styleId="Title">
    <w:name w:val="Title"/>
    <w:basedOn w:val="Normal"/>
    <w:next w:val="Normal"/>
    <w:qFormat/>
    <w:pPr>
      <w:spacing w:after="120" w:line="276" w:lineRule="auto"/>
    </w:pPr>
    <w:rPr>
      <w:rFonts w:ascii="Hanken Grotesk" w:cs="IBM Plex Sans Arabic" w:eastAsia="Hanken Grotesk" w:hAnsi="Hanken Grotesk"/>
      <w:b/>
      <w:bCs/>
      <w:color w:val="000000"/>
      <w:sz w:val="60"/>
      <w:szCs w:val="60"/>
      <w:rtl w:val="false"/>
    </w:rPr>
  </w:style>
  <w:style w:type="paragraph" w:styleId="Heading1">
    <w:name w:val="Heading 1"/>
    <w:basedOn w:val="Normal"/>
    <w:next w:val="Normal"/>
    <w:qFormat/>
    <w:pPr>
      <w:keepNext/>
      <w:spacing w:after="160" w:before="420" w:line="276" w:lineRule="auto"/>
    </w:pPr>
    <w:rPr>
      <w:rFonts w:ascii="Hanken Grotesk" w:cs="IBM Plex Sans Arabic" w:eastAsia="Hanken Grotesk" w:hAnsi="Hanken Grotesk"/>
      <w:b/>
      <w:bCs/>
      <w:color w:val="000000"/>
      <w:sz w:val="40"/>
      <w:szCs w:val="40"/>
      <w:rtl w:val="false"/>
    </w:rPr>
  </w:style>
  <w:style w:type="paragraph" w:styleId="Heading2">
    <w:name w:val="Heading 2"/>
    <w:basedOn w:val="Normal"/>
    <w:next w:val="Normal"/>
    <w:qFormat/>
    <w:pPr>
      <w:keepNext/>
      <w:spacing w:after="100" w:before="300" w:line="276" w:lineRule="auto"/>
    </w:pPr>
    <w:rPr>
      <w:rFonts w:ascii="Hanken Grotesk" w:cs="IBM Plex Sans Arabic" w:eastAsia="Hanken Grotesk" w:hAnsi="Hanken Grotesk"/>
      <w:b/>
      <w:bCs/>
      <w:color w:val="000000"/>
      <w:sz w:val="30"/>
      <w:szCs w:val="30"/>
      <w:rtl w:val="false"/>
    </w:rPr>
  </w:style>
  <w:style w:type="paragraph" w:styleId="Heading3">
    <w:name w:val="Heading 3"/>
    <w:basedOn w:val="Normal"/>
    <w:next w:val="Normal"/>
    <w:qFormat/>
    <w:pPr>
      <w:keepNext/>
      <w:spacing w:after="80" w:before="240"/>
    </w:pPr>
    <w:rPr>
      <w:rFonts w:ascii="Inter" w:cs="IBM Plex Sans Arabic" w:eastAsia="Inter" w:hAnsi="Inter"/>
      <w:b/>
      <w:bCs/>
      <w:color w:val="0051D5"/>
      <w:sz w:val="22"/>
      <w:szCs w:val="22"/>
      <w:rtl w:val="false"/>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ubtitle">
    <w:name w:val="Subtitle"/>
    <w:basedOn w:val="Normal"/>
    <w:next w:val="Normal"/>
    <w:qFormat/>
    <w:pPr>
      <w:spacing w:after="240" w:line="300" w:lineRule="auto"/>
    </w:pPr>
    <w:rPr>
      <w:rFonts w:ascii="Hanken Grotesk" w:cs="IBM Plex Sans Arabic" w:eastAsia="Hanken Grotesk" w:hAnsi="Hanken Grotesk"/>
      <w:b/>
      <w:bCs/>
      <w:color w:val="0051D5"/>
      <w:sz w:val="32"/>
      <w:szCs w:val="32"/>
    </w:rPr>
  </w:style>
  <w:style w:type="paragraph" w:styleId="Eyebrow">
    <w:name w:val="Eyebrow"/>
    <w:basedOn w:val="Normal"/>
    <w:next w:val="Normal"/>
    <w:qFormat/>
    <w:pPr>
      <w:spacing w:after="160"/>
    </w:pPr>
    <w:rPr>
      <w:rFonts w:ascii="Inter" w:cs="IBM Plex Sans Arabic" w:eastAsia="Inter" w:hAnsi="Inter"/>
      <w:b/>
      <w:bCs/>
      <w:color w:val="0051D5"/>
      <w:spacing w:val="30"/>
      <w:sz w:val="18"/>
      <w:szCs w:val="18"/>
    </w:rPr>
  </w:style>
  <w:style w:type="paragraph" w:styleId="Lead">
    <w:name w:val="Lead"/>
    <w:basedOn w:val="Normal"/>
    <w:next w:val="Normal"/>
    <w:qFormat/>
    <w:pPr>
      <w:spacing w:after="200" w:line="340" w:lineRule="auto"/>
    </w:pPr>
    <w:rPr>
      <w:rFonts w:ascii="Inter" w:cs="IBM Plex Sans Arabic" w:eastAsia="Inter" w:hAnsi="Inter"/>
      <w:color w:val="45464D"/>
      <w:sz w:val="25"/>
      <w:szCs w:val="25"/>
    </w:rPr>
  </w:style>
  <w:style w:type="paragraph" w:styleId="Caption">
    <w:name w:val="Caption"/>
    <w:basedOn w:val="Normal"/>
    <w:next w:val="Normal"/>
    <w:qFormat/>
    <w:pPr>
      <w:spacing w:after="240"/>
    </w:pPr>
    <w:rPr>
      <w:rFonts w:ascii="Inter" w:cs="IBM Plex Sans Arabic" w:eastAsia="Inter" w:hAnsi="Inter"/>
      <w:color w:val="64748B"/>
      <w:sz w:val="17"/>
      <w:szCs w:val="17"/>
    </w:rPr>
  </w:style>
  <w:style w:type="paragraph" w:styleId="Callout">
    <w:name w:val="Callout"/>
    <w:basedOn w:val="Normal"/>
    <w:next w:val="Normal"/>
    <w:qFormat/>
    <w:pPr>
      <w:pBdr>
        <w:top w:val="single" w:color="E8F2FF" w:sz="36" w:space="8"/>
        <w:bottom w:val="single" w:color="E8F2FF" w:sz="36" w:space="8"/>
        <w:left w:val="single" w:color="E8F2FF" w:sz="36" w:space="10"/>
        <w:right w:val="single" w:color="E8F2FF" w:sz="36" w:space="10"/>
      </w:pBdr>
      <w:shd w:fill="E8F2FF" w:color="auto" w:val="clear"/>
      <w:spacing w:after="240" w:before="200" w:line="330" w:lineRule="auto"/>
      <w:ind w:left="0" w:right="0"/>
    </w:pPr>
    <w:rPr>
      <w:rFonts w:ascii="Inter" w:cs="IBM Plex Sans Arabic" w:eastAsia="Inter" w:hAnsi="Inter"/>
      <w:b/>
      <w:bCs/>
      <w:color w:val="1E3A8A"/>
      <w:sz w:val="23"/>
      <w:szCs w:val="23"/>
    </w:rPr>
  </w:style>
  <w:style w:type="paragraph" w:styleId="Data">
    <w:name w:val="Data"/>
    <w:basedOn w:val="Normal"/>
    <w:next w:val="Normal"/>
    <w:qFormat/>
    <w:rPr>
      <w:rFonts w:ascii="IBM Plex Mono" w:cs="IBM Plex Sans Arabic" w:eastAsia="IBM Plex Mono" w:hAnsi="IBM Plex Mono"/>
      <w:color w:val="0F172A"/>
      <w:sz w:val="19"/>
      <w:szCs w:val="19"/>
      <w:rtl w:val="false"/>
    </w:rPr>
  </w:style>
  <w:style w:type="paragraph" w:styleId="LetterSubject">
    <w:name w:val="Letter Subject"/>
    <w:basedOn w:val="Normal"/>
    <w:next w:val="Normal"/>
    <w:qFormat/>
    <w:pPr>
      <w:spacing w:after="200"/>
    </w:pPr>
    <w:rPr>
      <w:rFonts w:ascii="Hanken Grotesk" w:cs="IBM Plex Sans Arabic" w:eastAsia="Hanken Grotesk" w:hAnsi="Hanken Grotesk"/>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c4b697c90dd975ce2ff20cfd67818e674046673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7049f7750713b14c5e76f6b0ac6cabab6e196d5.png"/></Relationships>
</file>

<file path=word/_rels/header2.xml.rels><?xml version="1.0" encoding="UTF-8"?><Relationships xmlns="http://schemas.openxmlformats.org/package/2006/relationships"><Relationship Id="rId0" Type="http://schemas.openxmlformats.org/officeDocument/2006/relationships/image" Target="media/f7049f7750713b14c5e76f6b0ac6cabab6e196d5.png"/><Relationship Id="rId1" Type="http://schemas.openxmlformats.org/officeDocument/2006/relationships/image" Target="media/cc41bc8c19357dc1e378291a802e19d078ab2374.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in two lines at most</dc:title>
  <dc:creator>Fleetana</dc:creator>
  <dc:description>Fleetana brand template</dc:description>
  <cp:lastModifiedBy>Un-named</cp:lastModifiedBy>
  <cp:revision>1</cp:revision>
  <dcterms:created xsi:type="dcterms:W3CDTF">2026-10-23T07:43:24.168Z</dcterms:created>
  <dcterms:modified xsi:type="dcterms:W3CDTF">2026-10-23T07:43:24.168Z</dcterms:modified>
</cp:coreProperties>
</file>

<file path=docProps/custom.xml><?xml version="1.0" encoding="utf-8"?>
<Properties xmlns="http://schemas.openxmlformats.org/officeDocument/2006/custom-properties" xmlns:vt="http://schemas.openxmlformats.org/officeDocument/2006/docPropsVTypes"/>
</file>