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pacing w:val="18"/>
          <w:sz w:val="40"/>
          <w:szCs w:val="40"/>
        </w:rPr>
        <w:t xml:space="preserve">ABDALRAHMAN ELGAZZAWI</w:t>
      </w:r>
    </w:p>
    <w:p>
      <w:pPr>
        <w:spacing w:after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Esports &amp; Gaming Operator  ·  Commercial Strategy  ·  Partnerships  ·  Marketing</w:t>
      </w:r>
    </w:p>
    <w:p>
      <w:pPr>
        <w:spacing w:after="140"/>
        <w:jc w:val="center"/>
      </w:pPr>
      <w:r>
        <w:rPr>
          <w:rFonts w:ascii="Arial" w:cs="Arial" w:eastAsia="Arial" w:hAnsi="Arial"/>
          <w:sz w:val="18"/>
          <w:szCs w:val="18"/>
        </w:rPr>
        <w:t xml:space="preserve">Riyadh, KSA  ·  Cairo, Egypt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sz w:val="18"/>
          <w:szCs w:val="18"/>
        </w:rPr>
        <w:t xml:space="preserve">+966 53 296 2163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sz w:val="18"/>
          <w:szCs w:val="18"/>
        </w:rPr>
        <w:t xml:space="preserve">a.faroukbiz2@gmail.com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sz w:val="18"/>
          <w:szCs w:val="18"/>
        </w:rPr>
        <w:t xml:space="preserve">linkedin.com/in/elgazzwi</w:t>
      </w:r>
    </w:p>
    <w:p>
      <w:pPr>
        <w:pBdr>
          <w:bottom w:val="single" w:color="1A1A1A" w:sz="6" w:space="3"/>
        </w:pBdr>
        <w:spacing w:after="60" w:before="160"/>
      </w:pPr>
      <w:r>
        <w:rPr>
          <w:rFonts w:ascii="Arial" w:cs="Arial" w:eastAsia="Arial" w:hAnsi="Arial"/>
          <w:b/>
          <w:bCs/>
          <w:spacing w:val="28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Senior esports &amp; gaming operator with 10+ years across commercial strategy, partnerships, marketing, and project delivery — operating across MENA's most active esports market. Hybrid technical-commercial profile: writes methodology, ships product, closes deals. Currently authoring Team Falcons' commercial stack and running an active sponsorship pipeline across MENA, SEA, and global markets.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Author of Team Falcons' commercial stack — pricing methodology (200 talents vs FaZe / Cloud9 / T1 / NRG / 100T), 140-page Agency Framework v5.0 (4-phase brand investment model · 13 counterparty tracks · KSA-governed under SCCA Riyadh arbitration), and a bilingual Arabic + English Mandates OS tracking ~SAR 2.3M of active commercial pipeline.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Closed Sony INZONE × Team Falcons sponsorship via Ruder Finn Atteline (USD 11.2K, 5 creators, 12 deliverables, KSA discount-code mechanic); in-flight pipeline includes GameSir × NODWIN, HADO partnership, Falcons Philippines M5, Vega SEA MLBB, and NVIDIA AR / Madv × INZONE creator briefs.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Led Esports World Cup commercial delivery (778+ deliverables across marketing/social/broadcast, 5M+ viewers reached); pitched 78+ brands across 5 agencies; onboarded 6 clients with 20% revenue growth via tightened account-management execution.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Multi-hat operator across methodology design (CPM modeling, market audit, rate-card calibration), commercial execution (closed deals, contract negotiation), framework architecture (governance, PDPL compliance, arbitration clauses), and delivery (Agile, vendor coordination, technical QA).</w:t>
      </w:r>
    </w:p>
    <w:p>
      <w:pPr>
        <w:pBdr>
          <w:bottom w:val="single" w:color="1A1A1A" w:sz="6" w:space="3"/>
        </w:pBdr>
        <w:spacing w:after="60" w:before="160"/>
      </w:pPr>
      <w:r>
        <w:rPr>
          <w:rFonts w:ascii="Arial" w:cs="Arial" w:eastAsia="Arial" w:hAnsi="Arial"/>
          <w:b/>
          <w:bCs/>
          <w:spacing w:val="28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Commercial: </w:t>
      </w:r>
      <w:r>
        <w:rPr>
          <w:rFonts w:ascii="Arial" w:cs="Arial" w:eastAsia="Arial" w:hAnsi="Arial"/>
          <w:sz w:val="20"/>
          <w:szCs w:val="20"/>
        </w:rPr>
        <w:t xml:space="preserve">Pricing methodology · Rate-card design · Market audit · Revenue modeling · Sponsorship valuation · Contract negotiation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Partnerships &amp; Marketing: </w:t>
      </w:r>
      <w:r>
        <w:rPr>
          <w:rFonts w:ascii="Arial" w:cs="Arial" w:eastAsia="Arial" w:hAnsi="Arial"/>
          <w:sz w:val="20"/>
          <w:szCs w:val="20"/>
        </w:rPr>
        <w:t xml:space="preserve">Brand onboarding · Agency management · Sponsorship activation · Influencer &amp; talent campaigns · Broadcast &amp; social workstreams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Operations &amp; Delivery: </w:t>
      </w:r>
      <w:r>
        <w:rPr>
          <w:rFonts w:ascii="Arial" w:cs="Arial" w:eastAsia="Arial" w:hAnsi="Arial"/>
          <w:sz w:val="20"/>
          <w:szCs w:val="20"/>
        </w:rPr>
        <w:t xml:space="preserve">Agile / Scrum · JIRA · Confluence · Vendor &amp; agency coordination · Cross-functional alignment · Technical &amp; brand QA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&amp; Languages: </w:t>
      </w:r>
      <w:r>
        <w:rPr>
          <w:rFonts w:ascii="Arial" w:cs="Arial" w:eastAsia="Arial" w:hAnsi="Arial"/>
          <w:sz w:val="20"/>
          <w:szCs w:val="20"/>
        </w:rPr>
        <w:t xml:space="preserve">JIRA · Confluence · Notion · Slack · Discord · Supabase / Postgres · SQL · Vercel · MS 365 · Google Workspace · Arabic (Native) · English (Fluent) · Spanish (Basic)</w:t>
      </w:r>
    </w:p>
    <w:p>
      <w:pPr>
        <w:pBdr>
          <w:bottom w:val="single" w:color="1A1A1A" w:sz="6" w:space="3"/>
        </w:pBdr>
        <w:spacing w:after="60" w:before="160"/>
      </w:pPr>
      <w:r>
        <w:rPr>
          <w:rFonts w:ascii="Arial" w:cs="Arial" w:eastAsia="Arial" w:hAnsi="Arial"/>
          <w:b/>
          <w:bCs/>
          <w:spacing w:val="28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Team Falcons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Riyadh, KSA</w:t>
      </w: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Esports Marketing Manager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Jan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Authored Team Falcons' full commercial stack: 15-section Pricing Source of Truth v1.0 (200-talent rate book benchmarked vs FaZe / Cloud9 / T1 / NRG / 100T), 140-page Agency Framework v5.0 (4-phase brand investment model from SAR 25K to SAR 10M+, 13 counterparty tracks, KSA-governed with SCCA Riyadh arbitration), and bilingual Commercial Mandates OS tracking ~SAR 2.3M of active pipeline.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Closed Sony INZONE × Falcons sponsorship (USD 11.2K, 5 creators, 12 deliverables, KSA discount-code mechanic) via Ruder Finn Atteline; running pipeline of GameSir × NODWIN, HADO, Falcons Philippines M5, Vega SEA MLBB, NVIDIA AR, and Madv × INZONE creator briefs.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Conducted roster-wide audit (76 mispriced lines, SAR 17.6M unrealized exposure, SAR 4–6M realistic 12-month capture path); shipped Falcons Pricing OS — Next.js + Supabase + Vercel internal app covering full quote lifecycle with Postgres RLS-enforced permissions across 4 roles.</w:t>
      </w:r>
    </w:p>
    <w:p>
      <w:pPr>
        <w:tabs>
          <w:tab w:val="right" w:pos="9026"/>
        </w:tabs>
        <w:spacing w:after="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GLG (Gerson Lehrman Group)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Remote / Cairo</w:t>
      </w: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Council Member — Gaming, Esports &amp; AI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Apr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Advise institutional investors and tech vendors on MENA esports market trends, commercial models, and Saudi Vision 2030 gaming-investment opportunities.</w:t>
      </w:r>
    </w:p>
    <w:p>
      <w:pPr>
        <w:tabs>
          <w:tab w:val="right" w:pos="9026"/>
        </w:tabs>
        <w:spacing w:after="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SPORTFIVE — Saudi Esports Federation / Esports World Cup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Riyadh, KSA</w:t>
      </w: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Senior Consultant — Account Management &amp; Partnerships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Apr 2024 – Dec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Owned commercial delivery for the Esports World Cup — 778+ partner deliverables across marketing, social, broadcast; 5M+ viewers. Co-managed six-figure brand deals; pitched 78+ brands across 5 agencies; onboarded 6 clients (20% revenue growth).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Enforced brand and technical asset QA standards across internal teams, agencies, and tier-1 sponsors at the world's largest esports event.</w:t>
      </w:r>
    </w:p>
    <w:p>
      <w:pPr>
        <w:tabs>
          <w:tab w:val="right" w:pos="9026"/>
        </w:tabs>
        <w:spacing w:after="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True Gaming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Riyadh, KSA</w:t>
      </w: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Project Manager &amp; Business Development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Aug 2023 – Apr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Streamlined creative and technical pipelines via JIRA workflows; led activations for Nvidia, Microsoft, and ASUS — owning product positioning, brand integrity, and on-ground execution.</w:t>
      </w:r>
    </w:p>
    <w:p>
      <w:pPr>
        <w:pBdr>
          <w:bottom w:val="single" w:color="1A1A1A" w:sz="6" w:space="3"/>
        </w:pBdr>
        <w:spacing w:after="60" w:before="160"/>
      </w:pPr>
      <w:r>
        <w:rPr>
          <w:rFonts w:ascii="Arial" w:cs="Arial" w:eastAsia="Arial" w:hAnsi="Arial"/>
          <w:b/>
          <w:bCs/>
          <w:spacing w:val="28"/>
          <w:sz w:val="22"/>
          <w:szCs w:val="22"/>
        </w:rPr>
        <w:t xml:space="preserve">SELECTED EARLIER ROLES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Vanguard </w:t>
      </w:r>
      <w:r>
        <w:rPr>
          <w:rFonts w:ascii="Arial" w:cs="Arial" w:eastAsia="Arial" w:hAnsi="Arial"/>
          <w:sz w:val="20"/>
          <w:szCs w:val="20"/>
        </w:rPr>
        <w:t xml:space="preserve">(Riyadh, 2023) — Esports Specialist, Gamers8: qualified partner proposals; designed interactive zone concepts for MENA's flagship festival.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Mobalytics </w:t>
      </w:r>
      <w:r>
        <w:rPr>
          <w:rFonts w:ascii="Arial" w:cs="Arial" w:eastAsia="Arial" w:hAnsi="Arial"/>
          <w:sz w:val="20"/>
          <w:szCs w:val="20"/>
        </w:rPr>
        <w:t xml:space="preserve">(Remote, 2022) — Gaming Specialist, Content &amp; SEO: deep-dive Lost Ark guides; SEO publishing workflows lifting organic reach.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Telecom Egypt — RA'AD Esports </w:t>
      </w:r>
      <w:r>
        <w:rPr>
          <w:rFonts w:ascii="Arial" w:cs="Arial" w:eastAsia="Arial" w:hAnsi="Arial"/>
          <w:sz w:val="20"/>
          <w:szCs w:val="20"/>
        </w:rPr>
        <w:t xml:space="preserve">(Cairo, 2021) — Esports Specialist, Operations: established team KPIs/KRIs; tightened vendor coordination and budget utilization.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Earlier (2015 – 2021): </w:t>
      </w:r>
      <w:r>
        <w:rPr>
          <w:rFonts w:ascii="Arial" w:cs="Arial" w:eastAsia="Arial" w:hAnsi="Arial"/>
          <w:sz w:val="20"/>
          <w:szCs w:val="20"/>
        </w:rPr>
        <w:t xml:space="preserve">S2 Games — QA / Prime Beta Tester (10-person testing squad on pre-release titles)  ·  Wanyoo Cairo — BD Specialist (esports stakeholder relationships, ROI assessments)  ·  Sevan Jewelry — Marketing Operations (digital campaigns supporting 100+ sales).</w:t>
      </w:r>
    </w:p>
    <w:p>
      <w:pPr>
        <w:pBdr>
          <w:bottom w:val="single" w:color="1A1A1A" w:sz="6" w:space="3"/>
        </w:pBdr>
        <w:spacing w:after="60" w:before="160"/>
      </w:pPr>
      <w:r>
        <w:rPr>
          <w:rFonts w:ascii="Arial" w:cs="Arial" w:eastAsia="Arial" w:hAnsi="Arial"/>
          <w:b/>
          <w:bCs/>
          <w:spacing w:val="28"/>
          <w:sz w:val="22"/>
          <w:szCs w:val="22"/>
        </w:rPr>
        <w:t xml:space="preserve">HIGHLIGHTED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Sony INZONE × Team Falcons Sponsorship (Dec 2025) — </w:t>
      </w:r>
      <w:r>
        <w:rPr>
          <w:rFonts w:ascii="Arial" w:cs="Arial" w:eastAsia="Arial" w:hAnsi="Arial"/>
          <w:sz w:val="20"/>
          <w:szCs w:val="20"/>
        </w:rPr>
        <w:t xml:space="preserve">Co-managed with Ruder Finn Atteline; activated 5 Falcons creators across 12 deliverables (TikTok video, YouTube live stream, IG videos &amp; stories) with full INZONE product seeding (H9 II, E9, M10S monitor) and KSA-market 20% discount-code mechanic for Sony World KSA.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Falcons Pricing OS (Web Application) — </w:t>
      </w:r>
      <w:r>
        <w:rPr>
          <w:rFonts w:ascii="Arial" w:cs="Arial" w:eastAsia="Arial" w:hAnsi="Arial"/>
          <w:sz w:val="20"/>
          <w:szCs w:val="20"/>
        </w:rPr>
        <w:t xml:space="preserve">Shipped Next.js 14 + Supabase + Vercel internal app covering full quote lifecycle (roster, builder, client portal, sales log, admin tooling) with Postgres RLS-enforced permissions across admin / sales / finance / viewer roles. Deployed to production on Vercel, auto-deploying from GitHub main.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Roster-Wide Market-Realism Audit — </w:t>
      </w:r>
      <w:r>
        <w:rPr>
          <w:rFonts w:ascii="Arial" w:cs="Arial" w:eastAsia="Arial" w:hAnsi="Arial"/>
          <w:sz w:val="20"/>
          <w:szCs w:val="20"/>
        </w:rPr>
        <w:t xml:space="preserve">Identified 76 mispriced lines across 200 talents; quantified SAR 17.6M/year unrealized revenue exposure with a SAR 4–6M realistic 12-month capture path. Promoted GLOBAL Tier S/1 elites (NiKo, m0NESY, Cellium, ImperialHal, Hikaru) onto FaZe / Cloud9 / NRG comparable-mid pricing.</w:t>
      </w:r>
    </w:p>
    <w:p>
      <w:pPr>
        <w:pBdr>
          <w:bottom w:val="single" w:color="1A1A1A" w:sz="6" w:space="3"/>
        </w:pBdr>
        <w:spacing w:after="60" w:before="160"/>
      </w:pPr>
      <w:r>
        <w:rPr>
          <w:rFonts w:ascii="Arial" w:cs="Arial" w:eastAsia="Arial" w:hAnsi="Arial"/>
          <w:b/>
          <w:bCs/>
          <w:spacing w:val="28"/>
          <w:sz w:val="22"/>
          <w:szCs w:val="22"/>
        </w:rPr>
        <w:t xml:space="preserve">SELECTED CLIENTS, PARTNERS &amp; AFFILIATIONS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 &amp; Endemic: </w:t>
      </w:r>
      <w:r>
        <w:rPr>
          <w:rFonts w:ascii="Arial" w:cs="Arial" w:eastAsia="Arial" w:hAnsi="Arial"/>
          <w:sz w:val="20"/>
          <w:szCs w:val="20"/>
        </w:rPr>
        <w:t xml:space="preserve">Sony INZONE · Nvidia · Microsoft · ASUS · Lenovo Legion · GameSir · NODWIN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Telco &amp; Sponsors: </w:t>
      </w:r>
      <w:r>
        <w:rPr>
          <w:rFonts w:ascii="Arial" w:cs="Arial" w:eastAsia="Arial" w:hAnsi="Arial"/>
          <w:sz w:val="20"/>
          <w:szCs w:val="20"/>
        </w:rPr>
        <w:t xml:space="preserve">Saudi Aramco · STC · Mobily · Telecom Egypt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Esports &amp; Federations: </w:t>
      </w:r>
      <w:r>
        <w:rPr>
          <w:rFonts w:ascii="Arial" w:cs="Arial" w:eastAsia="Arial" w:hAnsi="Arial"/>
          <w:sz w:val="20"/>
          <w:szCs w:val="20"/>
        </w:rPr>
        <w:t xml:space="preserve">Saudi Esports Federation · Egyptian Esports Federation · Egypt Football Association · Esports World Cup · Gamers8 · Saudi eLeagues · Team Falcons · Ruder Finn Atteline · True Gaming · Vanguard · GLG · Mobalytics · ArabHardware</w:t>
      </w:r>
    </w:p>
    <w:p>
      <w:pPr>
        <w:pBdr>
          <w:bottom w:val="single" w:color="1A1A1A" w:sz="6" w:space="3"/>
        </w:pBdr>
        <w:spacing w:after="60" w:before="160"/>
      </w:pPr>
      <w:r>
        <w:rPr>
          <w:rFonts w:ascii="Arial" w:cs="Arial" w:eastAsia="Arial" w:hAnsi="Arial"/>
          <w:b/>
          <w:bCs/>
          <w:spacing w:val="28"/>
          <w:sz w:val="22"/>
          <w:szCs w:val="22"/>
        </w:rPr>
        <w:t xml:space="preserve">EDUCATION &amp; CERTIFICATIONS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B.A., Communication &amp; Media Studies</w:t>
      </w:r>
      <w:r>
        <w:rPr>
          <w:rFonts w:ascii="Arial" w:cs="Arial" w:eastAsia="Arial" w:hAnsi="Arial"/>
          <w:sz w:val="20"/>
          <w:szCs w:val="20"/>
        </w:rPr>
        <w:t xml:space="preserve">  —  Universitat Autònoma de Barcelona (UAB) / AAST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 ·  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Diploma, Marketing</w:t>
      </w:r>
      <w:r>
        <w:rPr>
          <w:rFonts w:ascii="Arial" w:cs="Arial" w:eastAsia="Arial" w:hAnsi="Arial"/>
          <w:sz w:val="20"/>
          <w:szCs w:val="20"/>
        </w:rPr>
        <w:t xml:space="preserve">  —  DM Arts Academy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Certifications: </w:t>
      </w:r>
      <w:r>
        <w:rPr>
          <w:rFonts w:ascii="Arial" w:cs="Arial" w:eastAsia="Arial" w:hAnsi="Arial"/>
          <w:sz w:val="20"/>
          <w:szCs w:val="20"/>
        </w:rPr>
        <w:t xml:space="preserve">Business Development Consulting (2025) · Account Management — Maintaining Relationships · Negotiation Skills · Basic Tournament Administration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Abdalrahman ElGazzawi — Resume</dc:title>
  <dc:creator>Abdalrahman ElGazzawi</dc:creator>
  <cp:lastModifiedBy>Un-named</cp:lastModifiedBy>
  <cp:revision>1</cp:revision>
  <dcterms:created xsi:type="dcterms:W3CDTF">2026-05-02T15:44:22.777Z</dcterms:created>
  <dcterms:modified xsi:type="dcterms:W3CDTF">2026-05-02T15:44:22.777Z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