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pacing w:val="-10"/>
          <w:sz w:val="44"/>
          <w:szCs w:val="44"/>
        </w:rPr>
        <w:t xml:space="preserve">Abdalrahman ElGazzawi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A961"/>
          <w:sz w:val="20"/>
          <w:szCs w:val="20"/>
        </w:rPr>
        <w:t xml:space="preserve">Commercial Partnerships  ·  Sponsorship Activation  ·  Campaign Ops  ·  Esports &amp; Gaming</w:t>
      </w:r>
    </w:p>
    <w:p>
      <w:pPr>
        <w:pBdr>
          <w:bottom w:val="single" w:color="D7D2C7" w:sz="6" w:space="4"/>
        </w:pBdr>
        <w:spacing w:after="1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Cairo, Egypt  ·  Open to Riyadh, GCC, Remote &amp; Global</w:t>
      </w:r>
      <w:r>
        <w:rPr>
          <w:rFonts w:ascii="Arial" w:cs="Arial" w:eastAsia="Arial" w:hAnsi="Arial"/>
          <w:color w:val="D7D2C7"/>
          <w:sz w:val="18"/>
          <w:szCs w:val="18"/>
        </w:rPr>
        <w:t xml:space="preserve">    ·    </w:t>
      </w:r>
      <w:hyperlink w:history="1" r:id="rIdcdsoljkrme3aror_leiq2">
        <w:r>
          <w:rPr>
            <w:rFonts w:ascii="Arial" w:cs="Arial" w:eastAsia="Arial" w:hAnsi="Arial"/>
            <w:color w:val="1A1A1A"/>
            <w:sz w:val="18"/>
            <w:szCs w:val="18"/>
            <w:u w:val="single"/>
          </w:rPr>
          <w:t xml:space="preserve">abdghazzawi1@gmail.com</w:t>
        </w:r>
      </w:hyperlink>
      <w:r>
        <w:rPr>
          <w:rFonts w:ascii="Arial" w:cs="Arial" w:eastAsia="Arial" w:hAnsi="Arial"/>
          <w:color w:val="D7D2C7"/>
          <w:sz w:val="18"/>
          <w:szCs w:val="18"/>
        </w:rPr>
        <w:t xml:space="preserve">    ·  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+966 53 296 2163</w:t>
      </w:r>
      <w:r>
        <w:rPr>
          <w:rFonts w:ascii="Arial" w:cs="Arial" w:eastAsia="Arial" w:hAnsi="Arial"/>
          <w:color w:val="D7D2C7"/>
          <w:sz w:val="18"/>
          <w:szCs w:val="18"/>
        </w:rPr>
        <w:t xml:space="preserve">    ·    </w:t>
      </w:r>
      <w:hyperlink w:history="1" r:id="rIddg8w8ggv4uto8trc3kvld">
        <w:r>
          <w:rPr>
            <w:rFonts w:ascii="Arial" w:cs="Arial" w:eastAsia="Arial" w:hAnsi="Arial"/>
            <w:color w:val="1A1A1A"/>
            <w:sz w:val="18"/>
            <w:szCs w:val="18"/>
            <w:u w:val="single"/>
          </w:rPr>
          <w:t xml:space="preserve">linkedin.com/in/elgazzwi</w:t>
        </w:r>
      </w:hyperlink>
    </w:p>
    <w:p>
      <w:pPr>
        <w:spacing w:after="100" w:before="80" w:line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Commercial partnerships and campaign operations specialist across esports &amp; gaming.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10+ years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inside the ecosystem, from Telecom Egypt RA’AD to SPORTFIVE / Esports World Cup to a fixed-term consultancy with Team Falcons. Delivered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778+ commercial assets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full contractual fulfillment, supporting campaigns reaching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5M+ viewers</w:t>
      </w:r>
      <w:r>
        <w:rPr>
          <w:rFonts w:ascii="Arial" w:cs="Arial" w:eastAsia="Arial" w:hAnsi="Arial"/>
          <w:color w:val="1A1A1A"/>
          <w:sz w:val="19"/>
          <w:szCs w:val="19"/>
        </w:rPr>
        <w:t>. Bilingual Arabic / English. Cairo-based, open to Riyadh, GCC, Remote &amp; Global.</w:t>
      </w:r>
    </w:p>
    <w:tbl>
      <w:tblPr>
        <w:tblW w:type="dxa" w:w="9360"/>
        <w:tblBorders>
          <w:top w:val="single" w:color="D7D2C7" w:sz="6" w:space="4"/>
          <w:left w:val="none" w:color="FFFFFF" w:sz="0"/>
          <w:bottom w:val="single" w:color="D7D2C7" w:sz="6" w:space="4"/>
          <w:right w:val="none" w:color="FFFFFF" w:sz="0"/>
          <w:insideH w:val="none" w:color="FFFFFF" w:sz="0"/>
          <w:insideV w:val="single" w:color="D7D2C7" w:sz="6" w:space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8"/>
                <w:szCs w:val="28"/>
              </w:rPr>
              <w:t xml:space="preserve">778+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Sponsor / commercial deliverables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8"/>
                <w:szCs w:val="28"/>
              </w:rPr>
              <w:t xml:space="preserve">5M+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Viewers reached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8"/>
                <w:szCs w:val="28"/>
              </w:rPr>
              <w:t xml:space="preserve">147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LEAP Expo contacts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961"/>
                <w:sz w:val="28"/>
                <w:szCs w:val="28"/>
              </w:rPr>
              <w:t xml:space="preserve">78+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Brands pitched</w:t>
            </w:r>
          </w:p>
        </w:tc>
      </w:tr>
    </w:tbl>
    <w:p>
      <w:pPr>
        <w:pBdr>
          <w:bottom w:val="single" w:color="D7D2C7" w:sz="6" w:space="4"/>
        </w:pBdr>
        <w:spacing w:after="80" w:before="180"/>
      </w:pPr>
      <w:r>
        <w:rPr>
          <w:rFonts w:ascii="Arial" w:cs="Arial" w:eastAsia="Arial" w:hAnsi="Arial"/>
          <w:b/>
          <w:bCs/>
          <w:color w:val="C9A961"/>
          <w:spacing w:val="40"/>
          <w:sz w:val="18"/>
          <w:szCs w:val="18"/>
        </w:rPr>
        <w:t xml:space="preserve">EXPERIENCE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Team Falcons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·  </w:t>
      </w:r>
      <w:r>
        <w:rPr>
          <w:rFonts w:ascii="Arial" w:cs="Arial" w:eastAsia="Arial" w:hAnsi="Arial"/>
          <w:color w:val="1A1A1A"/>
          <w:sz w:val="21"/>
          <w:szCs w:val="21"/>
        </w:rPr>
        <w:t>Commercial Partnerships Consultant, Fixed-Term Contract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>Feb 2026 to May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Cairo · Riyadh · Remote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12-partner commercial pipeline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across hardware, tech, automotive, fintech, software, creator/player, and brand-led activations.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Advanced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seven-figure partnership opportunity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through proposal, pricing logic, rights packaging, partner alignment, and contract-stage prep.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Operated the closed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Sony INZONE 2026 campaign end-to-end</w:t>
      </w:r>
      <w:r>
        <w:rPr>
          <w:rFonts w:ascii="Arial" w:cs="Arial" w:eastAsia="Arial" w:hAnsi="Arial"/>
          <w:color w:val="1A1A1A"/>
          <w:sz w:val="19"/>
          <w:szCs w:val="19"/>
        </w:rPr>
        <w:t>: creator briefs, bilingual EN/AR copy, product seeding, agency timelines, approvals, launch.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GLG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·  </w:t>
      </w:r>
      <w:r>
        <w:rPr>
          <w:rFonts w:ascii="Arial" w:cs="Arial" w:eastAsia="Arial" w:hAnsi="Arial"/>
          <w:color w:val="1A1A1A"/>
          <w:sz w:val="21"/>
          <w:szCs w:val="21"/>
        </w:rPr>
        <w:t>Council Member, Gaming, Esports &amp; AI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>Apr 2025 to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Remote · Paid expert engagements · Client identities confidential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On-call subject-matter expert for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institutional investors and global enterprises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on esports leagues, competitive franchises, and MENA gaming.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SPORTFIVE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·  </w:t>
      </w:r>
      <w:r>
        <w:rPr>
          <w:rFonts w:ascii="Arial" w:cs="Arial" w:eastAsia="Arial" w:hAnsi="Arial"/>
          <w:color w:val="1A1A1A"/>
          <w:sz w:val="21"/>
          <w:szCs w:val="21"/>
        </w:rPr>
        <w:t>Consultant, Senior Account Management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>Apr 2024 to Dec 2024 · 9 months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Riyadh, KSA · Saudi Esports Federation · EWC Commercial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Shipped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778+ deliverables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full contractual fulfillment across sponsor, commercial, social, broadcast.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EWC social strategy + sponsor and influencer campaigns reaching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5M+ viewers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;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78+ brands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pitched across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5 agencies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; spearheaded SEF IP commercial roadmap.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True Gaming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·  </w:t>
      </w:r>
      <w:r>
        <w:rPr>
          <w:rFonts w:ascii="Arial" w:cs="Arial" w:eastAsia="Arial" w:hAnsi="Arial"/>
          <w:color w:val="1A1A1A"/>
          <w:sz w:val="21"/>
          <w:szCs w:val="21"/>
        </w:rPr>
        <w:t>Project Manager · Business Development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>Aug 2023 to Apr 2024 · 9 months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Riyadh, KSA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Activated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Nvidia, Microsoft, ASUS, AstraNova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; LEAP Expo: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147 contacts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6 new clients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; TrueGaming Awards SOP rebuilt on JIRA.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Vanguard / Telecom Egypt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·  </w:t>
      </w:r>
      <w:r>
        <w:rPr>
          <w:rFonts w:ascii="Arial" w:cs="Arial" w:eastAsia="Arial" w:hAnsi="Arial"/>
          <w:color w:val="1A1A1A"/>
          <w:sz w:val="21"/>
          <w:szCs w:val="21"/>
        </w:rPr>
        <w:t>Esports Specialist roles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>2021 to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Vanguard: 50+ Gamers8 proposals reviewed · Telecom Egypt RA’AD: venue + PMPL bootcamp built in &lt;7 days</w:t>
      </w:r>
    </w:p>
    <w:p>
      <w:pPr>
        <w:pBdr>
          <w:bottom w:val="single" w:color="D7D2C7" w:sz="6" w:space="4"/>
        </w:pBdr>
        <w:spacing w:after="80" w:before="180"/>
      </w:pPr>
      <w:r>
        <w:rPr>
          <w:rFonts w:ascii="Arial" w:cs="Arial" w:eastAsia="Arial" w:hAnsi="Arial"/>
          <w:b/>
          <w:bCs/>
          <w:color w:val="C9A961"/>
          <w:spacing w:val="40"/>
          <w:sz w:val="18"/>
          <w:szCs w:val="18"/>
        </w:rPr>
        <w:t xml:space="preserve">EDUCATION · LANGUAGES · SKILLS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>Universitat Autònoma de Barcelona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, BA, Communication &amp; Media Studies  ·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>Arab Academy for Science, Tech &amp; Maritime Transport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, BA, Mass Communication  ·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>DM Arts Academy</w:t>
      </w:r>
      <w:r>
        <w:rPr>
          <w:rFonts w:ascii="Arial" w:cs="Arial" w:eastAsia="Arial" w:hAnsi="Arial"/>
          <w:color w:val="555555"/>
          <w:sz w:val="18"/>
          <w:szCs w:val="18"/>
        </w:rPr>
        <w:t>, Diploma, Marketing (2019 to 2020)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Arabic (native) · English (full professional) · Spanish (elementary)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  Skills: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Commercial Partnerships · Sponsorship Activation · Campaign Operations · Account Management · Project Delivery · SEO Copywriting · Agile/JIRA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soljkrme3aror_leiq2" Type="http://schemas.openxmlformats.org/officeDocument/2006/relationships/hyperlink" Target="mailto:abdghazzawi1@gmail.com" TargetMode="External"/><Relationship Id="rIddg8w8ggv4uto8trc3kvld" Type="http://schemas.openxmlformats.org/officeDocument/2006/relationships/hyperlink" Target="https://linkedin.com/in/elgazzwi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Abdalrahman ElGazzawi — Esports / Gaming CV</dc:title>
  <dc:creator>Abdalrahman ElGazzawi</dc:creator>
  <cp:lastModifiedBy>Un-named</cp:lastModifiedBy>
  <cp:revision>1</cp:revision>
  <dcterms:created xsi:type="dcterms:W3CDTF">2026-06-03T09:40:58.487Z</dcterms:created>
  <dcterms:modified xsi:type="dcterms:W3CDTF">2026-06-03T09:40:58.487Z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