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INCIDENT RESPONSE REPORT</w:t>
      </w:r>
    </w:p>
    <w:p>
      <w:pPr>
        <w:spacing w:after="0" w:before="120"/>
      </w:pPr>
      <w:r>
        <w:t xml:space="preserve"/>
      </w:r>
    </w:p>
    <w:p>
      <w:pPr>
        <w:pBdr>
          <w:bottom w:val="single" w:color="2563EB" w:sz="8" w:space="8"/>
        </w:pBdr>
        <w:spacing w:after="0" w:before="0"/>
        <w:jc w:val="center"/>
      </w:pPr>
      <w:r>
        <w:rPr>
          <w:rFonts w:ascii="Calibri" w:cs="Calibri" w:eastAsia="Calibri" w:hAnsi="Calibri"/>
          <w:i/>
          <w:iCs/>
          <w:color w:val="2563EB"/>
          <w:sz w:val="28"/>
          <w:szCs w:val="28"/>
        </w:rPr>
        <w:t xml:space="preserve">Brute Force Attack &amp; Reconnaissance Simulation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Analyst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Tahiri Abdelali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ENSET Mohammedia — CCN Cybersecurity Engineering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Confidential — Educational Lab Environment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Severity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HIGH — Rule Level 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Detection Platform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Wazuh SIEM 4.14.5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T1046, T1087, T1110, T1574.001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Tahiri Abdelali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ENSET Mohammedia  |  CCN Cybersecurity Engineering</w:t>
      </w:r>
    </w:p>
    <w:p>
      <w:r>
        <w:br w:type="page"/>
      </w:r>
    </w:p>
    <w:p>
      <w:pPr>
        <w:pBdr>
          <w:bottom w:val="single" w:color="1B3A6B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1. Executive Summary</w:t>
      </w:r>
    </w:p>
    <w:p>
      <w:pPr>
        <w:spacing w:after="80" w:before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report documents a controlled attack simulation conducted within an isolated home SOC lab environment. A Kali Linux attacker machine performed network reconnaissance and a credential brute force attack against a Windows 10 endpoint monitored by Wazuh SIEM 4.14.5 with Sysmon telemetry.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Wazuh detection engine successfully identified all attack phases in real time, generating 386 security events including 73 high-severity alerts. The brute force pattern triggered a Level 10 alert (Rule 60204) automatically mapped to MITRE ATT&amp;CK Tactic: Credential Access, Technique: Brute Force (T1110), with compliance coverage across PCI DSS, GDPR, HIPAA, and NIST 800-53.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 production systems were involved. All activity was conducted in an isolated VirtualBox environment for educational and portfolio purposes.</w:t>
      </w:r>
    </w:p>
    <w:p>
      <w:pPr>
        <w:spacing w:after="0" w:before="160"/>
      </w:pPr>
      <w:r>
        <w:t xml:space="preserve"/>
      </w:r>
    </w:p>
    <w:p>
      <w:pPr>
        <w:pBdr>
          <w:bottom w:val="single" w:color="1B3A6B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2. Lab Environment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Machine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2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soc101-Ubuntu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SIEM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Ubuntu Server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172.16.1.2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soc101-windows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Monitored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Windows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172.16.1.4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kali-linux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Attacker Machine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Kali Linux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172.16.1.3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2.1 Detection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Wazuh 4.14.5 — Indexer (OpenSearch), Manager, Dashboard, Filebeat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Sysmon with SwiftOnSecurity configuration — deep Windows endpoint telemetry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Isolated VirtualBox internal network: 172.16.1.0/24</w:t>
      </w:r>
    </w:p>
    <w:p>
      <w:pPr>
        <w:spacing w:after="0" w:before="160"/>
      </w:pPr>
      <w:r>
        <w:t xml:space="preserve"/>
      </w:r>
    </w:p>
    <w:p>
      <w:pPr>
        <w:pBdr>
          <w:bottom w:val="single" w:color="1B3A6B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3. Attack Timeline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8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Used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Reconnaissance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Nmap -sV -O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Port scan of 172.16.1.4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Ports 135, 139, 445 discovered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Enumeration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Nmap -sC -A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Service and OS detection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Windows 10 identified (97% confidence)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SMB Enumeration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enum4linux -a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NetBIOS and SMB enumeration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Workgroup, hostname, MAC enumerated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Credential Attack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PowerShell 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20 consecutive failed logon attempts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Brute force pattern detected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Detection — L10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Wazuh Rule 60204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Multiple Windows Logon Failures fired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High-severity alert generated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Detection — L9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Wazuh Rule 60115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Account lockout triggered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Windows lockout policy enforced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B3A6B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4. Technical Findings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4.1 Reconnaissance — Open Ports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800"/>
        <w:gridCol w:w="5860"/>
      </w:tblGrid>
      <w:tr>
        <w:trPr>
          <w:tblHeader/>
        </w:trP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Security Relevance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Microsoft RPC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Remote procedure call — exploitation vector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NetBIOS Session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Legacy Windows networking — information disclosure risk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445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SMB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Highest-risk service — exploited by EternalBlue, WannaCry, NotPetya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4.2 Brute Force Detection — Rule Chain</w:t>
      </w:r>
    </w:p>
    <w:p>
      <w:pPr>
        <w:spacing w:after="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5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Alert Description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 Level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60109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User account enabled or 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60122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Logon Failure — Unknown user or bad 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60170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Users Group Changed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60204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Multiple Windows Logon Failures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60115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User account locked out (multiple login errors)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9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4.3 Sysmon Telemetry</w:t>
      </w:r>
    </w:p>
    <w:p>
      <w:pPr>
        <w:spacing w:after="80" w:before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Sysmon provided visibility beyond standard Windows Event Logs, capturing the following event categories: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Event ID 1 — Process creation events for all tools executed during the simulation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Event ID 3 — Network connection events from attacker IP 172.16.1.3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Event ID 11 — File creation events flagged under Rule 92219 (DLL search order hijacking)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Event ID 12/13 — Registry modification events logged during the simulation</w:t>
      </w:r>
    </w:p>
    <w:p>
      <w:pPr>
        <w:spacing w:after="0" w:before="160"/>
      </w:pPr>
      <w:r>
        <w:t xml:space="preserve"/>
      </w:r>
    </w:p>
    <w:p>
      <w:pPr>
        <w:pBdr>
          <w:bottom w:val="single" w:color="1B3A6B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5. MITRE ATT&amp;CK Mapping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24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Technique Name</w:t>
            </w:r>
          </w:p>
        </w:tc>
        <w:tc>
          <w:tcPr>
            <w:tcW w:type="dxa" w:w="3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Reconnaissance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T1046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Network Service Scanning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Nmap — ports 135, 139, 445 identified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Discovery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T1087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Account Discovery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enum4linux — NetBIOS user and host enumeration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Credential Access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T1110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20 failed logons — Rule 60204 Level 10 fired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T1574.001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DLL Search Order Hijacking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Rule 92219 — Windows Update component flagged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B3A6B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6. Compliance Framework Mapping</w:t>
      </w:r>
    </w:p>
    <w:p>
      <w:pPr>
        <w:spacing w:after="80" w:before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following compliance controls were automatically mapped by Wazuh against Rule 60204 (Multiple Windows Logon Failures):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Mapped Controls</w:t>
            </w:r>
          </w:p>
        </w:tc>
        <w:tc>
          <w:tcPr>
            <w:tcW w:type="dxa" w:w="5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PCI DSS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10.2.4, 10.2.5, 11.4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Audit log requirements and intrusion detection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GDPR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IV_35.7.d, IV_32.2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Security measures and breach notification obligations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HIPAA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164.312.b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Audit control requirements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NIST 800-53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AU.14, AC.7, SI.4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Session audit, account lockout, intrusion detection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B3A6B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7. Recommendations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Immediate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Enforce account lockout policy: maximum 5 failed attempts with a 30-minute lockout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Restrict SMB access (port 445) to authorized hosts only and disable SMBv1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Disable RDP (port 3389) if not operationally required, or restrict to VPN-only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Enable Windows Defender Credential Guard to protect against credential theft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Short-Term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Implement Multi-Factor Authentication on all privileged and administrative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Configure Wazuh active response to automatically block source IPs after repeated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Harden the Windows endpoint against the CIS Windows 10 Benchmark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Deploy network segmentation to isolate the monitored endpoint from general traffic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Long-Term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Establish a formal Incident Response playbook for brute force and credential attack scenarios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Schedule regular threat simulation exercises to validate detection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Extend Sysmon ruleset to cover additional MITRE ATT&amp;CK techniques</w:t>
      </w:r>
    </w:p>
    <w:p>
      <w:pPr>
        <w:spacing w:after="0" w:before="160"/>
      </w:pPr>
      <w:r>
        <w:t xml:space="preserve"/>
      </w:r>
    </w:p>
    <w:p>
      <w:pPr>
        <w:pBdr>
          <w:bottom w:val="single" w:color="1B3A6B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8. Conclusion</w:t>
      </w:r>
    </w:p>
    <w:p>
      <w:pPr>
        <w:spacing w:after="80" w:before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simulation validated the effectiveness of a Wazuh SIEM deployment with Sysmon endpoint telemetry in detecting a realistic attack chain. All phases — from initial reconnaissance through credential brute force — were detected and alerted on in real time, with automatic mapping to MITRE ATT&amp;CK and four major compliance frameworks.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386 security events and 73 high-severity alerts generated during this exercise demonstrate the detection capability achievable with open-source tooling in a properly configured SOC environment. The findings and recommendations documented here follow standard incident response methodology applicable to real-world SOC operations.</w:t>
      </w:r>
    </w:p>
    <w:p>
      <w:pPr>
        <w:spacing w:after="0" w:before="400"/>
      </w:pPr>
      <w:r>
        <w:t xml:space="preserve"/>
      </w:r>
    </w:p>
    <w:p>
      <w:pPr>
        <w:pBdr>
          <w:top w:val="single" w:color="CCCCCC" w:sz="4" w:space="8"/>
        </w:pBdr>
        <w:spacing w:after="80" w:before="32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Tahiri Abdelali</w:t>
      </w:r>
    </w:p>
    <w:p>
      <w:pPr>
        <w:spacing w:after="80" w:before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ENSET Mohammedia  |  CCN Cybersecurity Engineering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Calibri" w:cs="Calibri" w:eastAsia="Calibri" w:hAnsi="Calibri"/>
        <w:color w:val="999999"/>
        <w:sz w:val="16"/>
        <w:szCs w:val="16"/>
      </w:rPr>
      <w:t xml:space="preserve">Tahiri Abdelali  |  ENSET Mohammedia  |  CCN Cybersecurity Engineering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B3A6B"/>
        <w:sz w:val="18"/>
        <w:szCs w:val="18"/>
      </w:rPr>
      <w:t xml:space="preserve">INCIDENT RESPONSE REPORT</w:t>
    </w:r>
    <w:r>
      <w:rPr>
        <w:rFonts w:ascii="Calibri" w:cs="Calibri" w:eastAsia="Calibri" w:hAnsi="Calibri"/>
        <w:color w:val="999999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2026-06-06T09:57:47.919Z</dcterms:created>
  <dcterms:modified xsi:type="dcterms:W3CDTF">2026-06-06T09:57:47.931Z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