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438"/>
        <w:gridCol w:w="4422"/>
        <w:gridCol w:w="2438"/>
      </w:tblGrid>
      <w:tr>
        <w:tc>
          <w:tcPr>
            <w:tcW w:type="dxa" w:w="2438"/>
          </w:tcPr>
          <w:p>
            <w:pPr>
              <w:jc w:val="center"/>
            </w:pPr>
            <w:r>
              <w:drawing>
                <wp:inline xmlns:a="http://schemas.openxmlformats.org/drawingml/2006/main" xmlns:pic="http://schemas.openxmlformats.org/drawingml/2006/picture">
                  <wp:extent cx="1188000" cy="1250526"/>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1188000" cy="1250526"/>
                          </a:xfrm>
                          <a:prstGeom prst="rect"/>
                        </pic:spPr>
                      </pic:pic>
                    </a:graphicData>
                  </a:graphic>
                </wp:inline>
              </w:drawing>
            </w:r>
          </w:p>
        </w:tc>
        <w:tc>
          <w:tcPr>
            <w:tcW w:type="dxa" w:w="4422"/>
            <w:vAlign w:val="center"/>
          </w:tcPr>
          <w:p>
            <w:pPr>
              <w:bidi/>
              <w:spacing w:before="360"/>
              <w:jc w:val="center"/>
            </w:pPr>
            <w:r>
              <w:rPr>
                <w:rFonts w:ascii="Arial" w:hAnsi="Arial" w:cs="Arial"/>
                <w:b/>
                <w:color w:val="1A1A1A"/>
                <w:sz w:val="28"/>
                <w:szCs w:val="28"/>
                <w:rtl w:val="1"/>
              </w:rPr>
              <w:t>جامعة المستقبل بمصر</w:t>
            </w:r>
          </w:p>
          <w:p>
            <w:pPr>
              <w:bidi/>
              <w:jc w:val="center"/>
            </w:pPr>
            <w:r>
              <w:rPr>
                <w:rFonts w:ascii="Arial" w:hAnsi="Arial" w:cs="Arial"/>
                <w:b/>
                <w:color w:val="1A1A1A"/>
                <w:sz w:val="28"/>
                <w:szCs w:val="28"/>
                <w:rtl w:val="1"/>
              </w:rPr>
              <w:t>قوات الدفاع الشعبي و العسكري</w:t>
            </w:r>
          </w:p>
        </w:tc>
        <w:tc>
          <w:tcPr>
            <w:tcW w:type="dxa" w:w="2438"/>
          </w:tcPr>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logo_1.png"/>
                          <pic:cNvPicPr/>
                        </pic:nvPicPr>
                        <pic:blipFill>
                          <a:blip r:embed="rId10"/>
                          <a:stretch>
                            <a:fillRect/>
                          </a:stretch>
                        </pic:blipFill>
                        <pic:spPr>
                          <a:xfrm>
                            <a:off x="0" y="0"/>
                            <a:ext cx="1260000" cy="1260000"/>
                          </a:xfrm>
                          <a:prstGeom prst="rect"/>
                        </pic:spPr>
                      </pic:pic>
                    </a:graphicData>
                  </a:graphic>
                </wp:inline>
              </w:drawing>
            </w:r>
          </w:p>
        </w:tc>
      </w:tr>
    </w:tbl>
    <w:p>
      <w:pPr>
        <w:bidi/>
        <w:spacing w:before="2400" w:after="240" w:line="360" w:lineRule="auto"/>
        <w:jc w:val="center"/>
      </w:pPr>
      <w:r>
        <w:rPr>
          <w:rFonts w:ascii="Arial" w:hAnsi="Arial" w:cs="Arial"/>
          <w:b/>
          <w:color w:val="8B1A1A"/>
          <w:sz w:val="52"/>
          <w:szCs w:val="52"/>
          <w:rtl w:val="1"/>
        </w:rPr>
        <w:t>السيرة الذاتية للفريق سعد الدين الشاذلي</w:t>
      </w:r>
    </w:p>
    <w:p>
      <w:pPr>
        <w:bidi/>
        <w:spacing w:before="0" w:after="160" w:line="360" w:lineRule="auto"/>
        <w:jc w:val="center"/>
      </w:pPr>
      <w:r>
        <w:rPr>
          <w:rFonts w:ascii="Arial" w:hAnsi="Arial" w:cs="Arial"/>
          <w:b/>
          <w:color w:val="1A1A1A"/>
          <w:sz w:val="30"/>
          <w:szCs w:val="30"/>
          <w:rtl w:val="1"/>
        </w:rPr>
        <w:t>قائد عبور المستحيل ومهندس نصر أكتوبر المجيد</w:t>
      </w:r>
    </w:p>
    <w:p>
      <w:pPr>
        <w:bidi/>
        <w:spacing w:before="2400" w:after="160" w:line="360" w:lineRule="auto"/>
        <w:jc w:val="center"/>
      </w:pPr>
      <w:r>
        <w:rPr>
          <w:rFonts w:ascii="Arial" w:hAnsi="Arial" w:cs="Arial"/>
          <w:b/>
          <w:color w:val="1A1A1A"/>
          <w:sz w:val="36"/>
          <w:szCs w:val="36"/>
          <w:rtl w:val="1"/>
        </w:rPr>
        <w:t>دورة رقم ٥١</w:t>
      </w:r>
    </w:p>
    <w:p>
      <w:pPr>
        <w:bidi/>
        <w:spacing w:before="3000" w:after="160" w:line="360" w:lineRule="auto"/>
        <w:jc w:val="center"/>
      </w:pPr>
      <w:r>
        <w:rPr>
          <w:rFonts w:ascii="Arial" w:hAnsi="Arial" w:cs="Arial"/>
          <w:b/>
          <w:color w:val="1A1A1A"/>
          <w:sz w:val="32"/>
          <w:szCs w:val="32"/>
          <w:rtl w:val="1"/>
        </w:rPr>
        <w:t>تحت اشراف / عقيد احمد خالد عبد الرحمن قائد التربية العسكرية</w:t>
      </w:r>
    </w:p>
    <w:p>
      <w:r>
        <w:br w:type="page"/>
      </w:r>
    </w:p>
    <w:p/>
    <w:tbl>
      <w:tblPr>
        <w:tblStyle w:val="TableGrid"/>
        <w:tblW w:type="auto" w:w="0"/>
        <w:jc w:val="center"/>
        <w:tblLook w:firstColumn="1" w:firstRow="1" w:lastColumn="0" w:lastRow="0" w:noHBand="0" w:noVBand="1" w:val="04A0"/>
        <w:bidiVisual/>
      </w:tblPr>
      <w:tblGrid>
        <w:gridCol w:w="5386"/>
        <w:gridCol w:w="2835"/>
      </w:tblGrid>
      <w:tr>
        <w:tc>
          <w:tcPr>
            <w:tcW w:type="dxa" w:w="5386"/>
            <w:shd w:val="clear" w:color="auto" w:fill="8B1A1A"/>
          </w:tcPr>
          <w:p>
            <w:pPr>
              <w:bidi/>
              <w:spacing w:after="40" w:before="40"/>
              <w:jc w:val="center"/>
            </w:pPr>
            <w:r/>
            <w:r>
              <w:rPr>
                <w:rFonts w:ascii="Arial" w:hAnsi="Arial" w:cs="Arial"/>
                <w:b/>
                <w:color w:val="FFFFFF"/>
                <w:sz w:val="28"/>
                <w:szCs w:val="28"/>
                <w:rtl w:val="1"/>
              </w:rPr>
              <w:t>الاسم</w:t>
            </w:r>
          </w:p>
        </w:tc>
        <w:tc>
          <w:tcPr>
            <w:tcW w:type="dxa" w:w="2835"/>
            <w:shd w:val="clear" w:color="auto" w:fill="8B1A1A"/>
          </w:tcPr>
          <w:p>
            <w:pPr>
              <w:bidi/>
              <w:spacing w:after="40" w:before="40"/>
              <w:jc w:val="center"/>
            </w:pPr>
            <w:r/>
            <w:r>
              <w:rPr>
                <w:rFonts w:ascii="Arial" w:hAnsi="Arial" w:cs="Arial"/>
                <w:b/>
                <w:color w:val="FFFFFF"/>
                <w:sz w:val="28"/>
                <w:szCs w:val="28"/>
                <w:rtl w:val="1"/>
              </w:rPr>
              <w:t>مسلسل</w:t>
            </w:r>
          </w:p>
        </w:tc>
      </w:tr>
      <w:tr>
        <w:tc>
          <w:tcPr>
            <w:tcW w:type="dxa" w:w="5386"/>
          </w:tcPr>
          <w:p>
            <w:pPr>
              <w:bidi/>
              <w:spacing w:after="40" w:before="40"/>
              <w:jc w:val="center"/>
            </w:pPr>
            <w:r/>
            <w:r>
              <w:rPr>
                <w:rFonts w:ascii="Arial" w:hAnsi="Arial" w:cs="Arial"/>
                <w:b w:val="0"/>
                <w:sz w:val="26"/>
                <w:szCs w:val="26"/>
                <w:rtl w:val="1"/>
              </w:rPr>
              <w:t>شادي مجدي زكريا</w:t>
            </w:r>
          </w:p>
        </w:tc>
        <w:tc>
          <w:tcPr>
            <w:tcW w:type="dxa" w:w="2835"/>
          </w:tcPr>
          <w:p>
            <w:pPr>
              <w:bidi/>
              <w:spacing w:after="40" w:before="40"/>
              <w:jc w:val="center"/>
            </w:pPr>
            <w:r/>
            <w:r>
              <w:rPr>
                <w:rFonts w:ascii="Arial" w:hAnsi="Arial" w:cs="Arial"/>
                <w:b w:val="0"/>
                <w:sz w:val="26"/>
                <w:szCs w:val="26"/>
                <w:rtl w:val="1"/>
              </w:rPr>
              <w:t>٤٢٦</w:t>
            </w:r>
          </w:p>
        </w:tc>
      </w:tr>
      <w:tr>
        <w:tc>
          <w:tcPr>
            <w:tcW w:type="dxa" w:w="5386"/>
          </w:tcPr>
          <w:p>
            <w:pPr>
              <w:bidi/>
              <w:spacing w:after="40" w:before="40"/>
              <w:jc w:val="center"/>
            </w:pPr>
            <w:r/>
            <w:r>
              <w:rPr>
                <w:rFonts w:ascii="Arial" w:hAnsi="Arial" w:cs="Arial"/>
                <w:b w:val="0"/>
                <w:sz w:val="26"/>
                <w:szCs w:val="26"/>
                <w:rtl w:val="1"/>
              </w:rPr>
              <w:t>عمر رضا عبدالعزيز</w:t>
            </w:r>
          </w:p>
        </w:tc>
        <w:tc>
          <w:tcPr>
            <w:tcW w:type="dxa" w:w="2835"/>
          </w:tcPr>
          <w:p>
            <w:pPr>
              <w:bidi/>
              <w:spacing w:after="40" w:before="40"/>
              <w:jc w:val="center"/>
            </w:pPr>
            <w:r/>
            <w:r>
              <w:rPr>
                <w:rFonts w:ascii="Arial" w:hAnsi="Arial" w:cs="Arial"/>
                <w:b w:val="0"/>
                <w:sz w:val="26"/>
                <w:szCs w:val="26"/>
                <w:rtl w:val="1"/>
              </w:rPr>
              <w:t>٤٢٩</w:t>
            </w:r>
          </w:p>
        </w:tc>
      </w:tr>
      <w:tr>
        <w:tc>
          <w:tcPr>
            <w:tcW w:type="dxa" w:w="5386"/>
          </w:tcPr>
          <w:p>
            <w:pPr>
              <w:bidi/>
              <w:spacing w:after="40" w:before="40"/>
              <w:jc w:val="center"/>
            </w:pPr>
            <w:r/>
            <w:r>
              <w:rPr>
                <w:rFonts w:ascii="Arial" w:hAnsi="Arial" w:cs="Arial"/>
                <w:b w:val="0"/>
                <w:sz w:val="26"/>
                <w:szCs w:val="26"/>
                <w:rtl w:val="1"/>
              </w:rPr>
              <w:t>سيف الدين اشرف</w:t>
            </w:r>
          </w:p>
        </w:tc>
        <w:tc>
          <w:tcPr>
            <w:tcW w:type="dxa" w:w="2835"/>
          </w:tcPr>
          <w:p>
            <w:pPr>
              <w:bidi/>
              <w:spacing w:after="40" w:before="40"/>
              <w:jc w:val="center"/>
            </w:pPr>
            <w:r/>
            <w:r>
              <w:rPr>
                <w:rFonts w:ascii="Arial" w:hAnsi="Arial" w:cs="Arial"/>
                <w:b w:val="0"/>
                <w:sz w:val="26"/>
                <w:szCs w:val="26"/>
                <w:rtl w:val="1"/>
              </w:rPr>
              <w:t>٤٣١</w:t>
            </w:r>
          </w:p>
        </w:tc>
      </w:tr>
      <w:tr>
        <w:tc>
          <w:tcPr>
            <w:tcW w:type="dxa" w:w="5386"/>
          </w:tcPr>
          <w:p>
            <w:pPr>
              <w:bidi/>
              <w:spacing w:after="40" w:before="40"/>
              <w:jc w:val="center"/>
            </w:pPr>
            <w:r/>
            <w:r>
              <w:rPr>
                <w:rFonts w:ascii="Arial" w:hAnsi="Arial" w:cs="Arial"/>
                <w:b w:val="0"/>
                <w:sz w:val="26"/>
                <w:szCs w:val="26"/>
                <w:rtl w:val="1"/>
              </w:rPr>
              <w:t>اسلام محمد ابراهيم</w:t>
            </w:r>
          </w:p>
        </w:tc>
        <w:tc>
          <w:tcPr>
            <w:tcW w:type="dxa" w:w="2835"/>
          </w:tcPr>
          <w:p>
            <w:pPr>
              <w:bidi/>
              <w:spacing w:after="40" w:before="40"/>
              <w:jc w:val="center"/>
            </w:pPr>
            <w:r/>
            <w:r>
              <w:rPr>
                <w:rFonts w:ascii="Arial" w:hAnsi="Arial" w:cs="Arial"/>
                <w:b w:val="0"/>
                <w:sz w:val="26"/>
                <w:szCs w:val="26"/>
                <w:rtl w:val="1"/>
              </w:rPr>
              <w:t>٤٣٢</w:t>
            </w:r>
          </w:p>
        </w:tc>
      </w:tr>
      <w:tr>
        <w:tc>
          <w:tcPr>
            <w:tcW w:type="dxa" w:w="5386"/>
          </w:tcPr>
          <w:p>
            <w:pPr>
              <w:bidi/>
              <w:spacing w:after="40" w:before="40"/>
              <w:jc w:val="center"/>
            </w:pPr>
            <w:r/>
            <w:r>
              <w:rPr>
                <w:rFonts w:ascii="Arial" w:hAnsi="Arial" w:cs="Arial"/>
                <w:b w:val="0"/>
                <w:sz w:val="26"/>
                <w:szCs w:val="26"/>
                <w:rtl w:val="1"/>
              </w:rPr>
              <w:t>محمد احمد فاروق</w:t>
            </w:r>
          </w:p>
        </w:tc>
        <w:tc>
          <w:tcPr>
            <w:tcW w:type="dxa" w:w="2835"/>
          </w:tcPr>
          <w:p>
            <w:pPr>
              <w:bidi/>
              <w:spacing w:after="40" w:before="40"/>
              <w:jc w:val="center"/>
            </w:pPr>
            <w:r/>
            <w:r>
              <w:rPr>
                <w:rFonts w:ascii="Arial" w:hAnsi="Arial" w:cs="Arial"/>
                <w:b w:val="0"/>
                <w:sz w:val="26"/>
                <w:szCs w:val="26"/>
                <w:rtl w:val="1"/>
              </w:rPr>
              <w:t>٤٣٣</w:t>
            </w:r>
          </w:p>
        </w:tc>
      </w:tr>
      <w:tr>
        <w:tc>
          <w:tcPr>
            <w:tcW w:type="dxa" w:w="5386"/>
          </w:tcPr>
          <w:p>
            <w:pPr>
              <w:bidi/>
              <w:spacing w:after="40" w:before="40"/>
              <w:jc w:val="center"/>
            </w:pPr>
            <w:r/>
            <w:r>
              <w:rPr>
                <w:rFonts w:ascii="Arial" w:hAnsi="Arial" w:cs="Arial"/>
                <w:b w:val="0"/>
                <w:sz w:val="26"/>
                <w:szCs w:val="26"/>
                <w:rtl w:val="1"/>
              </w:rPr>
              <w:t>بيشوي ممدوح كامل</w:t>
            </w:r>
          </w:p>
        </w:tc>
        <w:tc>
          <w:tcPr>
            <w:tcW w:type="dxa" w:w="2835"/>
          </w:tcPr>
          <w:p>
            <w:pPr>
              <w:bidi/>
              <w:spacing w:after="40" w:before="40"/>
              <w:jc w:val="center"/>
            </w:pPr>
            <w:r/>
            <w:r>
              <w:rPr>
                <w:rFonts w:ascii="Arial" w:hAnsi="Arial" w:cs="Arial"/>
                <w:b w:val="0"/>
                <w:sz w:val="26"/>
                <w:szCs w:val="26"/>
                <w:rtl w:val="1"/>
              </w:rPr>
              <w:t>٤٣٤</w:t>
            </w:r>
          </w:p>
        </w:tc>
      </w:tr>
      <w:tr>
        <w:tc>
          <w:tcPr>
            <w:tcW w:type="dxa" w:w="5386"/>
          </w:tcPr>
          <w:p>
            <w:pPr>
              <w:bidi/>
              <w:spacing w:after="40" w:before="40"/>
              <w:jc w:val="center"/>
            </w:pPr>
            <w:r/>
            <w:r>
              <w:rPr>
                <w:rFonts w:ascii="Arial" w:hAnsi="Arial" w:cs="Arial"/>
                <w:b w:val="0"/>
                <w:sz w:val="26"/>
                <w:szCs w:val="26"/>
                <w:rtl w:val="1"/>
              </w:rPr>
              <w:t>زياد محمد محمد صبري</w:t>
            </w:r>
          </w:p>
        </w:tc>
        <w:tc>
          <w:tcPr>
            <w:tcW w:type="dxa" w:w="2835"/>
          </w:tcPr>
          <w:p>
            <w:pPr>
              <w:bidi/>
              <w:spacing w:after="40" w:before="40"/>
              <w:jc w:val="center"/>
            </w:pPr>
            <w:r/>
            <w:r>
              <w:rPr>
                <w:rFonts w:ascii="Arial" w:hAnsi="Arial" w:cs="Arial"/>
                <w:b w:val="0"/>
                <w:sz w:val="26"/>
                <w:szCs w:val="26"/>
                <w:rtl w:val="1"/>
              </w:rPr>
              <w:t>٤٣٥</w:t>
            </w:r>
          </w:p>
        </w:tc>
      </w:tr>
      <w:tr>
        <w:tc>
          <w:tcPr>
            <w:tcW w:type="dxa" w:w="5386"/>
          </w:tcPr>
          <w:p>
            <w:pPr>
              <w:bidi/>
              <w:spacing w:after="40" w:before="40"/>
              <w:jc w:val="center"/>
            </w:pPr>
            <w:r/>
            <w:r>
              <w:rPr>
                <w:rFonts w:ascii="Arial" w:hAnsi="Arial" w:cs="Arial"/>
                <w:b w:val="0"/>
                <w:sz w:val="26"/>
                <w:szCs w:val="26"/>
                <w:rtl w:val="1"/>
              </w:rPr>
              <w:t>هشام محمود امام</w:t>
            </w:r>
          </w:p>
        </w:tc>
        <w:tc>
          <w:tcPr>
            <w:tcW w:type="dxa" w:w="2835"/>
          </w:tcPr>
          <w:p>
            <w:pPr>
              <w:bidi/>
              <w:spacing w:after="40" w:before="40"/>
              <w:jc w:val="center"/>
            </w:pPr>
            <w:r/>
            <w:r>
              <w:rPr>
                <w:rFonts w:ascii="Arial" w:hAnsi="Arial" w:cs="Arial"/>
                <w:b w:val="0"/>
                <w:sz w:val="26"/>
                <w:szCs w:val="26"/>
                <w:rtl w:val="1"/>
              </w:rPr>
              <w:t>٤٣٦</w:t>
            </w:r>
          </w:p>
        </w:tc>
      </w:tr>
      <w:tr>
        <w:tc>
          <w:tcPr>
            <w:tcW w:type="dxa" w:w="5386"/>
          </w:tcPr>
          <w:p>
            <w:pPr>
              <w:bidi/>
              <w:spacing w:after="40" w:before="40"/>
              <w:jc w:val="center"/>
            </w:pPr>
            <w:r/>
            <w:r>
              <w:rPr>
                <w:rFonts w:ascii="Arial" w:hAnsi="Arial" w:cs="Arial"/>
                <w:b w:val="0"/>
                <w:sz w:val="26"/>
                <w:szCs w:val="26"/>
                <w:rtl w:val="1"/>
              </w:rPr>
              <w:t>محمد عمرو عامر</w:t>
            </w:r>
          </w:p>
        </w:tc>
        <w:tc>
          <w:tcPr>
            <w:tcW w:type="dxa" w:w="2835"/>
          </w:tcPr>
          <w:p>
            <w:pPr>
              <w:bidi/>
              <w:spacing w:after="40" w:before="40"/>
              <w:jc w:val="center"/>
            </w:pPr>
            <w:r/>
            <w:r>
              <w:rPr>
                <w:rFonts w:ascii="Arial" w:hAnsi="Arial" w:cs="Arial"/>
                <w:b w:val="0"/>
                <w:sz w:val="26"/>
                <w:szCs w:val="26"/>
                <w:rtl w:val="1"/>
              </w:rPr>
              <w:t>٤٣٨</w:t>
            </w:r>
          </w:p>
        </w:tc>
      </w:tr>
      <w:tr>
        <w:tc>
          <w:tcPr>
            <w:tcW w:type="dxa" w:w="5386"/>
          </w:tcPr>
          <w:p>
            <w:pPr>
              <w:bidi/>
              <w:spacing w:after="40" w:before="40"/>
              <w:jc w:val="center"/>
            </w:pPr>
            <w:r/>
            <w:r>
              <w:rPr>
                <w:rFonts w:ascii="Arial" w:hAnsi="Arial" w:cs="Arial"/>
                <w:b w:val="0"/>
                <w:sz w:val="26"/>
                <w:szCs w:val="26"/>
                <w:rtl w:val="1"/>
              </w:rPr>
              <w:t>عمرو محمد حسن</w:t>
            </w:r>
          </w:p>
        </w:tc>
        <w:tc>
          <w:tcPr>
            <w:tcW w:type="dxa" w:w="2835"/>
          </w:tcPr>
          <w:p>
            <w:pPr>
              <w:bidi/>
              <w:spacing w:after="40" w:before="40"/>
              <w:jc w:val="center"/>
            </w:pPr>
            <w:r/>
            <w:r>
              <w:rPr>
                <w:rFonts w:ascii="Arial" w:hAnsi="Arial" w:cs="Arial"/>
                <w:b w:val="0"/>
                <w:sz w:val="26"/>
                <w:szCs w:val="26"/>
                <w:rtl w:val="1"/>
              </w:rPr>
              <w:t>٤٣٩</w:t>
            </w:r>
          </w:p>
        </w:tc>
      </w:tr>
      <w:tr>
        <w:tc>
          <w:tcPr>
            <w:tcW w:type="dxa" w:w="5386"/>
          </w:tcPr>
          <w:p>
            <w:pPr>
              <w:bidi/>
              <w:spacing w:after="40" w:before="40"/>
              <w:jc w:val="center"/>
            </w:pPr>
            <w:r/>
            <w:r>
              <w:rPr>
                <w:rFonts w:ascii="Arial" w:hAnsi="Arial" w:cs="Arial"/>
                <w:b w:val="0"/>
                <w:sz w:val="26"/>
                <w:szCs w:val="26"/>
                <w:rtl w:val="1"/>
              </w:rPr>
              <w:t>عبدالفتاح مصطفي عبدالفتاح</w:t>
            </w:r>
          </w:p>
        </w:tc>
        <w:tc>
          <w:tcPr>
            <w:tcW w:type="dxa" w:w="2835"/>
          </w:tcPr>
          <w:p>
            <w:pPr>
              <w:bidi/>
              <w:spacing w:after="40" w:before="40"/>
              <w:jc w:val="center"/>
            </w:pPr>
            <w:r/>
            <w:r>
              <w:rPr>
                <w:rFonts w:ascii="Arial" w:hAnsi="Arial" w:cs="Arial"/>
                <w:b w:val="0"/>
                <w:sz w:val="26"/>
                <w:szCs w:val="26"/>
                <w:rtl w:val="1"/>
              </w:rPr>
              <w:t>٤٤٠</w:t>
            </w:r>
          </w:p>
        </w:tc>
      </w:tr>
      <w:tr>
        <w:tc>
          <w:tcPr>
            <w:tcW w:type="dxa" w:w="5386"/>
          </w:tcPr>
          <w:p>
            <w:pPr>
              <w:bidi/>
              <w:spacing w:after="40" w:before="40"/>
              <w:jc w:val="center"/>
            </w:pPr>
            <w:r/>
            <w:r>
              <w:rPr>
                <w:rFonts w:ascii="Arial" w:hAnsi="Arial" w:cs="Arial"/>
                <w:b w:val="0"/>
                <w:sz w:val="26"/>
                <w:szCs w:val="26"/>
                <w:rtl w:val="1"/>
              </w:rPr>
              <w:t>مروان محمد رأفت</w:t>
            </w:r>
          </w:p>
        </w:tc>
        <w:tc>
          <w:tcPr>
            <w:tcW w:type="dxa" w:w="2835"/>
          </w:tcPr>
          <w:p>
            <w:pPr>
              <w:bidi/>
              <w:spacing w:after="40" w:before="40"/>
              <w:jc w:val="center"/>
            </w:pPr>
            <w:r/>
            <w:r>
              <w:rPr>
                <w:rFonts w:ascii="Arial" w:hAnsi="Arial" w:cs="Arial"/>
                <w:b w:val="0"/>
                <w:sz w:val="26"/>
                <w:szCs w:val="26"/>
                <w:rtl w:val="1"/>
              </w:rPr>
              <w:t>٤٤٣</w:t>
            </w:r>
          </w:p>
        </w:tc>
      </w:tr>
      <w:tr>
        <w:tc>
          <w:tcPr>
            <w:tcW w:type="dxa" w:w="5386"/>
          </w:tcPr>
          <w:p>
            <w:pPr>
              <w:bidi/>
              <w:spacing w:after="40" w:before="40"/>
              <w:jc w:val="center"/>
            </w:pPr>
            <w:r/>
            <w:r>
              <w:rPr>
                <w:rFonts w:ascii="Arial" w:hAnsi="Arial" w:cs="Arial"/>
                <w:b w:val="0"/>
                <w:sz w:val="26"/>
                <w:szCs w:val="26"/>
                <w:rtl w:val="1"/>
              </w:rPr>
              <w:t>عبدالله أحمد فؤاد</w:t>
            </w:r>
          </w:p>
        </w:tc>
        <w:tc>
          <w:tcPr>
            <w:tcW w:type="dxa" w:w="2835"/>
          </w:tcPr>
          <w:p>
            <w:pPr>
              <w:bidi/>
              <w:spacing w:after="40" w:before="40"/>
              <w:jc w:val="center"/>
            </w:pPr>
            <w:r/>
            <w:r>
              <w:rPr>
                <w:rFonts w:ascii="Arial" w:hAnsi="Arial" w:cs="Arial"/>
                <w:b w:val="0"/>
                <w:sz w:val="26"/>
                <w:szCs w:val="26"/>
                <w:rtl w:val="1"/>
              </w:rPr>
              <w:t>٤٤٤</w:t>
            </w:r>
          </w:p>
        </w:tc>
      </w:tr>
      <w:tr>
        <w:tc>
          <w:tcPr>
            <w:tcW w:type="dxa" w:w="5386"/>
          </w:tcPr>
          <w:p>
            <w:pPr>
              <w:bidi/>
              <w:spacing w:after="40" w:before="40"/>
              <w:jc w:val="center"/>
            </w:pPr>
            <w:r/>
            <w:r>
              <w:rPr>
                <w:rFonts w:ascii="Arial" w:hAnsi="Arial" w:cs="Arial"/>
                <w:b w:val="0"/>
                <w:sz w:val="26"/>
                <w:szCs w:val="26"/>
                <w:rtl w:val="1"/>
              </w:rPr>
              <w:t>محمد وليد محمد</w:t>
            </w:r>
          </w:p>
        </w:tc>
        <w:tc>
          <w:tcPr>
            <w:tcW w:type="dxa" w:w="2835"/>
          </w:tcPr>
          <w:p>
            <w:pPr>
              <w:bidi/>
              <w:spacing w:after="40" w:before="40"/>
              <w:jc w:val="center"/>
            </w:pPr>
            <w:r/>
            <w:r>
              <w:rPr>
                <w:rFonts w:ascii="Arial" w:hAnsi="Arial" w:cs="Arial"/>
                <w:b w:val="0"/>
                <w:sz w:val="26"/>
                <w:szCs w:val="26"/>
                <w:rtl w:val="1"/>
              </w:rPr>
              <w:t>٤٤٦</w:t>
            </w:r>
          </w:p>
        </w:tc>
      </w:tr>
      <w:tr>
        <w:tc>
          <w:tcPr>
            <w:tcW w:type="dxa" w:w="5386"/>
          </w:tcPr>
          <w:p>
            <w:pPr>
              <w:bidi/>
              <w:spacing w:after="40" w:before="40"/>
              <w:jc w:val="center"/>
            </w:pPr>
            <w:r/>
            <w:r>
              <w:rPr>
                <w:rFonts w:ascii="Arial" w:hAnsi="Arial" w:cs="Arial"/>
                <w:b w:val="0"/>
                <w:sz w:val="26"/>
                <w:szCs w:val="26"/>
                <w:rtl w:val="1"/>
              </w:rPr>
              <w:t>عمر ياسر فرج</w:t>
            </w:r>
          </w:p>
        </w:tc>
        <w:tc>
          <w:tcPr>
            <w:tcW w:type="dxa" w:w="2835"/>
          </w:tcPr>
          <w:p>
            <w:pPr>
              <w:bidi/>
              <w:spacing w:after="40" w:before="40"/>
              <w:jc w:val="center"/>
            </w:pPr>
            <w:r/>
            <w:r>
              <w:rPr>
                <w:rFonts w:ascii="Arial" w:hAnsi="Arial" w:cs="Arial"/>
                <w:b w:val="0"/>
                <w:sz w:val="26"/>
                <w:szCs w:val="26"/>
                <w:rtl w:val="1"/>
              </w:rPr>
              <w:t>٤٤٨</w:t>
            </w:r>
          </w:p>
        </w:tc>
      </w:tr>
      <w:tr>
        <w:tc>
          <w:tcPr>
            <w:tcW w:type="dxa" w:w="5386"/>
          </w:tcPr>
          <w:p>
            <w:pPr>
              <w:bidi/>
              <w:spacing w:after="40" w:before="40"/>
              <w:jc w:val="center"/>
            </w:pPr>
            <w:r/>
            <w:r>
              <w:rPr>
                <w:rFonts w:ascii="Arial" w:hAnsi="Arial" w:cs="Arial"/>
                <w:b w:val="0"/>
                <w:sz w:val="26"/>
                <w:szCs w:val="26"/>
                <w:rtl w:val="1"/>
              </w:rPr>
              <w:t>كريم هشام عبدالله</w:t>
            </w:r>
          </w:p>
        </w:tc>
        <w:tc>
          <w:tcPr>
            <w:tcW w:type="dxa" w:w="2835"/>
          </w:tcPr>
          <w:p>
            <w:pPr>
              <w:bidi/>
              <w:spacing w:after="40" w:before="40"/>
              <w:jc w:val="center"/>
            </w:pPr>
            <w:r/>
            <w:r>
              <w:rPr>
                <w:rFonts w:ascii="Arial" w:hAnsi="Arial" w:cs="Arial"/>
                <w:b w:val="0"/>
                <w:sz w:val="26"/>
                <w:szCs w:val="26"/>
                <w:rtl w:val="1"/>
              </w:rPr>
              <w:t>٤٤٩</w:t>
            </w:r>
          </w:p>
        </w:tc>
      </w:tr>
      <w:tr>
        <w:tc>
          <w:tcPr>
            <w:tcW w:type="dxa" w:w="5386"/>
          </w:tcPr>
          <w:p>
            <w:pPr>
              <w:bidi/>
              <w:spacing w:after="40" w:before="40"/>
              <w:jc w:val="center"/>
            </w:pPr>
            <w:r/>
            <w:r>
              <w:rPr>
                <w:rFonts w:ascii="Arial" w:hAnsi="Arial" w:cs="Arial"/>
                <w:b w:val="0"/>
                <w:sz w:val="26"/>
                <w:szCs w:val="26"/>
                <w:rtl w:val="1"/>
              </w:rPr>
              <w:t>محمد محسن اليسع</w:t>
            </w:r>
          </w:p>
        </w:tc>
        <w:tc>
          <w:tcPr>
            <w:tcW w:type="dxa" w:w="2835"/>
          </w:tcPr>
          <w:p>
            <w:pPr>
              <w:bidi/>
              <w:spacing w:after="40" w:before="40"/>
              <w:jc w:val="center"/>
            </w:pPr>
            <w:r/>
            <w:r>
              <w:rPr>
                <w:rFonts w:ascii="Arial" w:hAnsi="Arial" w:cs="Arial"/>
                <w:b w:val="0"/>
                <w:sz w:val="26"/>
                <w:szCs w:val="26"/>
                <w:rtl w:val="1"/>
              </w:rPr>
              <w:t>٤٥٠</w:t>
            </w:r>
          </w:p>
        </w:tc>
      </w:tr>
    </w:tbl>
    <w:p>
      <w:r>
        <w:br w:type="page"/>
      </w:r>
    </w:p>
    <w:p>
      <w:pPr>
        <w:bidi/>
        <w:spacing w:before="0" w:after="280" w:line="360" w:lineRule="auto"/>
        <w:jc w:val="center"/>
      </w:pPr>
      <w:r>
        <w:rPr>
          <w:rFonts w:ascii="Arial" w:hAnsi="Arial" w:cs="Arial"/>
          <w:b/>
          <w:color w:val="8B1A1A"/>
          <w:sz w:val="48"/>
          <w:szCs w:val="48"/>
          <w:rtl w:val="1"/>
        </w:rPr>
        <w:t>الفهرس</w:t>
      </w:r>
    </w:p>
    <w:tbl>
      <w:tblPr>
        <w:tblStyle w:val="TableGrid"/>
        <w:tblW w:type="auto" w:w="0"/>
        <w:jc w:val="center"/>
        <w:tblLook w:firstColumn="1" w:firstRow="1" w:lastColumn="0" w:lastRow="0" w:noHBand="0" w:noVBand="1" w:val="04A0"/>
        <w:bidiVisual/>
      </w:tblPr>
      <w:tblGrid>
        <w:gridCol w:w="7143"/>
        <w:gridCol w:w="1474"/>
      </w:tblGrid>
      <w:tr>
        <w:tc>
          <w:tcPr>
            <w:tcW w:type="dxa" w:w="7143"/>
            <w:shd w:val="clear" w:color="auto" w:fill="8B1A1A"/>
          </w:tcPr>
          <w:p>
            <w:pPr>
              <w:bidi/>
              <w:spacing w:after="40" w:before="40"/>
              <w:jc w:val="center"/>
            </w:pPr>
            <w:r/>
            <w:r>
              <w:rPr>
                <w:rFonts w:ascii="Arial" w:hAnsi="Arial" w:cs="Arial"/>
                <w:b/>
                <w:color w:val="FFFFFF"/>
                <w:sz w:val="26"/>
                <w:szCs w:val="26"/>
                <w:rtl w:val="1"/>
              </w:rPr>
              <w:t>الموضوع</w:t>
            </w:r>
          </w:p>
        </w:tc>
        <w:tc>
          <w:tcPr>
            <w:tcW w:type="dxa" w:w="1474"/>
            <w:shd w:val="clear" w:color="auto" w:fill="8B1A1A"/>
          </w:tcPr>
          <w:p>
            <w:pPr>
              <w:bidi/>
              <w:spacing w:after="40" w:before="40"/>
              <w:jc w:val="center"/>
            </w:pPr>
            <w:r/>
            <w:r>
              <w:rPr>
                <w:rFonts w:ascii="Arial" w:hAnsi="Arial" w:cs="Arial"/>
                <w:b/>
                <w:color w:val="FFFFFF"/>
                <w:sz w:val="26"/>
                <w:szCs w:val="26"/>
                <w:rtl w:val="1"/>
              </w:rPr>
              <w:t>الصفحة</w:t>
            </w:r>
          </w:p>
        </w:tc>
      </w:tr>
      <w:tr>
        <w:tc>
          <w:tcPr>
            <w:tcW w:type="dxa" w:w="7143"/>
          </w:tcPr>
          <w:p>
            <w:pPr>
              <w:bidi/>
              <w:spacing w:after="40" w:before="40"/>
              <w:jc w:val="right"/>
            </w:pPr>
            <w:r/>
            <w:r>
              <w:rPr>
                <w:rFonts w:ascii="Arial" w:hAnsi="Arial" w:cs="Arial"/>
                <w:b w:val="0"/>
                <w:color w:val="1A1A1A"/>
                <w:sz w:val="24"/>
                <w:szCs w:val="24"/>
                <w:rtl w:val="1"/>
              </w:rPr>
              <w:t xml:space="preserve">        المقدمة</w:t>
            </w:r>
          </w:p>
        </w:tc>
        <w:tc>
          <w:tcPr>
            <w:tcW w:type="dxa" w:w="1474"/>
          </w:tcPr>
          <w:p>
            <w:pPr>
              <w:bidi/>
              <w:spacing w:after="40" w:before="40"/>
              <w:jc w:val="center"/>
            </w:pPr>
            <w:r/>
            <w:r>
              <w:rPr>
                <w:rFonts w:ascii="Arial" w:hAnsi="Arial" w:cs="Arial"/>
                <w:b w:val="0"/>
                <w:sz w:val="24"/>
                <w:szCs w:val="24"/>
                <w:rtl w:val="1"/>
              </w:rPr>
              <w:t>٤</w:t>
            </w:r>
          </w:p>
        </w:tc>
      </w:tr>
      <w:tr>
        <w:tc>
          <w:tcPr>
            <w:tcW w:type="dxa" w:w="7143"/>
            <w:shd w:val="clear" w:color="auto" w:fill="F2E3E3"/>
          </w:tcPr>
          <w:p>
            <w:pPr>
              <w:bidi/>
              <w:spacing w:after="40" w:before="40"/>
              <w:jc w:val="right"/>
            </w:pPr>
            <w:r/>
            <w:r>
              <w:rPr>
                <w:rFonts w:ascii="Arial" w:hAnsi="Arial" w:cs="Arial"/>
                <w:b/>
                <w:color w:val="8B1A1A"/>
                <w:sz w:val="26"/>
                <w:szCs w:val="26"/>
                <w:rtl w:val="1"/>
              </w:rPr>
              <w:t>القسم الأول: النشأة والتكوين والمسيرة العسكرية حتى عام 1971</w:t>
            </w:r>
          </w:p>
        </w:tc>
        <w:tc>
          <w:tcPr>
            <w:tcW w:type="dxa" w:w="1474"/>
            <w:shd w:val="clear" w:color="auto" w:fill="F2E3E3"/>
          </w:tcPr>
          <w:p>
            <w:pPr>
              <w:bidi/>
              <w:spacing w:after="40" w:before="40"/>
              <w:jc w:val="center"/>
            </w:pPr>
            <w:r/>
            <w:r>
              <w:rPr>
                <w:rFonts w:ascii="Arial" w:hAnsi="Arial" w:cs="Arial"/>
                <w:b/>
                <w:sz w:val="24"/>
                <w:szCs w:val="24"/>
                <w:rtl w:val="1"/>
              </w:rPr>
              <w:t>٥</w:t>
            </w:r>
          </w:p>
        </w:tc>
      </w:tr>
      <w:tr>
        <w:tc>
          <w:tcPr>
            <w:tcW w:type="dxa" w:w="7143"/>
          </w:tcPr>
          <w:p>
            <w:pPr>
              <w:bidi/>
              <w:spacing w:after="40" w:before="40"/>
              <w:jc w:val="right"/>
            </w:pPr>
            <w:r/>
            <w:r>
              <w:rPr>
                <w:rFonts w:ascii="Arial" w:hAnsi="Arial" w:cs="Arial"/>
                <w:b w:val="0"/>
                <w:color w:val="1A1A1A"/>
                <w:sz w:val="24"/>
                <w:szCs w:val="24"/>
                <w:rtl w:val="1"/>
              </w:rPr>
              <w:t xml:space="preserve">        المبحث الأول: المولد والنشأة والبيئة الأولى</w:t>
            </w:r>
          </w:p>
        </w:tc>
        <w:tc>
          <w:tcPr>
            <w:tcW w:type="dxa" w:w="1474"/>
          </w:tcPr>
          <w:p>
            <w:pPr>
              <w:bidi/>
              <w:spacing w:after="40" w:before="40"/>
              <w:jc w:val="center"/>
            </w:pPr>
            <w:r/>
            <w:r>
              <w:rPr>
                <w:rFonts w:ascii="Arial" w:hAnsi="Arial" w:cs="Arial"/>
                <w:b w:val="0"/>
                <w:sz w:val="24"/>
                <w:szCs w:val="24"/>
                <w:rtl w:val="1"/>
              </w:rPr>
              <w:t>٥</w:t>
            </w:r>
          </w:p>
        </w:tc>
      </w:tr>
      <w:tr>
        <w:tc>
          <w:tcPr>
            <w:tcW w:type="dxa" w:w="7143"/>
          </w:tcPr>
          <w:p>
            <w:pPr>
              <w:bidi/>
              <w:spacing w:after="40" w:before="40"/>
              <w:jc w:val="right"/>
            </w:pPr>
            <w:r/>
            <w:r>
              <w:rPr>
                <w:rFonts w:ascii="Arial" w:hAnsi="Arial" w:cs="Arial"/>
                <w:b w:val="0"/>
                <w:color w:val="1A1A1A"/>
                <w:sz w:val="24"/>
                <w:szCs w:val="24"/>
                <w:rtl w:val="1"/>
              </w:rPr>
              <w:t xml:space="preserve">        المبحث الثاني: التعليم العسكري والتخرج في الكلية الحربية</w:t>
            </w:r>
          </w:p>
        </w:tc>
        <w:tc>
          <w:tcPr>
            <w:tcW w:type="dxa" w:w="1474"/>
          </w:tcPr>
          <w:p>
            <w:pPr>
              <w:bidi/>
              <w:spacing w:after="40" w:before="40"/>
              <w:jc w:val="center"/>
            </w:pPr>
            <w:r/>
            <w:r>
              <w:rPr>
                <w:rFonts w:ascii="Arial" w:hAnsi="Arial" w:cs="Arial"/>
                <w:b w:val="0"/>
                <w:sz w:val="24"/>
                <w:szCs w:val="24"/>
                <w:rtl w:val="1"/>
              </w:rPr>
              <w:t>٦</w:t>
            </w:r>
          </w:p>
        </w:tc>
      </w:tr>
      <w:tr>
        <w:tc>
          <w:tcPr>
            <w:tcW w:type="dxa" w:w="7143"/>
          </w:tcPr>
          <w:p>
            <w:pPr>
              <w:bidi/>
              <w:spacing w:after="40" w:before="40"/>
              <w:jc w:val="right"/>
            </w:pPr>
            <w:r/>
            <w:r>
              <w:rPr>
                <w:rFonts w:ascii="Arial" w:hAnsi="Arial" w:cs="Arial"/>
                <w:b w:val="0"/>
                <w:color w:val="1A1A1A"/>
                <w:sz w:val="24"/>
                <w:szCs w:val="24"/>
                <w:rtl w:val="1"/>
              </w:rPr>
              <w:t xml:space="preserve">        المبحث الثالث: التعميد بالنار في حرب فلسطين 1948</w:t>
            </w:r>
          </w:p>
        </w:tc>
        <w:tc>
          <w:tcPr>
            <w:tcW w:type="dxa" w:w="1474"/>
          </w:tcPr>
          <w:p>
            <w:pPr>
              <w:bidi/>
              <w:spacing w:after="40" w:before="40"/>
              <w:jc w:val="center"/>
            </w:pPr>
            <w:r/>
            <w:r>
              <w:rPr>
                <w:rFonts w:ascii="Arial" w:hAnsi="Arial" w:cs="Arial"/>
                <w:b w:val="0"/>
                <w:sz w:val="24"/>
                <w:szCs w:val="24"/>
                <w:rtl w:val="1"/>
              </w:rPr>
              <w:t>٧</w:t>
            </w:r>
          </w:p>
        </w:tc>
      </w:tr>
      <w:tr>
        <w:tc>
          <w:tcPr>
            <w:tcW w:type="dxa" w:w="7143"/>
          </w:tcPr>
          <w:p>
            <w:pPr>
              <w:bidi/>
              <w:spacing w:after="40" w:before="40"/>
              <w:jc w:val="right"/>
            </w:pPr>
            <w:r/>
            <w:r>
              <w:rPr>
                <w:rFonts w:ascii="Arial" w:hAnsi="Arial" w:cs="Arial"/>
                <w:b w:val="0"/>
                <w:color w:val="1A1A1A"/>
                <w:sz w:val="24"/>
                <w:szCs w:val="24"/>
                <w:rtl w:val="1"/>
              </w:rPr>
              <w:t xml:space="preserve">        المبحث الرابع: تأسيس سلاح المظلات والقوات الخاصة</w:t>
            </w:r>
          </w:p>
        </w:tc>
        <w:tc>
          <w:tcPr>
            <w:tcW w:type="dxa" w:w="1474"/>
          </w:tcPr>
          <w:p>
            <w:pPr>
              <w:bidi/>
              <w:spacing w:after="40" w:before="40"/>
              <w:jc w:val="center"/>
            </w:pPr>
            <w:r/>
            <w:r>
              <w:rPr>
                <w:rFonts w:ascii="Arial" w:hAnsi="Arial" w:cs="Arial"/>
                <w:b w:val="0"/>
                <w:sz w:val="24"/>
                <w:szCs w:val="24"/>
                <w:rtl w:val="1"/>
              </w:rPr>
              <w:t>٧</w:t>
            </w:r>
          </w:p>
        </w:tc>
      </w:tr>
      <w:tr>
        <w:tc>
          <w:tcPr>
            <w:tcW w:type="dxa" w:w="7143"/>
          </w:tcPr>
          <w:p>
            <w:pPr>
              <w:bidi/>
              <w:spacing w:after="40" w:before="40"/>
              <w:jc w:val="right"/>
            </w:pPr>
            <w:r/>
            <w:r>
              <w:rPr>
                <w:rFonts w:ascii="Arial" w:hAnsi="Arial" w:cs="Arial"/>
                <w:b w:val="0"/>
                <w:color w:val="1A1A1A"/>
                <w:sz w:val="24"/>
                <w:szCs w:val="24"/>
                <w:rtl w:val="1"/>
              </w:rPr>
              <w:t xml:space="preserve">        المبحث الخامس: المهمة الأممية في الكونغو عام 1960</w:t>
            </w:r>
          </w:p>
        </w:tc>
        <w:tc>
          <w:tcPr>
            <w:tcW w:type="dxa" w:w="1474"/>
          </w:tcPr>
          <w:p>
            <w:pPr>
              <w:bidi/>
              <w:spacing w:after="40" w:before="40"/>
              <w:jc w:val="center"/>
            </w:pPr>
            <w:r/>
            <w:r>
              <w:rPr>
                <w:rFonts w:ascii="Arial" w:hAnsi="Arial" w:cs="Arial"/>
                <w:b w:val="0"/>
                <w:sz w:val="24"/>
                <w:szCs w:val="24"/>
                <w:rtl w:val="1"/>
              </w:rPr>
              <w:t>٨</w:t>
            </w:r>
          </w:p>
        </w:tc>
      </w:tr>
      <w:tr>
        <w:tc>
          <w:tcPr>
            <w:tcW w:type="dxa" w:w="7143"/>
          </w:tcPr>
          <w:p>
            <w:pPr>
              <w:bidi/>
              <w:spacing w:after="40" w:before="40"/>
              <w:jc w:val="right"/>
            </w:pPr>
            <w:r/>
            <w:r>
              <w:rPr>
                <w:rFonts w:ascii="Arial" w:hAnsi="Arial" w:cs="Arial"/>
                <w:b w:val="0"/>
                <w:color w:val="1A1A1A"/>
                <w:sz w:val="24"/>
                <w:szCs w:val="24"/>
                <w:rtl w:val="1"/>
              </w:rPr>
              <w:t xml:space="preserve">        المبحث السادس: اختبار القيادة في حربي 1956 و1967</w:t>
            </w:r>
          </w:p>
        </w:tc>
        <w:tc>
          <w:tcPr>
            <w:tcW w:type="dxa" w:w="1474"/>
          </w:tcPr>
          <w:p>
            <w:pPr>
              <w:bidi/>
              <w:spacing w:after="40" w:before="40"/>
              <w:jc w:val="center"/>
            </w:pPr>
            <w:r/>
            <w:r>
              <w:rPr>
                <w:rFonts w:ascii="Arial" w:hAnsi="Arial" w:cs="Arial"/>
                <w:b w:val="0"/>
                <w:sz w:val="24"/>
                <w:szCs w:val="24"/>
                <w:rtl w:val="1"/>
              </w:rPr>
              <w:t>٩</w:t>
            </w:r>
          </w:p>
        </w:tc>
      </w:tr>
      <w:tr>
        <w:tc>
          <w:tcPr>
            <w:tcW w:type="dxa" w:w="7143"/>
          </w:tcPr>
          <w:p>
            <w:pPr>
              <w:bidi/>
              <w:spacing w:after="40" w:before="40"/>
              <w:jc w:val="right"/>
            </w:pPr>
            <w:r/>
            <w:r>
              <w:rPr>
                <w:rFonts w:ascii="Arial" w:hAnsi="Arial" w:cs="Arial"/>
                <w:b w:val="0"/>
                <w:color w:val="1A1A1A"/>
                <w:sz w:val="24"/>
                <w:szCs w:val="24"/>
                <w:rtl w:val="1"/>
              </w:rPr>
              <w:t xml:space="preserve">        المبحث السابع: قيادة منطقة البحر الأحمر وحرب الاستنزاف</w:t>
            </w:r>
          </w:p>
        </w:tc>
        <w:tc>
          <w:tcPr>
            <w:tcW w:type="dxa" w:w="1474"/>
          </w:tcPr>
          <w:p>
            <w:pPr>
              <w:bidi/>
              <w:spacing w:after="40" w:before="40"/>
              <w:jc w:val="center"/>
            </w:pPr>
            <w:r/>
            <w:r>
              <w:rPr>
                <w:rFonts w:ascii="Arial" w:hAnsi="Arial" w:cs="Arial"/>
                <w:b w:val="0"/>
                <w:sz w:val="24"/>
                <w:szCs w:val="24"/>
                <w:rtl w:val="1"/>
              </w:rPr>
              <w:t>١٠</w:t>
            </w:r>
          </w:p>
        </w:tc>
      </w:tr>
      <w:tr>
        <w:tc>
          <w:tcPr>
            <w:tcW w:type="dxa" w:w="7143"/>
            <w:shd w:val="clear" w:color="auto" w:fill="F2E3E3"/>
          </w:tcPr>
          <w:p>
            <w:pPr>
              <w:bidi/>
              <w:spacing w:after="40" w:before="40"/>
              <w:jc w:val="right"/>
            </w:pPr>
            <w:r/>
            <w:r>
              <w:rPr>
                <w:rFonts w:ascii="Arial" w:hAnsi="Arial" w:cs="Arial"/>
                <w:b/>
                <w:color w:val="8B1A1A"/>
                <w:sz w:val="26"/>
                <w:szCs w:val="26"/>
                <w:rtl w:val="1"/>
              </w:rPr>
              <w:t>القسم الثاني: صانع نصر أكتوبر ومسيرة ما بعد الحرب</w:t>
            </w:r>
          </w:p>
        </w:tc>
        <w:tc>
          <w:tcPr>
            <w:tcW w:type="dxa" w:w="1474"/>
            <w:shd w:val="clear" w:color="auto" w:fill="F2E3E3"/>
          </w:tcPr>
          <w:p>
            <w:pPr>
              <w:bidi/>
              <w:spacing w:after="40" w:before="40"/>
              <w:jc w:val="center"/>
            </w:pPr>
            <w:r/>
            <w:r>
              <w:rPr>
                <w:rFonts w:ascii="Arial" w:hAnsi="Arial" w:cs="Arial"/>
                <w:b/>
                <w:sz w:val="24"/>
                <w:szCs w:val="24"/>
                <w:rtl w:val="1"/>
              </w:rPr>
              <w:t>١٢</w:t>
            </w:r>
          </w:p>
        </w:tc>
      </w:tr>
      <w:tr>
        <w:tc>
          <w:tcPr>
            <w:tcW w:type="dxa" w:w="7143"/>
          </w:tcPr>
          <w:p>
            <w:pPr>
              <w:bidi/>
              <w:spacing w:after="40" w:before="40"/>
              <w:jc w:val="right"/>
            </w:pPr>
            <w:r/>
            <w:r>
              <w:rPr>
                <w:rFonts w:ascii="Arial" w:hAnsi="Arial" w:cs="Arial"/>
                <w:b w:val="0"/>
                <w:color w:val="1A1A1A"/>
                <w:sz w:val="24"/>
                <w:szCs w:val="24"/>
                <w:rtl w:val="1"/>
              </w:rPr>
              <w:t xml:space="preserve">        المبحث الأول: رئاسة الأركان وإعادة بناء الجيش (1971–1973)</w:t>
            </w:r>
          </w:p>
        </w:tc>
        <w:tc>
          <w:tcPr>
            <w:tcW w:type="dxa" w:w="1474"/>
          </w:tcPr>
          <w:p>
            <w:pPr>
              <w:bidi/>
              <w:spacing w:after="40" w:before="40"/>
              <w:jc w:val="center"/>
            </w:pPr>
            <w:r/>
            <w:r>
              <w:rPr>
                <w:rFonts w:ascii="Arial" w:hAnsi="Arial" w:cs="Arial"/>
                <w:b w:val="0"/>
                <w:sz w:val="24"/>
                <w:szCs w:val="24"/>
                <w:rtl w:val="1"/>
              </w:rPr>
              <w:t>١٢</w:t>
            </w:r>
          </w:p>
        </w:tc>
      </w:tr>
      <w:tr>
        <w:tc>
          <w:tcPr>
            <w:tcW w:type="dxa" w:w="7143"/>
          </w:tcPr>
          <w:p>
            <w:pPr>
              <w:bidi/>
              <w:spacing w:after="40" w:before="40"/>
              <w:jc w:val="right"/>
            </w:pPr>
            <w:r/>
            <w:r>
              <w:rPr>
                <w:rFonts w:ascii="Arial" w:hAnsi="Arial" w:cs="Arial"/>
                <w:b w:val="0"/>
                <w:color w:val="1A1A1A"/>
                <w:sz w:val="24"/>
                <w:szCs w:val="24"/>
                <w:rtl w:val="1"/>
              </w:rPr>
              <w:t xml:space="preserve">        المبحث الثاني: الفكر العسكري والتخطيط للعبور (خطة بدر والمآذن العالية)</w:t>
            </w:r>
          </w:p>
        </w:tc>
        <w:tc>
          <w:tcPr>
            <w:tcW w:type="dxa" w:w="1474"/>
          </w:tcPr>
          <w:p>
            <w:pPr>
              <w:bidi/>
              <w:spacing w:after="40" w:before="40"/>
              <w:jc w:val="center"/>
            </w:pPr>
            <w:r/>
            <w:r>
              <w:rPr>
                <w:rFonts w:ascii="Arial" w:hAnsi="Arial" w:cs="Arial"/>
                <w:b w:val="0"/>
                <w:sz w:val="24"/>
                <w:szCs w:val="24"/>
                <w:rtl w:val="1"/>
              </w:rPr>
              <w:t>١٣</w:t>
            </w:r>
          </w:p>
        </w:tc>
      </w:tr>
      <w:tr>
        <w:tc>
          <w:tcPr>
            <w:tcW w:type="dxa" w:w="7143"/>
          </w:tcPr>
          <w:p>
            <w:pPr>
              <w:bidi/>
              <w:spacing w:after="40" w:before="40"/>
              <w:jc w:val="right"/>
            </w:pPr>
            <w:r/>
            <w:r>
              <w:rPr>
                <w:rFonts w:ascii="Arial" w:hAnsi="Arial" w:cs="Arial"/>
                <w:b w:val="0"/>
                <w:color w:val="1A1A1A"/>
                <w:sz w:val="24"/>
                <w:szCs w:val="24"/>
                <w:rtl w:val="1"/>
              </w:rPr>
              <w:t xml:space="preserve">        المبحث الثالث: إدارة معركة العبور في أكتوبر 1973</w:t>
            </w:r>
          </w:p>
        </w:tc>
        <w:tc>
          <w:tcPr>
            <w:tcW w:type="dxa" w:w="1474"/>
          </w:tcPr>
          <w:p>
            <w:pPr>
              <w:bidi/>
              <w:spacing w:after="40" w:before="40"/>
              <w:jc w:val="center"/>
            </w:pPr>
            <w:r/>
            <w:r>
              <w:rPr>
                <w:rFonts w:ascii="Arial" w:hAnsi="Arial" w:cs="Arial"/>
                <w:b w:val="0"/>
                <w:sz w:val="24"/>
                <w:szCs w:val="24"/>
                <w:rtl w:val="1"/>
              </w:rPr>
              <w:t>١٤</w:t>
            </w:r>
          </w:p>
        </w:tc>
      </w:tr>
      <w:tr>
        <w:tc>
          <w:tcPr>
            <w:tcW w:type="dxa" w:w="7143"/>
          </w:tcPr>
          <w:p>
            <w:pPr>
              <w:bidi/>
              <w:spacing w:after="40" w:before="40"/>
              <w:jc w:val="right"/>
            </w:pPr>
            <w:r/>
            <w:r>
              <w:rPr>
                <w:rFonts w:ascii="Arial" w:hAnsi="Arial" w:cs="Arial"/>
                <w:b w:val="0"/>
                <w:color w:val="1A1A1A"/>
                <w:sz w:val="24"/>
                <w:szCs w:val="24"/>
                <w:rtl w:val="1"/>
              </w:rPr>
              <w:t xml:space="preserve">        المبحث الرابع: أزمة الثغرة والخلاف مع القيادة السياسية</w:t>
            </w:r>
          </w:p>
        </w:tc>
        <w:tc>
          <w:tcPr>
            <w:tcW w:type="dxa" w:w="1474"/>
          </w:tcPr>
          <w:p>
            <w:pPr>
              <w:bidi/>
              <w:spacing w:after="40" w:before="40"/>
              <w:jc w:val="center"/>
            </w:pPr>
            <w:r/>
            <w:r>
              <w:rPr>
                <w:rFonts w:ascii="Arial" w:hAnsi="Arial" w:cs="Arial"/>
                <w:b w:val="0"/>
                <w:sz w:val="24"/>
                <w:szCs w:val="24"/>
                <w:rtl w:val="1"/>
              </w:rPr>
              <w:t>١٥</w:t>
            </w:r>
          </w:p>
        </w:tc>
      </w:tr>
      <w:tr>
        <w:tc>
          <w:tcPr>
            <w:tcW w:type="dxa" w:w="7143"/>
          </w:tcPr>
          <w:p>
            <w:pPr>
              <w:bidi/>
              <w:spacing w:after="40" w:before="40"/>
              <w:jc w:val="right"/>
            </w:pPr>
            <w:r/>
            <w:r>
              <w:rPr>
                <w:rFonts w:ascii="Arial" w:hAnsi="Arial" w:cs="Arial"/>
                <w:b w:val="0"/>
                <w:color w:val="1A1A1A"/>
                <w:sz w:val="24"/>
                <w:szCs w:val="24"/>
                <w:rtl w:val="1"/>
              </w:rPr>
              <w:t xml:space="preserve">        المبحث الخامس: سنوات الدبلوماسية والمنفى والمعارضة</w:t>
            </w:r>
          </w:p>
        </w:tc>
        <w:tc>
          <w:tcPr>
            <w:tcW w:type="dxa" w:w="1474"/>
          </w:tcPr>
          <w:p>
            <w:pPr>
              <w:bidi/>
              <w:spacing w:after="40" w:before="40"/>
              <w:jc w:val="center"/>
            </w:pPr>
            <w:r/>
            <w:r>
              <w:rPr>
                <w:rFonts w:ascii="Arial" w:hAnsi="Arial" w:cs="Arial"/>
                <w:b w:val="0"/>
                <w:sz w:val="24"/>
                <w:szCs w:val="24"/>
                <w:rtl w:val="1"/>
              </w:rPr>
              <w:t>١٦</w:t>
            </w:r>
          </w:p>
        </w:tc>
      </w:tr>
      <w:tr>
        <w:tc>
          <w:tcPr>
            <w:tcW w:type="dxa" w:w="7143"/>
          </w:tcPr>
          <w:p>
            <w:pPr>
              <w:bidi/>
              <w:spacing w:after="40" w:before="40"/>
              <w:jc w:val="right"/>
            </w:pPr>
            <w:r/>
            <w:r>
              <w:rPr>
                <w:rFonts w:ascii="Arial" w:hAnsi="Arial" w:cs="Arial"/>
                <w:b w:val="0"/>
                <w:color w:val="1A1A1A"/>
                <w:sz w:val="24"/>
                <w:szCs w:val="24"/>
                <w:rtl w:val="1"/>
              </w:rPr>
              <w:t xml:space="preserve">        المبحث السادس: العودة إلى الوطن والسجن والوفاة</w:t>
            </w:r>
          </w:p>
        </w:tc>
        <w:tc>
          <w:tcPr>
            <w:tcW w:type="dxa" w:w="1474"/>
          </w:tcPr>
          <w:p>
            <w:pPr>
              <w:bidi/>
              <w:spacing w:after="40" w:before="40"/>
              <w:jc w:val="center"/>
            </w:pPr>
            <w:r/>
            <w:r>
              <w:rPr>
                <w:rFonts w:ascii="Arial" w:hAnsi="Arial" w:cs="Arial"/>
                <w:b w:val="0"/>
                <w:sz w:val="24"/>
                <w:szCs w:val="24"/>
                <w:rtl w:val="1"/>
              </w:rPr>
              <w:t>١٧</w:t>
            </w:r>
          </w:p>
        </w:tc>
      </w:tr>
      <w:tr>
        <w:tc>
          <w:tcPr>
            <w:tcW w:type="dxa" w:w="7143"/>
          </w:tcPr>
          <w:p>
            <w:pPr>
              <w:bidi/>
              <w:spacing w:after="40" w:before="40"/>
              <w:jc w:val="right"/>
            </w:pPr>
            <w:r/>
            <w:r>
              <w:rPr>
                <w:rFonts w:ascii="Arial" w:hAnsi="Arial" w:cs="Arial"/>
                <w:b w:val="0"/>
                <w:color w:val="1A1A1A"/>
                <w:sz w:val="24"/>
                <w:szCs w:val="24"/>
                <w:rtl w:val="1"/>
              </w:rPr>
              <w:t xml:space="preserve">        المبحث السابع: المؤلفات والإرث الفكري والعسكري</w:t>
            </w:r>
          </w:p>
        </w:tc>
        <w:tc>
          <w:tcPr>
            <w:tcW w:type="dxa" w:w="1474"/>
          </w:tcPr>
          <w:p>
            <w:pPr>
              <w:bidi/>
              <w:spacing w:after="40" w:before="40"/>
              <w:jc w:val="center"/>
            </w:pPr>
            <w:r/>
            <w:r>
              <w:rPr>
                <w:rFonts w:ascii="Arial" w:hAnsi="Arial" w:cs="Arial"/>
                <w:b w:val="0"/>
                <w:sz w:val="24"/>
                <w:szCs w:val="24"/>
                <w:rtl w:val="1"/>
              </w:rPr>
              <w:t>١٨</w:t>
            </w:r>
          </w:p>
        </w:tc>
      </w:tr>
      <w:tr>
        <w:tc>
          <w:tcPr>
            <w:tcW w:type="dxa" w:w="7143"/>
          </w:tcPr>
          <w:p>
            <w:pPr>
              <w:bidi/>
              <w:spacing w:after="40" w:before="40"/>
              <w:jc w:val="right"/>
            </w:pPr>
            <w:r/>
            <w:r>
              <w:rPr>
                <w:rFonts w:ascii="Arial" w:hAnsi="Arial" w:cs="Arial"/>
                <w:b w:val="0"/>
                <w:color w:val="1A1A1A"/>
                <w:sz w:val="24"/>
                <w:szCs w:val="24"/>
                <w:rtl w:val="1"/>
              </w:rPr>
              <w:t xml:space="preserve">        الخاتمة</w:t>
            </w:r>
          </w:p>
        </w:tc>
        <w:tc>
          <w:tcPr>
            <w:tcW w:type="dxa" w:w="1474"/>
          </w:tcPr>
          <w:p>
            <w:pPr>
              <w:bidi/>
              <w:spacing w:after="40" w:before="40"/>
              <w:jc w:val="center"/>
            </w:pPr>
            <w:r/>
            <w:r>
              <w:rPr>
                <w:rFonts w:ascii="Arial" w:hAnsi="Arial" w:cs="Arial"/>
                <w:b w:val="0"/>
                <w:sz w:val="24"/>
                <w:szCs w:val="24"/>
                <w:rtl w:val="1"/>
              </w:rPr>
              <w:t>٢٠</w:t>
            </w:r>
          </w:p>
        </w:tc>
      </w:tr>
    </w:tbl>
    <w:p>
      <w:r>
        <w:br w:type="page"/>
      </w:r>
    </w:p>
    <w:p>
      <w:pPr>
        <w:bidi/>
        <w:spacing w:before="0" w:after="240" w:line="360" w:lineRule="auto"/>
        <w:jc w:val="center"/>
      </w:pPr>
      <w:r>
        <w:rPr>
          <w:rFonts w:ascii="Arial" w:hAnsi="Arial" w:cs="Arial"/>
          <w:b/>
          <w:color w:val="8B1A1A"/>
          <w:sz w:val="44"/>
          <w:szCs w:val="44"/>
          <w:rtl w:val="1"/>
        </w:rPr>
        <w:t>المقدمة</w:t>
      </w:r>
    </w:p>
    <w:p>
      <w:pPr>
        <w:bidi/>
        <w:spacing w:before="0" w:after="200" w:line="360" w:lineRule="auto"/>
        <w:jc w:val="both"/>
      </w:pPr>
      <w:r>
        <w:rPr>
          <w:rFonts w:ascii="Arial" w:hAnsi="Arial" w:cs="Arial"/>
          <w:b w:val="0"/>
          <w:sz w:val="28"/>
          <w:szCs w:val="28"/>
          <w:rtl w:val="1"/>
        </w:rPr>
        <w:t>يُعد الفريق سعد الدين محمد الحسيني الشاذلي واحداً من أبرز القادة العسكريين في التاريخ المصري والعربي الحديث، إذ ارتبط اسمه ارتباطاً وثيقاً بأعظم انتصار عسكري حققته مصر في العصر الحديث، وهو عبور قناة السويس وتحطيم خط بارليف في حرب السادس من أكتوبر عام 1973. لم يكن الشاذلي مجرد جندي يؤدي واجبه، بل كان مفكراً عسكرياً صاحب مدرسة متكاملة في التخطيط والقيادة، استطاع أن يحوّل الهزيمة النفسية التي خلّفتها نكسة 1967 إلى إرادة صلبة وعقيدة قتالية أعادت للجندي المصري ثقته بنفسه وبسلاحه.</w:t>
      </w:r>
    </w:p>
    <w:p>
      <w:pPr>
        <w:bidi/>
        <w:spacing w:before="0" w:after="200" w:line="360" w:lineRule="auto"/>
        <w:jc w:val="both"/>
      </w:pPr>
      <w:r>
        <w:rPr>
          <w:rFonts w:ascii="Arial" w:hAnsi="Arial" w:cs="Arial"/>
          <w:b w:val="0"/>
          <w:sz w:val="28"/>
          <w:szCs w:val="28"/>
          <w:rtl w:val="1"/>
        </w:rPr>
        <w:t>تتناول هذه الدراسة السيرة الذاتية للفريق سعد الدين الشاذلي بأسلوب علمي منظم، يرصد مسيرته منذ مولده في إحدى قرى محافظة المنوفية، مروراً بتدرّجه في المناصب العسكرية وتأسيسه لأسلحة نوعية في الجيش المصري كالمظلات والقوات الخاصة، وصولاً إلى توليه منصب رئيس أركان حرب القوات المسلحة وقيادته لمعركة العبور، ثم ما تلا ذلك من سنوات الدبلوماسية والمنفى والعودة، حتى وفاته عام 2011.</w:t>
      </w:r>
    </w:p>
    <w:p>
      <w:pPr>
        <w:bidi/>
        <w:spacing w:before="0" w:after="200" w:line="360" w:lineRule="auto"/>
        <w:jc w:val="both"/>
      </w:pPr>
      <w:r>
        <w:rPr>
          <w:rFonts w:ascii="Arial" w:hAnsi="Arial" w:cs="Arial"/>
          <w:b w:val="0"/>
          <w:sz w:val="28"/>
          <w:szCs w:val="28"/>
          <w:rtl w:val="1"/>
        </w:rPr>
        <w:t>وقد قُسمت هذه الدراسة إلى قسمين رئيسيين؛ يتناول القسم الأول النشأة والتكوين والمسيرة العسكرية حتى توليه رئاسة الأركان، بينما يخصَّص القسم الثاني لدوره في صناعة نصر أكتوبر وما أعقبه من مواقف ومحطات، وقد قُسّم كل قسم إلى مباحث فرعية تتناول كل محطة من محطات حياته بالتفصيل. وقد ذُيّلت الدراسة بخاتمة تلخص أهم النتائج، سائلين الله أن تكون وفاءً لقامة وطنية رفعت راية مصر عالياً في ميادين الشرف والبطولة.</w:t>
      </w:r>
    </w:p>
    <w:p>
      <w:r>
        <w:br w:type="page"/>
      </w:r>
    </w:p>
    <w:p>
      <w:pPr>
        <w:bidi/>
        <w:spacing w:before="0" w:after="80" w:line="360" w:lineRule="auto"/>
        <w:jc w:val="center"/>
      </w:pPr>
      <w:r>
        <w:rPr>
          <w:rFonts w:ascii="Arial" w:hAnsi="Arial" w:cs="Arial"/>
          <w:b/>
          <w:color w:val="8B1A1A"/>
          <w:sz w:val="30"/>
          <w:szCs w:val="30"/>
          <w:rtl w:val="1"/>
        </w:rPr>
        <w:t>القسم الأول</w:t>
      </w:r>
    </w:p>
    <w:p>
      <w:pPr>
        <w:bidi/>
        <w:spacing w:before="0" w:after="200" w:line="360" w:lineRule="auto"/>
        <w:jc w:val="center"/>
      </w:pPr>
      <w:r>
        <w:rPr>
          <w:rFonts w:ascii="Arial" w:hAnsi="Arial" w:cs="Arial"/>
          <w:b/>
          <w:color w:val="8B1A1A"/>
          <w:sz w:val="44"/>
          <w:szCs w:val="44"/>
          <w:rtl w:val="1"/>
        </w:rPr>
        <w:t>النشأة والتكوين والمسيرة العسكرية حتى عام 1971</w:t>
      </w:r>
    </w:p>
    <w:p>
      <w:pPr>
        <w:bidi/>
        <w:jc w:val="center"/>
      </w:pPr>
      <w:r>
        <w:rPr>
          <w:rFonts w:ascii="Arial" w:hAnsi="Arial" w:cs="Arial"/>
          <w:b w:val="0"/>
          <w:color w:val="8B1A1A"/>
          <w:sz w:val="28"/>
          <w:szCs w:val="28"/>
          <w:rtl w:val="1"/>
        </w:rPr>
        <w:t>ـــــــــــــــــــــــــــــــــــــــــــــ</w:t>
      </w:r>
    </w:p>
    <w:p/>
    <w:p>
      <w:pPr>
        <w:bidi/>
        <w:spacing w:before="200" w:after="120" w:line="360" w:lineRule="auto"/>
        <w:jc w:val="right"/>
      </w:pPr>
      <w:r>
        <w:rPr>
          <w:rFonts w:ascii="Arial" w:hAnsi="Arial" w:cs="Arial"/>
          <w:b/>
          <w:color w:val="8B1A1A"/>
          <w:sz w:val="32"/>
          <w:szCs w:val="32"/>
          <w:rtl w:val="1"/>
        </w:rPr>
        <w:t>المبحث الأول: المولد والنشأة والبيئة الأولى</w:t>
      </w:r>
    </w:p>
    <w:p>
      <w:pPr>
        <w:bidi/>
        <w:spacing w:before="0" w:after="200" w:line="360" w:lineRule="auto"/>
        <w:jc w:val="both"/>
      </w:pPr>
      <w:r>
        <w:rPr>
          <w:rFonts w:ascii="Arial" w:hAnsi="Arial" w:cs="Arial"/>
          <w:b w:val="0"/>
          <w:sz w:val="28"/>
          <w:szCs w:val="28"/>
          <w:rtl w:val="1"/>
        </w:rPr>
        <w:t>وُلد سعد الدين محمد الحسيني الشاذلي في الأول من أبريل عام 1922 في قرية بسطة التابعة لمركز شبين الكوم بمحافظة المنوفية، في بيت عُرف بالتدين والوطنية وحب الأرض. وقد نشأ الفتى في بيئة ريفية بسيطة غرست فيه منذ الصغر قيم الانضباط والصدق والاعتماد على النفس، وهي القيم التي ستلازمه طوال حياته العسكرية وتصبح من أبرز سمات شخصيته القيادية فيما بعد.</w:t>
      </w:r>
    </w:p>
    <w:p>
      <w:pPr>
        <w:bidi/>
        <w:spacing w:before="0" w:after="200" w:line="360" w:lineRule="auto"/>
        <w:jc w:val="both"/>
      </w:pPr>
      <w:r>
        <w:rPr>
          <w:rFonts w:ascii="Arial" w:hAnsi="Arial" w:cs="Arial"/>
          <w:b w:val="0"/>
          <w:sz w:val="28"/>
          <w:szCs w:val="28"/>
          <w:rtl w:val="1"/>
        </w:rPr>
        <w:t>تلقى الشاذلي تعليمه الأساسي في كنف أسرته، وأظهر منذ نعومة أظفاره نبوغاً ملحوظاً وميلاً إلى النظام والترتيب، فضلاً عن بنية جسدية قوية وروح مغامرة جعلته يميل إلى الأنشطة التي تتطلب الجلَد والشجاعة. وقد كان لجيله نصيب من الوعي الوطني المتصاعد في مصر خلال عشرينيات وثلاثينيات القرن الماضي، حيث كانت البلاد تموج بالحركة الوطنية المناهضة للاحتلال البريطاني، الأمر الذي ترك أثراً عميقاً في وجدان الشاب وحدد بوصلة طموحه نحو الانخراط في سلك الجيش.</w:t>
      </w:r>
    </w:p>
    <w:p>
      <w:pPr>
        <w:bidi/>
        <w:spacing w:before="0" w:after="200" w:line="360" w:lineRule="auto"/>
        <w:jc w:val="both"/>
      </w:pPr>
      <w:r>
        <w:rPr>
          <w:rFonts w:ascii="Arial" w:hAnsi="Arial" w:cs="Arial"/>
          <w:b w:val="0"/>
          <w:sz w:val="28"/>
          <w:szCs w:val="28"/>
          <w:rtl w:val="1"/>
        </w:rPr>
        <w:t>وتشير المصادر التي أرّخت لحياته إلى أن الفتى سعد الدين تشرّب منذ صباه معاني الفروسية والإقدام، وكان شغوفاً بسير القادة والأبطال، يتأمل في مصائر الأمم وأسباب نهوضها أو تخلّفها. وقد امتزجت في وجدانه نزعتان: نزعة دينية روحية ورثها عن بيئته جعلته يستمد من تاريخ الإسلام نماذجه في البطولة والتضحية، ونزعة وطنية معاصرة غذّتها أحداث الكفاح ضد الاحتلال، وهو المزيج الذي سيتجلى لاحقاً حين اختار للعملية الكبرى اسم «بدر» تيمناً بالغزوة الفاصلة.</w:t>
      </w:r>
    </w:p>
    <w:p>
      <w:pPr>
        <w:bidi/>
        <w:spacing w:before="0" w:after="200" w:line="360" w:lineRule="auto"/>
        <w:jc w:val="both"/>
      </w:pPr>
      <w:r>
        <w:rPr>
          <w:rFonts w:ascii="Arial" w:hAnsi="Arial" w:cs="Arial"/>
          <w:b w:val="0"/>
          <w:sz w:val="28"/>
          <w:szCs w:val="28"/>
          <w:rtl w:val="1"/>
        </w:rPr>
        <w:t>لقد شكّلت هذه البيئة الأولى اللبنة الأساسية في بناء شخصية الشاذلي؛ فالقرية المصرية بقيمها الأصيلة، والأسرة المتماسكة بتربيتها القويمة، والمناخ الوطني العام بحماسه ضد المستعمر، كلها عوامل تضافرت لتصنع قائداً مستقبلياً يحمل في داخله إحساساً عميقاً بالانتماء والمسؤولية تجاه وطنه. ومن رحم هذه البيئة خرج فتى يحمل حلماً كبيراً بأن يكون جندياً في جيش بلاده، يدافع عن ترابها ويصون كرامتها.</w:t>
      </w:r>
    </w:p>
    <w:p>
      <w:pPr>
        <w:bidi/>
        <w:spacing w:before="0" w:after="200" w:line="360" w:lineRule="auto"/>
        <w:jc w:val="both"/>
      </w:pPr>
      <w:r>
        <w:rPr>
          <w:rFonts w:ascii="Arial" w:hAnsi="Arial" w:cs="Arial"/>
          <w:b w:val="0"/>
          <w:sz w:val="28"/>
          <w:szCs w:val="28"/>
          <w:rtl w:val="1"/>
        </w:rPr>
        <w:t>إن دراسة نشأة الشاذلي تكشف عن حقيقة مهمة، مفادها أن القادة العظام لا يولدون فجأة، بل تصنعهم بيئاتهم وتجاربهم المبكرة. فقد كانت سنوات الطفولة والصبا بمثابة المرحلة التأسيسية التي تشكّلت فيها ملامح شخصيته، وترسّخت فيها القيم التي حملها معه إلى ميادين القتال وقاعات القيادة، فظل وفياً لها حتى آخر أيام حياته.</w:t>
      </w:r>
    </w:p>
    <w:p>
      <w:pPr>
        <w:bidi/>
        <w:spacing w:before="200" w:after="120" w:line="360" w:lineRule="auto"/>
        <w:jc w:val="right"/>
      </w:pPr>
      <w:r>
        <w:rPr>
          <w:rFonts w:ascii="Arial" w:hAnsi="Arial" w:cs="Arial"/>
          <w:b/>
          <w:color w:val="8B1A1A"/>
          <w:sz w:val="32"/>
          <w:szCs w:val="32"/>
          <w:rtl w:val="1"/>
        </w:rPr>
        <w:t>المبحث الثاني: التعليم العسكري والتخرج في الكلية الحربية</w:t>
      </w:r>
    </w:p>
    <w:p>
      <w:pPr>
        <w:bidi/>
        <w:spacing w:before="0" w:after="200" w:line="360" w:lineRule="auto"/>
        <w:jc w:val="both"/>
      </w:pPr>
      <w:r>
        <w:rPr>
          <w:rFonts w:ascii="Arial" w:hAnsi="Arial" w:cs="Arial"/>
          <w:b w:val="0"/>
          <w:sz w:val="28"/>
          <w:szCs w:val="28"/>
          <w:rtl w:val="1"/>
        </w:rPr>
        <w:t>التحق سعد الدين الشاذلي بالكلية الحربية المصرية في مرحلة فارقة من تاريخها، بعد أن فُتحت أبوابها أمام أبناء الطبقات الوسطى من المصريين عقب معاهدة عام 1936، وهو ما أتاح لجيل كامل من الشباب الوطني فرصة الالتحاق بالسلك العسكري الذي كان حكراً في السابق على أبناء الطبقات المترفة. وقد تخرج الشاذلي في الكلية الحربية عام 1940 برتبة ملازم ثانٍ، ليبدأ مشواراً عسكرياً حافلاً امتد لأكثر من ثلاثة عقود.</w:t>
      </w:r>
    </w:p>
    <w:p>
      <w:pPr>
        <w:bidi/>
        <w:spacing w:before="0" w:after="200" w:line="360" w:lineRule="auto"/>
        <w:jc w:val="both"/>
      </w:pPr>
      <w:r>
        <w:rPr>
          <w:rFonts w:ascii="Arial" w:hAnsi="Arial" w:cs="Arial"/>
          <w:b w:val="0"/>
          <w:sz w:val="28"/>
          <w:szCs w:val="28"/>
          <w:rtl w:val="1"/>
        </w:rPr>
        <w:t>تميّز الشاذلي خلال سنوات دراسته العسكرية بالتفوق والانضباط، وأظهر شغفاً خاصاً بالعلوم العسكرية الحديثة وفنون القتال، وحرص على تطوير قدراته البدنية والذهنية على نحو متواصل. ولم يكتفِ بما تلقاه في الكلية، بل سعى دوماً إلى الاطلاع على أحدث النظريات العسكرية العالمية، وتلقى لاحقاً دورات تدريبية متقدمة، من بينها تدريبه على أعمال المظلات والقفز الحر، وهو ما مهّد الطريق أمامه ليكون رائداً في تأسيس أسلحة نوعية جديدة في الجيش المصري.</w:t>
      </w:r>
    </w:p>
    <w:p>
      <w:pPr>
        <w:bidi/>
        <w:spacing w:before="0" w:after="200" w:line="360" w:lineRule="auto"/>
        <w:jc w:val="both"/>
      </w:pPr>
      <w:r>
        <w:rPr>
          <w:rFonts w:ascii="Arial" w:hAnsi="Arial" w:cs="Arial"/>
          <w:b w:val="0"/>
          <w:sz w:val="28"/>
          <w:szCs w:val="28"/>
          <w:rtl w:val="1"/>
        </w:rPr>
        <w:t>لقد كان جيل الشاذلي هو الجيل الذي أنجب كوكبة من الضباط الوطنيين الذين سيكون لهم شأن كبير في تاريخ مصر، إذ تخرّج في تلك الفترة قادة عسكريون وسياسيون بارزون. وقد جمع هذا الجيل بين الكفاءة المهنية والوعي الوطني العميق، وهو ما جعله مهيأً للاضطلاع بأدوار محورية في الأحداث الكبرى التي شهدتها البلاد لاحقاً، من حروب وثورات وتحولات سياسية واجتماعية.</w:t>
      </w:r>
    </w:p>
    <w:p>
      <w:pPr>
        <w:bidi/>
        <w:spacing w:before="0" w:after="200" w:line="360" w:lineRule="auto"/>
        <w:jc w:val="both"/>
      </w:pPr>
      <w:r>
        <w:rPr>
          <w:rFonts w:ascii="Arial" w:hAnsi="Arial" w:cs="Arial"/>
          <w:b w:val="0"/>
          <w:sz w:val="28"/>
          <w:szCs w:val="28"/>
          <w:rtl w:val="1"/>
        </w:rPr>
        <w:t>وقد آمن الشاذلي منذ سنواته الأولى في الجيش بأن العلم هو أساس التفوق العسكري، فحرص على الجمع بين الخبرة الميدانية والتحصيل النظري، وعلى متابعة تطور الأسلحة والتكتيكات في الجيوش الحديثة. كما تميّز بقدرته على التعلم من التجارب، وتحويل الإخفاقات إلى دروس، وهي السمة التي ستظهر بوضوح في مواقفه اللاحقة، حين بنى انتصار أكتوبر على أنقاض دروس الهزائم السابقة.</w:t>
      </w:r>
    </w:p>
    <w:p>
      <w:pPr>
        <w:bidi/>
        <w:spacing w:before="0" w:after="200" w:line="360" w:lineRule="auto"/>
        <w:jc w:val="both"/>
      </w:pPr>
      <w:r>
        <w:rPr>
          <w:rFonts w:ascii="Arial" w:hAnsi="Arial" w:cs="Arial"/>
          <w:b w:val="0"/>
          <w:sz w:val="28"/>
          <w:szCs w:val="28"/>
          <w:rtl w:val="1"/>
        </w:rPr>
        <w:t>لقد أرست هذه المرحلة التكوينية أسس فكره العسكري القائم على الجمع بين الصرامة في التطبيق والمرونة في التخطيط، كما رسّخت لديه قناعة بأن الجندي المدرَّب تدريباً عالياً والمسلَّح بعقيدة قتالية راسخة هو حجر الزاوية في أي انتصار عسكري، وهي القناعة التي ستظهر بجلاء حين يتولى المناصب القيادية الكبرى ويقود عملية إعادة بناء الجيش المصري.</w:t>
      </w:r>
    </w:p>
    <w:p>
      <w:pPr>
        <w:bidi/>
        <w:spacing w:before="200" w:after="120" w:line="360" w:lineRule="auto"/>
        <w:jc w:val="right"/>
      </w:pPr>
      <w:r>
        <w:rPr>
          <w:rFonts w:ascii="Arial" w:hAnsi="Arial" w:cs="Arial"/>
          <w:b/>
          <w:color w:val="8B1A1A"/>
          <w:sz w:val="32"/>
          <w:szCs w:val="32"/>
          <w:rtl w:val="1"/>
        </w:rPr>
        <w:t>المبحث الثالث: التعميد بالنار في حرب فلسطين 1948</w:t>
      </w:r>
    </w:p>
    <w:p>
      <w:pPr>
        <w:bidi/>
        <w:spacing w:before="0" w:after="200" w:line="360" w:lineRule="auto"/>
        <w:jc w:val="both"/>
      </w:pPr>
      <w:r>
        <w:rPr>
          <w:rFonts w:ascii="Arial" w:hAnsi="Arial" w:cs="Arial"/>
          <w:b w:val="0"/>
          <w:sz w:val="28"/>
          <w:szCs w:val="28"/>
          <w:rtl w:val="1"/>
        </w:rPr>
        <w:t>كانت حرب فلسطين عام 1948 أول اختبار حقيقي للضابط الشاب سعد الدين الشاذلي على أرض المعركة، حيث شارك ضمن القوات المصرية التي دخلت فلسطين للدفاع عن أهلها في مواجهة العصابات الصهيونية. وقد خاض الشاذلي تجربته القتالية الأولى في ظروف بالغة الصعوبة، عانى فيها الجيش المصري من نقص التسليح وسوء الإدارة السياسية، وهي الدروس القاسية التي حفرها في ذاكرته واستفاد منها لاحقاً في تقييمه لعلاقة القرار السياسي بالأداء العسكري.</w:t>
      </w:r>
    </w:p>
    <w:p>
      <w:pPr>
        <w:bidi/>
        <w:spacing w:before="0" w:after="200" w:line="360" w:lineRule="auto"/>
        <w:jc w:val="both"/>
      </w:pPr>
      <w:r>
        <w:rPr>
          <w:rFonts w:ascii="Arial" w:hAnsi="Arial" w:cs="Arial"/>
          <w:b w:val="0"/>
          <w:sz w:val="28"/>
          <w:szCs w:val="28"/>
          <w:rtl w:val="1"/>
        </w:rPr>
        <w:t>عاش الشاذلي عن قرب مأساة الجندي المصري الذي زُجّ به في معركة دون إعداد كافٍ أو تسليح مناسب، فرأى بعينيه كيف يمكن للقرارات المرتجلة وللفساد الإداري أن يهدرا دماء الأبطال وتضحياتهم. وقد ترك هذا المشهد في نفسه أثراً عميقاً، وزرع فيه قناعة راسخة بأن المعركة تُكسب أو تُخسر قبل أن تبدأ، في غرف التخطيط ومستودعات السلاح وميادين التدريب، لا في ساحة القتال وحدها.</w:t>
      </w:r>
    </w:p>
    <w:p>
      <w:pPr>
        <w:bidi/>
        <w:spacing w:before="0" w:after="200" w:line="360" w:lineRule="auto"/>
        <w:jc w:val="both"/>
      </w:pPr>
      <w:r>
        <w:rPr>
          <w:rFonts w:ascii="Arial" w:hAnsi="Arial" w:cs="Arial"/>
          <w:b w:val="0"/>
          <w:sz w:val="28"/>
          <w:szCs w:val="28"/>
          <w:rtl w:val="1"/>
        </w:rPr>
        <w:t>خرج الشاذلي من تجربة 1948 بقناعات راسخة حول ضرورة بناء جيش وطني محترف، بعيد عن العبث السياسي، يمتلك تسليحاً حديثاً وتدريباً رفيعاً وعقيدة قتالية واضحة. كما أدرك مبكراً أهمية التخطيط الدقيق والاستخبارات الميدانية في حسم المعارك، وهي الدروس التي شكّلت لاحقاً جوهر مدرسته العسكرية.</w:t>
      </w:r>
    </w:p>
    <w:p>
      <w:pPr>
        <w:bidi/>
        <w:spacing w:before="0" w:after="200" w:line="360" w:lineRule="auto"/>
        <w:jc w:val="both"/>
      </w:pPr>
      <w:r>
        <w:rPr>
          <w:rFonts w:ascii="Arial" w:hAnsi="Arial" w:cs="Arial"/>
          <w:b w:val="0"/>
          <w:sz w:val="28"/>
          <w:szCs w:val="28"/>
          <w:rtl w:val="1"/>
        </w:rPr>
        <w:t>لقد كانت فلسطين بالنسبة له مدرسة ميدانية صقلت خبرته وكشفت له عن مواطن الخلل التي ينبغي تجاوزها. فمن رحم هذه التجربة المريرة بدأ يتبلور لديه مشروع الضابط المحترف الذي يضع نصب عينيه إصلاح المؤسسة العسكرية من الداخل، وإعدادها إعداداً علمياً يليق بتضحيات أبنائها، ويجعلها قادرة على حماية الوطن وتحرير أرضه.</w:t>
      </w:r>
    </w:p>
    <w:p>
      <w:pPr>
        <w:bidi/>
        <w:spacing w:before="200" w:after="120" w:line="360" w:lineRule="auto"/>
        <w:jc w:val="right"/>
      </w:pPr>
      <w:r>
        <w:rPr>
          <w:rFonts w:ascii="Arial" w:hAnsi="Arial" w:cs="Arial"/>
          <w:b/>
          <w:color w:val="8B1A1A"/>
          <w:sz w:val="32"/>
          <w:szCs w:val="32"/>
          <w:rtl w:val="1"/>
        </w:rPr>
        <w:t>المبحث الرابع: تأسيس سلاح المظلات والقوات الخاصة</w:t>
      </w:r>
    </w:p>
    <w:p>
      <w:pPr>
        <w:bidi/>
        <w:spacing w:before="0" w:after="200" w:line="360" w:lineRule="auto"/>
        <w:jc w:val="both"/>
      </w:pPr>
      <w:r>
        <w:rPr>
          <w:rFonts w:ascii="Arial" w:hAnsi="Arial" w:cs="Arial"/>
          <w:b w:val="0"/>
          <w:sz w:val="28"/>
          <w:szCs w:val="28"/>
          <w:rtl w:val="1"/>
        </w:rPr>
        <w:t>يُعد الفريق الشاذلي الأب المؤسس لسلاح المظلات في الجيش المصري، فقد أُسند إليه في مطلع الخمسينيات تشكيل أول كتيبة مظلات مصرية وقيادتها، وهو ما يمثل نقلة نوعية في بنية القوات المسلحة المصرية وإدخالها إلى عصر القوات النوعية ذات القدرات الخاصة. وقد بذل الشاذلي جهداً استثنائياً في تدريب هذه القوات وفق أحدث المعايير العالمية، وغرس فيها روح الانضباط والإقدام والاعتماد على النفس.</w:t>
      </w:r>
    </w:p>
    <w:p>
      <w:pPr>
        <w:bidi/>
        <w:spacing w:before="0" w:after="200" w:line="360" w:lineRule="auto"/>
        <w:jc w:val="both"/>
      </w:pPr>
      <w:r>
        <w:rPr>
          <w:rFonts w:ascii="Arial" w:hAnsi="Arial" w:cs="Arial"/>
          <w:b w:val="0"/>
          <w:sz w:val="28"/>
          <w:szCs w:val="28"/>
          <w:rtl w:val="1"/>
        </w:rPr>
        <w:t>لم يكن تأسيس سلاح المظلات مجرد إضافة تنظيمية، بل كان تعبيراً عن فلسفة عسكرية متقدمة آمن بها الشاذلي، تقوم على امتلاك قوات خفيفة الحركة، عالية التدريب، قادرة على تنفيذ مهام نوعية خلف خطوط العدو وفي أصعب الظروف. وقد أشرف الشاذلي بنفسه على اختيار العناصر وتدريبها، وكان قدوة لجنوده في الجَلَد والشجاعة، حتى صار سلاح المظلات والصاعقة من أكثر تشكيلات الجيش المصري كفاءة وهيبة.</w:t>
      </w:r>
    </w:p>
    <w:p>
      <w:pPr>
        <w:bidi/>
        <w:spacing w:before="0" w:after="200" w:line="360" w:lineRule="auto"/>
        <w:jc w:val="both"/>
      </w:pPr>
      <w:r>
        <w:rPr>
          <w:rFonts w:ascii="Arial" w:hAnsi="Arial" w:cs="Arial"/>
          <w:b w:val="0"/>
          <w:sz w:val="28"/>
          <w:szCs w:val="28"/>
          <w:rtl w:val="1"/>
        </w:rPr>
        <w:t>حرص الشاذلي على أن يكون التدريب واقعياً وقاسياً، يحاكي ظروف المعركة الحقيقية، إيماناً منه بأن العَرَق في التدريب يوفّر الدم في الميدان. وقد وضع برامج تدريبية صارمة شملت القفز المظلي، وحرب العصابات، والقتال الليلي، والتسلل، والاشتباك القريب، فأخرج جيلاً من المقاتلين الأشداء الذين شكّلوا نواة القوات الخاصة المصرية التي ذاع صيتها فيما بعد.</w:t>
      </w:r>
    </w:p>
    <w:p>
      <w:pPr>
        <w:bidi/>
        <w:spacing w:before="0" w:after="200" w:line="360" w:lineRule="auto"/>
        <w:jc w:val="both"/>
      </w:pPr>
      <w:r>
        <w:rPr>
          <w:rFonts w:ascii="Arial" w:hAnsi="Arial" w:cs="Arial"/>
          <w:b w:val="0"/>
          <w:sz w:val="28"/>
          <w:szCs w:val="28"/>
          <w:rtl w:val="1"/>
        </w:rPr>
        <w:t>إن إسهام الشاذلي في هذا المجال يتجاوز حدود التأسيس الإداري إلى بناء مدرسة قتالية متكاملة، أمدّت الجيش المصري بكوادر مدرَّبة على أعلى مستوى، كان لها دور بارز في الحروب اللاحقة، وعلى رأسها حرب أكتوبر 1973 التي شهدت أداءً مشهوداً لقوات الصاعقة والمظلات في تأمين العبور والاشتباك مع العدو في عمق سيناء.</w:t>
      </w:r>
    </w:p>
    <w:p>
      <w:pPr>
        <w:bidi/>
        <w:spacing w:before="0" w:after="200" w:line="360" w:lineRule="auto"/>
        <w:jc w:val="both"/>
      </w:pPr>
      <w:r>
        <w:rPr>
          <w:rFonts w:ascii="Arial" w:hAnsi="Arial" w:cs="Arial"/>
          <w:b w:val="0"/>
          <w:sz w:val="28"/>
          <w:szCs w:val="28"/>
          <w:rtl w:val="1"/>
        </w:rPr>
        <w:t>وبفضل هذه الجهود التأسيسية، أصبح اسم الشاذلي مقروناً في الذاكرة العسكرية المصرية بميلاد القوات الخاصة، تلك القوات التي غدت رمزاً للبأس والاحتراف، ومدرسة يتخرّج فيها الصفوة من المقاتلين. وقد ظلت بصمته حاضرة في تكوين هذه القوات وعقيدتها وروحها القتالية، حتى بعد أن انتقل إلى مسؤوليات أكبر في سلّم القيادة العسكرية.</w:t>
      </w:r>
    </w:p>
    <w:p>
      <w:pPr>
        <w:bidi/>
        <w:spacing w:before="200" w:after="120" w:line="360" w:lineRule="auto"/>
        <w:jc w:val="right"/>
      </w:pPr>
      <w:r>
        <w:rPr>
          <w:rFonts w:ascii="Arial" w:hAnsi="Arial" w:cs="Arial"/>
          <w:b/>
          <w:color w:val="8B1A1A"/>
          <w:sz w:val="32"/>
          <w:szCs w:val="32"/>
          <w:rtl w:val="1"/>
        </w:rPr>
        <w:t>المبحث الخامس: المهمة الأممية في الكونغو عام 1960</w:t>
      </w:r>
    </w:p>
    <w:p>
      <w:pPr>
        <w:bidi/>
        <w:spacing w:before="0" w:after="200" w:line="360" w:lineRule="auto"/>
        <w:jc w:val="both"/>
      </w:pPr>
      <w:r>
        <w:rPr>
          <w:rFonts w:ascii="Arial" w:hAnsi="Arial" w:cs="Arial"/>
          <w:b w:val="0"/>
          <w:sz w:val="28"/>
          <w:szCs w:val="28"/>
          <w:rtl w:val="1"/>
        </w:rPr>
        <w:t>في عام 1960 كُلّف الشاذلي بقيادة الكتيبة المصرية المشاركة في قوات الأمم المتحدة لحفظ السلام في الكونغو، في واحدة من أولى المهام الدولية التي يشارك فيها الجيش المصري خارج حدوده. وقد مثّلت هذه المهمة اختباراً مختلفاً لقدراته القيادية، إذ تطلبت منه إدارة قوة عسكرية في بيئة أجنبية معقدة، والتعامل مع أطراف دولية متعددة، والحفاظ على هيبة العلم المصري وانضباط جنوده في ظروف بالغة الحساسية.</w:t>
      </w:r>
    </w:p>
    <w:p>
      <w:pPr>
        <w:bidi/>
        <w:spacing w:before="0" w:after="200" w:line="360" w:lineRule="auto"/>
        <w:jc w:val="both"/>
      </w:pPr>
      <w:r>
        <w:rPr>
          <w:rFonts w:ascii="Arial" w:hAnsi="Arial" w:cs="Arial"/>
          <w:b w:val="0"/>
          <w:sz w:val="28"/>
          <w:szCs w:val="28"/>
          <w:rtl w:val="1"/>
        </w:rPr>
        <w:t>كانت الكونغو آنذاك تعيش اضطرابات سياسية وأمنية حادة في أعقاب استقلالها، وسط تجاذبات القوى الكبرى وصراعات داخلية معقدة. وفي خضم هذه الأوضاع، أدار الشاذلي مهمته بحنكة واتزان، موازناً بين متطلبات الحياد الأممي ومصالح بلاده، وحافظاً على سلامة قواته وانضباطها، فنال بذلك تقديراً واحتراماً من مختلف الأطراف.</w:t>
      </w:r>
    </w:p>
    <w:p>
      <w:pPr>
        <w:bidi/>
        <w:spacing w:before="0" w:after="200" w:line="360" w:lineRule="auto"/>
        <w:jc w:val="both"/>
      </w:pPr>
      <w:r>
        <w:rPr>
          <w:rFonts w:ascii="Arial" w:hAnsi="Arial" w:cs="Arial"/>
          <w:b w:val="0"/>
          <w:sz w:val="28"/>
          <w:szCs w:val="28"/>
          <w:rtl w:val="1"/>
        </w:rPr>
        <w:t>أبدى الشاذلي في الكونغو كفاءة عالية في القيادة والإدارة، ونال تقديراً دولياً لأدائه المتزن وحرصه على تنفيذ المهمة الأممية بحياد واقتدار. وقد أتاحت له هذه التجربة احتكاكاً مباشراً بالعقليات العسكرية الغربية وأساليبها في القيادة والسيطرة، فأثرت خبرته العملياتية ووسّعت مداركه الاستراتيجية، وعزّزت قناعته بأهمية الانضباط والاحترافية في بناء القوة العسكرية.</w:t>
      </w:r>
    </w:p>
    <w:p>
      <w:pPr>
        <w:bidi/>
        <w:spacing w:before="0" w:after="200" w:line="360" w:lineRule="auto"/>
        <w:jc w:val="both"/>
      </w:pPr>
      <w:r>
        <w:rPr>
          <w:rFonts w:ascii="Arial" w:hAnsi="Arial" w:cs="Arial"/>
          <w:b w:val="0"/>
          <w:sz w:val="28"/>
          <w:szCs w:val="28"/>
          <w:rtl w:val="1"/>
        </w:rPr>
        <w:t>لقد كانت تجربة الكونغو إضافة نوعية إلى رصيد الشاذلي القيادي، إذ نقلته من ميدان القتال المباشر إلى رحاب العمل العسكري الدولي بكل تعقيداته السياسية والدبلوماسية. وقد أكسبته هذه التجربة بُعداً جديداً في التفكير الاستراتيجي، وجعلته أكثر إدراكاً للأبعاد الدولية للصراعات، وهو ما سيفيده لاحقاً حين يتولى مسؤوليات كبرى تتقاطع فيها الاعتبارات العسكرية مع الحسابات السياسية الإقليمية والدولية.</w:t>
      </w:r>
    </w:p>
    <w:p>
      <w:pPr>
        <w:bidi/>
        <w:spacing w:before="200" w:after="120" w:line="360" w:lineRule="auto"/>
        <w:jc w:val="right"/>
      </w:pPr>
      <w:r>
        <w:rPr>
          <w:rFonts w:ascii="Arial" w:hAnsi="Arial" w:cs="Arial"/>
          <w:b/>
          <w:color w:val="8B1A1A"/>
          <w:sz w:val="32"/>
          <w:szCs w:val="32"/>
          <w:rtl w:val="1"/>
        </w:rPr>
        <w:t>المبحث السادس: اختبار القيادة في حربي 1956 و1967</w:t>
      </w:r>
    </w:p>
    <w:p>
      <w:pPr>
        <w:bidi/>
        <w:spacing w:before="0" w:after="200" w:line="360" w:lineRule="auto"/>
        <w:jc w:val="both"/>
      </w:pPr>
      <w:r>
        <w:rPr>
          <w:rFonts w:ascii="Arial" w:hAnsi="Arial" w:cs="Arial"/>
          <w:b w:val="0"/>
          <w:sz w:val="28"/>
          <w:szCs w:val="28"/>
          <w:rtl w:val="1"/>
        </w:rPr>
        <w:t>خلال العدوان الثلاثي على مصر عام 1956، كان الشاذلي على رأس قواته من المظليين، يخوض المواجهة دفاعاً عن أرض الوطن ضد التحالف الثلاثي البريطاني الفرنسي الإسرائيلي. وقد عزّزت هذه التجربة من رصيده القتالي وأكسبته خبرة إضافية في إدارة المعارك في ظروف التفوق العددي والتقني للعدو، وأثبتت جدارة القوات الخاصة التي أسهم في بنائها.</w:t>
      </w:r>
    </w:p>
    <w:p>
      <w:pPr>
        <w:bidi/>
        <w:spacing w:before="0" w:after="200" w:line="360" w:lineRule="auto"/>
        <w:jc w:val="both"/>
      </w:pPr>
      <w:r>
        <w:rPr>
          <w:rFonts w:ascii="Arial" w:hAnsi="Arial" w:cs="Arial"/>
          <w:b w:val="0"/>
          <w:sz w:val="28"/>
          <w:szCs w:val="28"/>
          <w:rtl w:val="1"/>
        </w:rPr>
        <w:t>أما في حرب يونيو 1967، فقد تجلّت قدرات الشاذلي القيادية في أصعب لحظات الجيش المصري؛ إذ كان يقود مجموعة قتالية عُرفت باسم «مجموعة الشاذلي» في القطاع الأوسط من الجبهة. وحين انهارت الجبهة وصدرت أوامر الانسحاب الفوضوية، استطاع الشاذلي بحنكة نادرة أن ينفّذ انسحاباً منظماً لقواته عبر الصحراء، محافظاً على تماسكها وتسليحها وأرواح جنوده، في وقت تشتت فيه كثير من التشكيلات.</w:t>
      </w:r>
    </w:p>
    <w:p>
      <w:pPr>
        <w:bidi/>
        <w:spacing w:before="0" w:after="200" w:line="360" w:lineRule="auto"/>
        <w:jc w:val="both"/>
      </w:pPr>
      <w:r>
        <w:rPr>
          <w:rFonts w:ascii="Arial" w:hAnsi="Arial" w:cs="Arial"/>
          <w:b w:val="0"/>
          <w:sz w:val="28"/>
          <w:szCs w:val="28"/>
          <w:rtl w:val="1"/>
        </w:rPr>
        <w:t>وقد سُجّل هذا الموقف باعتباره نموذجاً للقيادة الرشيدة وسط الكارثة؛ فبينما عمّت الفوضى وضاعت السيطرة على كثير من الوحدات، حافظ الشاذلي على رباطة جأشه وعلى تماسك مجموعته، وأدار انسحاباً تكتيكياً يُدرّس في كليات الأركان. لقد كان هذا الموقف شهادة على معدنه القيادي الذي يسطع في أحلك الظروف، وعلى قدرته على اتخاذ القرار الصائب تحت أقسى الضغوط.</w:t>
      </w:r>
    </w:p>
    <w:p>
      <w:pPr>
        <w:bidi/>
        <w:spacing w:before="0" w:after="200" w:line="360" w:lineRule="auto"/>
        <w:jc w:val="both"/>
      </w:pPr>
      <w:r>
        <w:rPr>
          <w:rFonts w:ascii="Arial" w:hAnsi="Arial" w:cs="Arial"/>
          <w:b w:val="0"/>
          <w:sz w:val="28"/>
          <w:szCs w:val="28"/>
          <w:rtl w:val="1"/>
        </w:rPr>
        <w:t>لقد كشفت نكسة 1967 للشاذلي بوضوح حجم الخلل في العقيدة القتالية والتخطيط والإدارة، وعمّقت لديه الإيمان بضرورة إعادة بناء الجيش على أسس علمية صارمة. ومن رحم هذه الهزيمة تبلورت لديه ملامح المشروع الذي سيقوده لاحقاً، والقائم على إعداد جندي مدرَّب وعقيدة واضحة وخطة واقعية تأخذ في حسبانها إمكانات الجيش الحقيقية لا أحلامه المجردة.</w:t>
      </w:r>
    </w:p>
    <w:p>
      <w:pPr>
        <w:bidi/>
        <w:spacing w:before="0" w:after="200" w:line="360" w:lineRule="auto"/>
        <w:jc w:val="both"/>
      </w:pPr>
      <w:r>
        <w:rPr>
          <w:rFonts w:ascii="Arial" w:hAnsi="Arial" w:cs="Arial"/>
          <w:b w:val="0"/>
          <w:sz w:val="28"/>
          <w:szCs w:val="28"/>
          <w:rtl w:val="1"/>
        </w:rPr>
        <w:t>وهكذا، كانت تجربتا 1956 و1967 محطتين فاصلتين في تكوين الشاذلي القيادي؛ ففيهما اختبر معدنه في النصر والمحنة، وراكم خبرة ميدانية نادرة، واستخلص دروساً استراتيجية عميقة. وقد حوّل هذه الدروس إلى رؤية إصلاحية شاملة، ستجد طريقها إلى التطبيق حين يتولى المسؤولية الكبرى ويصبح المهندس الأول لإعادة بناء الجيش المصري وإعداده لمعركة التحرير.</w:t>
      </w:r>
    </w:p>
    <w:p>
      <w:pPr>
        <w:bidi/>
        <w:spacing w:before="200" w:after="120" w:line="360" w:lineRule="auto"/>
        <w:jc w:val="right"/>
      </w:pPr>
      <w:r>
        <w:rPr>
          <w:rFonts w:ascii="Arial" w:hAnsi="Arial" w:cs="Arial"/>
          <w:b/>
          <w:color w:val="8B1A1A"/>
          <w:sz w:val="32"/>
          <w:szCs w:val="32"/>
          <w:rtl w:val="1"/>
        </w:rPr>
        <w:t>المبحث السابع: قيادة منطقة البحر الأحمر وحرب الاستنزاف</w:t>
      </w:r>
    </w:p>
    <w:p>
      <w:pPr>
        <w:bidi/>
        <w:spacing w:before="0" w:after="200" w:line="360" w:lineRule="auto"/>
        <w:jc w:val="both"/>
      </w:pPr>
      <w:r>
        <w:rPr>
          <w:rFonts w:ascii="Arial" w:hAnsi="Arial" w:cs="Arial"/>
          <w:b w:val="0"/>
          <w:sz w:val="28"/>
          <w:szCs w:val="28"/>
          <w:rtl w:val="1"/>
        </w:rPr>
        <w:t>بعد نكسة 1967، تولى الشاذلي قيادة منطقة البحر الأحمر العسكرية في مرحلة دقيقة من إعادة بناء القوات المسلحة، حيث كانت مصر تخوض حرب الاستنزاف ضد العدو الإسرائيلي على طول الجبهة. وقد أدار الشاذلي قطاعه بكفاءة عالية، ونظّم عدداً من العمليات النوعية والإغارات التي رفعت من الروح المعنوية للجنود وأنزلت بالعدو خسائر مؤثرة، مؤكداً أن الجيش المصري قادر على استعادة المبادرة.</w:t>
      </w:r>
    </w:p>
    <w:p>
      <w:pPr>
        <w:bidi/>
        <w:spacing w:before="0" w:after="200" w:line="360" w:lineRule="auto"/>
        <w:jc w:val="both"/>
      </w:pPr>
      <w:r>
        <w:rPr>
          <w:rFonts w:ascii="Arial" w:hAnsi="Arial" w:cs="Arial"/>
          <w:b w:val="0"/>
          <w:sz w:val="28"/>
          <w:szCs w:val="28"/>
          <w:rtl w:val="1"/>
        </w:rPr>
        <w:t>اعتمد الشاذلي في إدارته لحرب الاستنزاف على فلسفة الاستنزاف الفعّال، القائمة على ضربات نوعية محسوبة تُلحق بالعدو خسائر متواصلة دون استنزاف مفرط للقوات الصديقة. وقد استثمر في هذه المرحلة خبرته في حرب القوات الخاصة، فنفّذ عمليات تسلل وإغارة جريئة خلف خطوط العدو، أثبتت أن سيناء المحتلة ليست آمنة، وأن إرادة المقاومة المصرية لم تنكسر رغم النكسة.</w:t>
      </w:r>
    </w:p>
    <w:p>
      <w:pPr>
        <w:bidi/>
        <w:spacing w:before="0" w:after="200" w:line="360" w:lineRule="auto"/>
        <w:jc w:val="both"/>
      </w:pPr>
      <w:r>
        <w:rPr>
          <w:rFonts w:ascii="Arial" w:hAnsi="Arial" w:cs="Arial"/>
          <w:b w:val="0"/>
          <w:sz w:val="28"/>
          <w:szCs w:val="28"/>
          <w:rtl w:val="1"/>
        </w:rPr>
        <w:t>شكّلت هذه المرحلة حلقة وصل أساسية بين هزيمة 1967 ونصر 1973؛ فقد كانت حرب الاستنزاف بمثابة المختبر الميداني الذي أُعيد فيه بناء ثقة الجندي المصري بنفسه، واختُبرت فيه الأساليب القتالية الجديدة، وصُقلت فيه الكوادر التي ستقود معركة العبور. وقد لعب الشاذلي دوراً محورياً في هذه العملية، إذ جمع بين الإدارة الحازمة والتخطيط الدقيق وروح المبادرة.</w:t>
      </w:r>
    </w:p>
    <w:p>
      <w:pPr>
        <w:bidi/>
        <w:spacing w:before="0" w:after="200" w:line="360" w:lineRule="auto"/>
        <w:jc w:val="both"/>
      </w:pPr>
      <w:r>
        <w:rPr>
          <w:rFonts w:ascii="Arial" w:hAnsi="Arial" w:cs="Arial"/>
          <w:b w:val="0"/>
          <w:sz w:val="28"/>
          <w:szCs w:val="28"/>
          <w:rtl w:val="1"/>
        </w:rPr>
        <w:t>لقد أدرك الشاذلي خلال هذه السنوات أن استعادة الأرض لن تتحقق إلا بإعداد طويل النفس، علمي ومنهجي، يعالج جذور الخلل ولا يكتفي بمعالجة أعراضه. ومن ثمّ أرسى دعائم العقيدة القتالية الهجومية، ورفع مستوى التدريب، وأعاد للجندي إيمانه بقدرته على هزيمة عدو طالما رُوّج لتفوقه الأسطوري، فمهّد بذلك الطريق نفسياً ومادياً لمعركة العبور.</w:t>
      </w:r>
    </w:p>
    <w:p>
      <w:pPr>
        <w:bidi/>
        <w:spacing w:before="0" w:after="200" w:line="360" w:lineRule="auto"/>
        <w:jc w:val="both"/>
      </w:pPr>
      <w:r>
        <w:rPr>
          <w:rFonts w:ascii="Arial" w:hAnsi="Arial" w:cs="Arial"/>
          <w:b w:val="0"/>
          <w:sz w:val="28"/>
          <w:szCs w:val="28"/>
          <w:rtl w:val="1"/>
        </w:rPr>
        <w:t>وهكذا، ومع نهاية هذه المرحلة، كان الشاذلي قد راكم رصيداً هائلاً من الخبرة العملياتية والقيادية، يمتد من ميادين فلسطين إلى أدغال الكونغو، ومن تأسيس القوات الخاصة إلى إدارة الجبهات، ليصبح بحق المرشح الأقدر لتولي المسؤولية الكبرى في إعداد الجيش لمعركة التحرير، وهو ما تحقق فعلاً بتعيينه رئيساً لأركان حرب القوات المسلحة في مايو عام 1971.</w:t>
      </w:r>
    </w:p>
    <w:p>
      <w:r>
        <w:br w:type="page"/>
      </w:r>
    </w:p>
    <w:p>
      <w:pPr>
        <w:bidi/>
        <w:spacing w:before="0" w:after="80" w:line="360" w:lineRule="auto"/>
        <w:jc w:val="center"/>
      </w:pPr>
      <w:r>
        <w:rPr>
          <w:rFonts w:ascii="Arial" w:hAnsi="Arial" w:cs="Arial"/>
          <w:b/>
          <w:color w:val="8B1A1A"/>
          <w:sz w:val="30"/>
          <w:szCs w:val="30"/>
          <w:rtl w:val="1"/>
        </w:rPr>
        <w:t>القسم الثاني</w:t>
      </w:r>
    </w:p>
    <w:p>
      <w:pPr>
        <w:bidi/>
        <w:spacing w:before="0" w:after="200" w:line="360" w:lineRule="auto"/>
        <w:jc w:val="center"/>
      </w:pPr>
      <w:r>
        <w:rPr>
          <w:rFonts w:ascii="Arial" w:hAnsi="Arial" w:cs="Arial"/>
          <w:b/>
          <w:color w:val="8B1A1A"/>
          <w:sz w:val="44"/>
          <w:szCs w:val="44"/>
          <w:rtl w:val="1"/>
        </w:rPr>
        <w:t>صانع نصر أكتوبر ومسيرة ما بعد الحرب</w:t>
      </w:r>
    </w:p>
    <w:p>
      <w:pPr>
        <w:bidi/>
        <w:jc w:val="center"/>
      </w:pPr>
      <w:r>
        <w:rPr>
          <w:rFonts w:ascii="Arial" w:hAnsi="Arial" w:cs="Arial"/>
          <w:b w:val="0"/>
          <w:color w:val="8B1A1A"/>
          <w:sz w:val="28"/>
          <w:szCs w:val="28"/>
          <w:rtl w:val="1"/>
        </w:rPr>
        <w:t>ـــــــــــــــــــــــــــــــــــــــــــــ</w:t>
      </w:r>
    </w:p>
    <w:p/>
    <w:p>
      <w:pPr>
        <w:bidi/>
        <w:spacing w:before="200" w:after="120" w:line="360" w:lineRule="auto"/>
        <w:jc w:val="right"/>
      </w:pPr>
      <w:r>
        <w:rPr>
          <w:rFonts w:ascii="Arial" w:hAnsi="Arial" w:cs="Arial"/>
          <w:b/>
          <w:color w:val="8B1A1A"/>
          <w:sz w:val="32"/>
          <w:szCs w:val="32"/>
          <w:rtl w:val="1"/>
        </w:rPr>
        <w:t>المبحث الأول: رئاسة الأركان وإعادة بناء الجيش (1971–1973)</w:t>
      </w:r>
    </w:p>
    <w:p>
      <w:pPr>
        <w:bidi/>
        <w:spacing w:before="0" w:after="200" w:line="360" w:lineRule="auto"/>
        <w:jc w:val="both"/>
      </w:pPr>
      <w:r>
        <w:rPr>
          <w:rFonts w:ascii="Arial" w:hAnsi="Arial" w:cs="Arial"/>
          <w:b w:val="0"/>
          <w:sz w:val="28"/>
          <w:szCs w:val="28"/>
          <w:rtl w:val="1"/>
        </w:rPr>
        <w:t>في السادس عشر من مايو عام 1971، أصدر الرئيس محمد أنور السادات قراراً بتعيين الفريق سعد الدين الشاذلي رئيساً لأركان حرب القوات المسلحة المصرية، في خطوة شكّلت منعطفاً حاسماً في مسار الإعداد للحرب. فقد جاء اختيار الشاذلي لهذا المنصب تتويجاً لمسيرة حافلة بالخبرة الميدانية والكفاءة القيادية، وثقةً في قدرته على قيادة عملية إعادة بناء الجيش وتأهيله لخوض معركة تحرير الأرض.</w:t>
      </w:r>
    </w:p>
    <w:p>
      <w:pPr>
        <w:bidi/>
        <w:spacing w:before="0" w:after="200" w:line="360" w:lineRule="auto"/>
        <w:jc w:val="both"/>
      </w:pPr>
      <w:r>
        <w:rPr>
          <w:rFonts w:ascii="Arial" w:hAnsi="Arial" w:cs="Arial"/>
          <w:b w:val="0"/>
          <w:sz w:val="28"/>
          <w:szCs w:val="28"/>
          <w:rtl w:val="1"/>
        </w:rPr>
        <w:t>تولى الشاذلي مهامه في ظرف بالغ الدقة، إذ كان الجيش المصري لا يزال يحمل آثار نكسة 1967، وكانت إسرائيل تتمترس خلف خط بارليف الحصين على الضفة الشرقية لقناة السويس، واثقةً من تفوقها الجوي والتقني. وقد انكبّ الشاذلي على عمله بمنهجية علمية صارمة، فأعاد تنظيم القوات وتدريبها على نحو مكثف وواقعي، وركّز على رفع كفاءة الجندي الفرد، وبناء عقيدة قتالية هجومية تقوم على الانضباط والمبادرة والثقة بالنفس.</w:t>
      </w:r>
    </w:p>
    <w:p>
      <w:pPr>
        <w:bidi/>
        <w:spacing w:before="0" w:after="200" w:line="360" w:lineRule="auto"/>
        <w:jc w:val="both"/>
      </w:pPr>
      <w:r>
        <w:rPr>
          <w:rFonts w:ascii="Arial" w:hAnsi="Arial" w:cs="Arial"/>
          <w:b w:val="0"/>
          <w:sz w:val="28"/>
          <w:szCs w:val="28"/>
          <w:rtl w:val="1"/>
        </w:rPr>
        <w:t>عمل الشاذلي على إعادة هيكلة القوات المسلحة وتطوير منظومات القيادة والسيطرة، وأولى عناية فائقة بالتدريب القتالي المتكرر الذي يحاكي ظروف المعركة الحقيقية. وقد كرّر الجيش المصري عملية العبور الافتراضية مئات المرات في تدريبات سرية، حتى أتقن كل جندي وكل وحدة دورها بدقة متناهية، فتحول العبور من حلم بعيد إلى مهمة مدروسة قابلة للتنفيذ بأقل الخسائر الممكنة.</w:t>
      </w:r>
    </w:p>
    <w:p>
      <w:pPr>
        <w:bidi/>
        <w:spacing w:before="0" w:after="200" w:line="360" w:lineRule="auto"/>
        <w:jc w:val="both"/>
      </w:pPr>
      <w:r>
        <w:rPr>
          <w:rFonts w:ascii="Arial" w:hAnsi="Arial" w:cs="Arial"/>
          <w:b w:val="0"/>
          <w:sz w:val="28"/>
          <w:szCs w:val="28"/>
          <w:rtl w:val="1"/>
        </w:rPr>
        <w:t>أدرك الشاذلي أن جوهر التحدي يكمن في كيفية التغلب على نقاط ضعف الجيش المصري وتعظيم نقاط قوته، فبنى استراتيجيته على مبدأ «المعركة ذات الهدف المحدود»، الذي يتجنب الاندفاع غير المحسوب نحو عمق سيناء حيث يتفوق الطيران الإسرائيلي، ويكتفي بعبور القناة وإقامة رؤوس جسور على الضفة الشرقية ضمن مظلة الدفاع الجوي الصاروخي.</w:t>
      </w:r>
    </w:p>
    <w:p>
      <w:pPr>
        <w:bidi/>
        <w:spacing w:before="0" w:after="200" w:line="360" w:lineRule="auto"/>
        <w:jc w:val="both"/>
      </w:pPr>
      <w:r>
        <w:rPr>
          <w:rFonts w:ascii="Arial" w:hAnsi="Arial" w:cs="Arial"/>
          <w:b w:val="0"/>
          <w:sz w:val="28"/>
          <w:szCs w:val="28"/>
          <w:rtl w:val="1"/>
        </w:rPr>
        <w:t>لقد كان هذا المبدأ تعبيراً عن نضج فكري عسكري نادر، يوازن بين الطموح الوطني والإمكانات الواقعية المتاحة. فالشاذلي لم يكن من أصحاب الشعارات الكبرى التي تتجاوز القدرات، بل كان عسكرياً واقعياً يبني خططه على معطيات ميزان القوى الفعلي، ويسعى إلى تحقيق نصر ممكن لا نصر متخيَّل، وهو ما جعل خطته قابلة للتطبيق وكفيلة بتحقيق المفاجأة وتغيير قواعد اللعبة.</w:t>
      </w:r>
    </w:p>
    <w:p>
      <w:pPr>
        <w:bidi/>
        <w:spacing w:before="200" w:after="120" w:line="360" w:lineRule="auto"/>
        <w:jc w:val="right"/>
      </w:pPr>
      <w:r>
        <w:rPr>
          <w:rFonts w:ascii="Arial" w:hAnsi="Arial" w:cs="Arial"/>
          <w:b/>
          <w:color w:val="8B1A1A"/>
          <w:sz w:val="32"/>
          <w:szCs w:val="32"/>
          <w:rtl w:val="1"/>
        </w:rPr>
        <w:t>المبحث الثاني: الفكر العسكري والتخطيط للعبور (خطة بدر والمآذن العالية)</w:t>
      </w:r>
    </w:p>
    <w:p>
      <w:pPr>
        <w:bidi/>
        <w:spacing w:before="0" w:after="200" w:line="360" w:lineRule="auto"/>
        <w:jc w:val="both"/>
      </w:pPr>
      <w:r>
        <w:rPr>
          <w:rFonts w:ascii="Arial" w:hAnsi="Arial" w:cs="Arial"/>
          <w:b w:val="0"/>
          <w:sz w:val="28"/>
          <w:szCs w:val="28"/>
          <w:rtl w:val="1"/>
        </w:rPr>
        <w:t>يمثّل التخطيط لعملية العبور ذروة العبقرية العسكرية للفريق الشاذلي، فقد قاد فريقاً من خيرة ضباط الأركان لوضع خطة محكمة لاقتحام قناة السويس وتدمير خط بارليف، عُرفت في مراحلها السرية باسم خطة «المآذن العالية»، فيما حملت العملية الهجومية الكبرى الاسم الرمزي «بدر»، تيمناً بغزوة بدر الكبرى التي وقعت في شهر رمضان المبارك.</w:t>
      </w:r>
    </w:p>
    <w:p>
      <w:pPr>
        <w:bidi/>
        <w:spacing w:before="0" w:after="200" w:line="360" w:lineRule="auto"/>
        <w:jc w:val="both"/>
      </w:pPr>
      <w:r>
        <w:rPr>
          <w:rFonts w:ascii="Arial" w:hAnsi="Arial" w:cs="Arial"/>
          <w:b w:val="0"/>
          <w:sz w:val="28"/>
          <w:szCs w:val="28"/>
          <w:rtl w:val="1"/>
        </w:rPr>
        <w:t>كان خط بارليف يُعد في نظر العدو والعالم خطاً منيعاً يستحيل اختراقه، إذ ضمّ ساتراً ترابياً ضخماً ارتفعت بعض أجزائه إلى عشرات الأمتار، تعلوه نقاط حصينة وحقول ألغام وخزانات للوقود يمكن إشعالها لتحويل مياه القناة إلى جحيم. وأمام هذا التحدي الهائل، أعمل الشاذلي وفريقه العقل والعلم، فابتكروا حلولاً عبقرية بسيطة في فكرتها، فعّالة في نتيجتها.</w:t>
      </w:r>
    </w:p>
    <w:p>
      <w:pPr>
        <w:bidi/>
        <w:spacing w:before="0" w:after="200" w:line="360" w:lineRule="auto"/>
        <w:jc w:val="both"/>
      </w:pPr>
      <w:r>
        <w:rPr>
          <w:rFonts w:ascii="Arial" w:hAnsi="Arial" w:cs="Arial"/>
          <w:b w:val="0"/>
          <w:sz w:val="28"/>
          <w:szCs w:val="28"/>
          <w:rtl w:val="1"/>
        </w:rPr>
        <w:t>تكمن عبقرية الخطة في معالجتها العلمية للعقبات التي كانت تبدو مستحيلة، ومن أبرز ملامحها:</w:t>
      </w:r>
    </w:p>
    <w:p>
      <w:pPr>
        <w:bidi/>
        <w:spacing w:after="120" w:line="360" w:lineRule="auto"/>
        <w:ind w:right="340"/>
        <w:jc w:val="both"/>
      </w:pPr>
      <w:r>
        <w:rPr>
          <w:rFonts w:ascii="Arial" w:hAnsi="Arial" w:cs="Arial"/>
          <w:b/>
          <w:color w:val="8B1A1A"/>
          <w:sz w:val="24"/>
          <w:szCs w:val="24"/>
          <w:rtl w:val="1"/>
        </w:rPr>
        <w:t xml:space="preserve">◆  </w:t>
      </w:r>
      <w:r>
        <w:rPr>
          <w:rFonts w:ascii="Arial" w:hAnsi="Arial" w:cs="Arial"/>
          <w:b w:val="0"/>
          <w:sz w:val="28"/>
          <w:szCs w:val="28"/>
          <w:rtl w:val="1"/>
        </w:rPr>
        <w:t>التغلب على الساتر الترابي الضخم لخط بارليف عبر استخدام مضخات المياه ذات الضغط العالي لفتح الثغرات في الساتر الرملي بدلاً من الوسائل التقليدية البطيئة، وهي فكرة بسيطة وعبقرية وفّرت الوقت والأرواح.</w:t>
      </w:r>
    </w:p>
    <w:p>
      <w:pPr>
        <w:bidi/>
        <w:spacing w:after="120" w:line="360" w:lineRule="auto"/>
        <w:ind w:right="340"/>
        <w:jc w:val="both"/>
      </w:pPr>
      <w:r>
        <w:rPr>
          <w:rFonts w:ascii="Arial" w:hAnsi="Arial" w:cs="Arial"/>
          <w:b/>
          <w:color w:val="8B1A1A"/>
          <w:sz w:val="24"/>
          <w:szCs w:val="24"/>
          <w:rtl w:val="1"/>
        </w:rPr>
        <w:t xml:space="preserve">◆  </w:t>
      </w:r>
      <w:r>
        <w:rPr>
          <w:rFonts w:ascii="Arial" w:hAnsi="Arial" w:cs="Arial"/>
          <w:b w:val="0"/>
          <w:sz w:val="28"/>
          <w:szCs w:val="28"/>
          <w:rtl w:val="1"/>
        </w:rPr>
        <w:t>تحييد التفوق الجوي الإسرائيلي بإبقاء القوات تحت مظلة حائط الصواريخ المضادة للطائرات على عمق محدود لا يتجاوز قدرة الدفاع الجوي على الحماية.</w:t>
      </w:r>
    </w:p>
    <w:p>
      <w:pPr>
        <w:bidi/>
        <w:spacing w:after="120" w:line="360" w:lineRule="auto"/>
        <w:ind w:right="340"/>
        <w:jc w:val="both"/>
      </w:pPr>
      <w:r>
        <w:rPr>
          <w:rFonts w:ascii="Arial" w:hAnsi="Arial" w:cs="Arial"/>
          <w:b/>
          <w:color w:val="8B1A1A"/>
          <w:sz w:val="24"/>
          <w:szCs w:val="24"/>
          <w:rtl w:val="1"/>
        </w:rPr>
        <w:t xml:space="preserve">◆  </w:t>
      </w:r>
      <w:r>
        <w:rPr>
          <w:rFonts w:ascii="Arial" w:hAnsi="Arial" w:cs="Arial"/>
          <w:b w:val="0"/>
          <w:sz w:val="28"/>
          <w:szCs w:val="28"/>
          <w:rtl w:val="1"/>
        </w:rPr>
        <w:t>تحقيق المفاجأة الاستراتيجية والتكتيكية عبر إجراءات خداع دقيقة أخفت توقيت العملية ونواياها عن العدو حتى اللحظة الأخيرة.</w:t>
      </w:r>
    </w:p>
    <w:p>
      <w:pPr>
        <w:bidi/>
        <w:spacing w:after="120" w:line="360" w:lineRule="auto"/>
        <w:ind w:right="340"/>
        <w:jc w:val="both"/>
      </w:pPr>
      <w:r>
        <w:rPr>
          <w:rFonts w:ascii="Arial" w:hAnsi="Arial" w:cs="Arial"/>
          <w:b/>
          <w:color w:val="8B1A1A"/>
          <w:sz w:val="24"/>
          <w:szCs w:val="24"/>
          <w:rtl w:val="1"/>
        </w:rPr>
        <w:t xml:space="preserve">◆  </w:t>
      </w:r>
      <w:r>
        <w:rPr>
          <w:rFonts w:ascii="Arial" w:hAnsi="Arial" w:cs="Arial"/>
          <w:b w:val="0"/>
          <w:sz w:val="28"/>
          <w:szCs w:val="28"/>
          <w:rtl w:val="1"/>
        </w:rPr>
        <w:t>تنظيم عبور خمس فرق مشاة معزَّزة في توقيت متزامن عبر القناة خلال ساعات قليلة، وفق جداول زمنية محسوبة بدقة متناهية.</w:t>
      </w:r>
    </w:p>
    <w:p>
      <w:pPr>
        <w:bidi/>
        <w:spacing w:after="120" w:line="360" w:lineRule="auto"/>
        <w:ind w:right="340"/>
        <w:jc w:val="both"/>
      </w:pPr>
      <w:r>
        <w:rPr>
          <w:rFonts w:ascii="Arial" w:hAnsi="Arial" w:cs="Arial"/>
          <w:b/>
          <w:color w:val="8B1A1A"/>
          <w:sz w:val="24"/>
          <w:szCs w:val="24"/>
          <w:rtl w:val="1"/>
        </w:rPr>
        <w:t xml:space="preserve">◆  </w:t>
      </w:r>
      <w:r>
        <w:rPr>
          <w:rFonts w:ascii="Arial" w:hAnsi="Arial" w:cs="Arial"/>
          <w:b w:val="0"/>
          <w:sz w:val="28"/>
          <w:szCs w:val="28"/>
          <w:rtl w:val="1"/>
        </w:rPr>
        <w:t>الاعتماد على أسلحة مضادة للدبابات محمولة على الأكتاف لتمكين المشاة من صدّ الهجمات المدرعة الإسرائيلية المضادة في الساعات الأولى الحرجة.</w:t>
      </w:r>
    </w:p>
    <w:p>
      <w:pPr>
        <w:bidi/>
        <w:spacing w:before="0" w:after="200" w:line="360" w:lineRule="auto"/>
        <w:jc w:val="both"/>
      </w:pPr>
      <w:r>
        <w:rPr>
          <w:rFonts w:ascii="Arial" w:hAnsi="Arial" w:cs="Arial"/>
          <w:b w:val="0"/>
          <w:sz w:val="28"/>
          <w:szCs w:val="28"/>
          <w:rtl w:val="1"/>
        </w:rPr>
        <w:t>لقد جسّدت هذه الخطة فلسفة الشاذلي العسكرية القائمة على أن النصر لا يُصنع بالعتاد وحده، بل بالعقل المخطِّط والإرادة المنفِّذة. وقد حرص على أن تُترجم الخطة إلى تدريبات عملية متكررة، تكرّرت آلاف المرات حتى أتقن كل جندي دوره بدقة، فتحوّل المستحيل في أذهان الكثيرين إلى واقع قابل للتنفيذ.</w:t>
      </w:r>
    </w:p>
    <w:p>
      <w:pPr>
        <w:bidi/>
        <w:spacing w:before="0" w:after="200" w:line="360" w:lineRule="auto"/>
        <w:jc w:val="both"/>
      </w:pPr>
      <w:r>
        <w:rPr>
          <w:rFonts w:ascii="Arial" w:hAnsi="Arial" w:cs="Arial"/>
          <w:b w:val="0"/>
          <w:sz w:val="28"/>
          <w:szCs w:val="28"/>
          <w:rtl w:val="1"/>
        </w:rPr>
        <w:t>إن خطة العبور كما صاغها الشاذلي تُدرَّس اليوم في كبرى الأكاديميات العسكرية حول العالم باعتبارها نموذجاً فريداً في فن إدارة الحرب، وفي كيفية تحويل التفوق المعنوي والتخطيط الذكي إلى عامل حاسم يعوّض الفارق في الإمكانات المادية، ويصنع نصراً يغيّر مجرى التاريخ.</w:t>
      </w:r>
    </w:p>
    <w:p>
      <w:pPr>
        <w:bidi/>
        <w:spacing w:before="200" w:after="120" w:line="360" w:lineRule="auto"/>
        <w:jc w:val="right"/>
      </w:pPr>
      <w:r>
        <w:rPr>
          <w:rFonts w:ascii="Arial" w:hAnsi="Arial" w:cs="Arial"/>
          <w:b/>
          <w:color w:val="8B1A1A"/>
          <w:sz w:val="32"/>
          <w:szCs w:val="32"/>
          <w:rtl w:val="1"/>
        </w:rPr>
        <w:t>المبحث الثالث: إدارة معركة العبور في أكتوبر 1973</w:t>
      </w:r>
    </w:p>
    <w:p>
      <w:pPr>
        <w:bidi/>
        <w:spacing w:before="0" w:after="200" w:line="360" w:lineRule="auto"/>
        <w:jc w:val="both"/>
      </w:pPr>
      <w:r>
        <w:rPr>
          <w:rFonts w:ascii="Arial" w:hAnsi="Arial" w:cs="Arial"/>
          <w:b w:val="0"/>
          <w:sz w:val="28"/>
          <w:szCs w:val="28"/>
          <w:rtl w:val="1"/>
        </w:rPr>
        <w:t>في تمام الساعة الثانية وخمس دقائق من بعد ظهر يوم السادس من أكتوبر عام 1973، الموافق العاشر من رمضان، انطلقت شرارة العملية «بدر»، فاندفعت القوات المصرية لعبور قناة السويس في مشهد مهيب سجّله التاريخ بأحرف من نور. وقد نجح الجيش المصري، تحت إشراف الشاذلي بوصفه رئيساً للأركان، في عبور القناة وتحطيم خط بارليف الذي طالما رُوّج لكونه خطاً منيعاً يستحيل اختراقه، وذلك خلال ساعات معدودة وبخسائر أقل بكثير من كل التوقعات.</w:t>
      </w:r>
    </w:p>
    <w:p>
      <w:pPr>
        <w:bidi/>
        <w:spacing w:before="0" w:after="200" w:line="360" w:lineRule="auto"/>
        <w:jc w:val="both"/>
      </w:pPr>
      <w:r>
        <w:rPr>
          <w:rFonts w:ascii="Arial" w:hAnsi="Arial" w:cs="Arial"/>
          <w:b w:val="0"/>
          <w:sz w:val="28"/>
          <w:szCs w:val="28"/>
          <w:rtl w:val="1"/>
        </w:rPr>
        <w:t>كانت اللحظات الأولى للعبور حاسمة؛ إذ تدفّق آلاف الجنود في قوارب مطاطية، ورفعوا أعلام مصر فوق تحصينات العدو، بينما عملت مضخات المياه على فتح الثغرات في الساتر الترابي تمهيداً لعبور المدرعات عبر الجسور والمعديات. وفي غضون ساعات قليلة، تحقق ما ظنّه العدو مستحيلاً، وانهارت أسطورة خط بارليف التي بُنيت عليها العقيدة الدفاعية الإسرائيلية طوال سنوات.</w:t>
      </w:r>
    </w:p>
    <w:p>
      <w:pPr>
        <w:bidi/>
        <w:spacing w:before="0" w:after="200" w:line="360" w:lineRule="auto"/>
        <w:jc w:val="both"/>
      </w:pPr>
      <w:r>
        <w:rPr>
          <w:rFonts w:ascii="Arial" w:hAnsi="Arial" w:cs="Arial"/>
          <w:b w:val="0"/>
          <w:sz w:val="28"/>
          <w:szCs w:val="28"/>
          <w:rtl w:val="1"/>
        </w:rPr>
        <w:t>أدار الشاذلي المعركة من غرفة العمليات بأعصاب فولاذية ودقة متناهية، متابعاً تنفيذ الخطة مرحلة بمرحلة، ومتخذاً القرارات السريعة التي تقتضيها تطورات الميدان. وقد تمكنت القوات المصرية من إقامة رؤوس جسور راسخة على الضفة الشرقية، وصدّت الهجمات المضادة الإسرائيلية العنيفة، محقّقةً واحداً من أعظم الإنجازات العسكرية في التاريخ الحديث، وأعادت بذلك الكرامة والثقة إلى الأمة بأسرها.</w:t>
      </w:r>
    </w:p>
    <w:p>
      <w:pPr>
        <w:bidi/>
        <w:spacing w:before="0" w:after="200" w:line="360" w:lineRule="auto"/>
        <w:jc w:val="both"/>
      </w:pPr>
      <w:r>
        <w:rPr>
          <w:rFonts w:ascii="Arial" w:hAnsi="Arial" w:cs="Arial"/>
          <w:b w:val="0"/>
          <w:sz w:val="28"/>
          <w:szCs w:val="28"/>
          <w:rtl w:val="1"/>
        </w:rPr>
        <w:t>تجلّت في إدارة الشاذلي للمعركة سمات القائد المحترف؛ من هدوء الأعصاب، ودقة المتابعة، وسرعة البديهة، والقدرة على قراءة الموقف الميداني واتخاذ القرار المناسب في توقيته المناسب. وقد أثبت العبور الناجح أن التدريب الشاق والتخطيط العلمي قد أتيا أُكلهما، وأن الجندي المصري حين يُحسَن إعداده وقيادته يصنع المعجزات.</w:t>
      </w:r>
    </w:p>
    <w:p>
      <w:pPr>
        <w:bidi/>
        <w:spacing w:before="0" w:after="200" w:line="360" w:lineRule="auto"/>
        <w:jc w:val="both"/>
      </w:pPr>
      <w:r>
        <w:rPr>
          <w:rFonts w:ascii="Arial" w:hAnsi="Arial" w:cs="Arial"/>
          <w:b w:val="0"/>
          <w:sz w:val="28"/>
          <w:szCs w:val="28"/>
          <w:rtl w:val="1"/>
        </w:rPr>
        <w:t>لقد كان نجاح العبور تتويجاً لسنوات من الإعداد الدقيق والتخطيط العلمي، وشهادة على صحة المدرسة العسكرية التي أرساها الشاذلي. فالانتصار لم يكن وليد المصادفة، بل ثمرة منظومة متكاملة من التدريب والتسليح والتخطيط والعقيدة القتالية، أحسن الشاذلي بناءها وقيادتها، حتى استحق بجدارة لقب «مهندس العبور».</w:t>
      </w:r>
    </w:p>
    <w:p>
      <w:pPr>
        <w:bidi/>
        <w:spacing w:before="200" w:after="120" w:line="360" w:lineRule="auto"/>
        <w:jc w:val="right"/>
      </w:pPr>
      <w:r>
        <w:rPr>
          <w:rFonts w:ascii="Arial" w:hAnsi="Arial" w:cs="Arial"/>
          <w:b/>
          <w:color w:val="8B1A1A"/>
          <w:sz w:val="32"/>
          <w:szCs w:val="32"/>
          <w:rtl w:val="1"/>
        </w:rPr>
        <w:t>المبحث الرابع: أزمة الثغرة والخلاف مع القيادة السياسية</w:t>
      </w:r>
    </w:p>
    <w:p>
      <w:pPr>
        <w:bidi/>
        <w:spacing w:before="0" w:after="200" w:line="360" w:lineRule="auto"/>
        <w:jc w:val="both"/>
      </w:pPr>
      <w:r>
        <w:rPr>
          <w:rFonts w:ascii="Arial" w:hAnsi="Arial" w:cs="Arial"/>
          <w:b w:val="0"/>
          <w:sz w:val="28"/>
          <w:szCs w:val="28"/>
          <w:rtl w:val="1"/>
        </w:rPr>
        <w:t>مع تطور مجريات المعركة في منتصف أكتوبر، استغلت القوات الإسرائيلية ثغرة في منطقة الدفرسوار عند نقطة التقاء الجيشين الميدانيين الثاني والثالث، فعبرت قوة بقيادة الجنرال أرييل شارون إلى الضفة الغربية للقناة. وهنا برزت رؤية الشاذلي العسكرية الواقعية، إذ رأى أن الموقف يستدعي سحب جانب من القوات المدرعة من الضفة الشرقية لتصفية هذه الثغرة قبل أن تتسع وتهدد مؤخرة الجيش.</w:t>
      </w:r>
    </w:p>
    <w:p>
      <w:pPr>
        <w:bidi/>
        <w:spacing w:before="0" w:after="200" w:line="360" w:lineRule="auto"/>
        <w:jc w:val="both"/>
      </w:pPr>
      <w:r>
        <w:rPr>
          <w:rFonts w:ascii="Arial" w:hAnsi="Arial" w:cs="Arial"/>
          <w:b w:val="0"/>
          <w:sz w:val="28"/>
          <w:szCs w:val="28"/>
          <w:rtl w:val="1"/>
        </w:rPr>
        <w:t>استندت رؤية الشاذلي إلى تقدير عسكري بحت، مفاده أن احتواء الثغرة في مهدها يتطلب قوة مدرعة كافية من الضفة الشرقية، حيث استقرت المعركة نسبياً، لتوجيهها نحو القوة الإسرائيلية المتسللة قبل أن تتمكن من توسيع رأس جسرها وتهديد خطوط الإمداد. كان هذا التقدير نابعاً من خبرته الميدانية الطويلة وقراءته الدقيقة لموازين القوى على الأرض.</w:t>
      </w:r>
    </w:p>
    <w:p>
      <w:pPr>
        <w:bidi/>
        <w:spacing w:before="0" w:after="200" w:line="360" w:lineRule="auto"/>
        <w:jc w:val="both"/>
      </w:pPr>
      <w:r>
        <w:rPr>
          <w:rFonts w:ascii="Arial" w:hAnsi="Arial" w:cs="Arial"/>
          <w:b w:val="0"/>
          <w:sz w:val="28"/>
          <w:szCs w:val="28"/>
          <w:rtl w:val="1"/>
        </w:rPr>
        <w:t>غير أن القيادة السياسية، ممثلة في الرئيس السادات ووزير الحربية، رفضت اقتراح الشاذلي بسحب أي قوات من الشرق، خشية ما قد يحمله ذلك من دلالات سياسية ونفسية، فنشب خلاف حاد بين الرؤية العسكرية الميدانية للشاذلي والاعتبارات السياسية للقيادة. وقد تمسّك الشاذلي بموقفه المهني بشجاعة وصراحة، منطلقاً من قناعته بأن المعالجة العسكرية السليمة هي التي ينبغي أن تحكم القرار في ساحة القتال.</w:t>
      </w:r>
    </w:p>
    <w:p>
      <w:pPr>
        <w:bidi/>
        <w:spacing w:before="0" w:after="200" w:line="360" w:lineRule="auto"/>
        <w:jc w:val="both"/>
      </w:pPr>
      <w:r>
        <w:rPr>
          <w:rFonts w:ascii="Arial" w:hAnsi="Arial" w:cs="Arial"/>
          <w:b w:val="0"/>
          <w:sz w:val="28"/>
          <w:szCs w:val="28"/>
          <w:rtl w:val="1"/>
        </w:rPr>
        <w:t>كان هذا الخلاف نقطة تحول في مسيرة الشاذلي، إذ أدى في نهاية المطاف إلى إعفائه من منصبه كرئيس للأركان في ديسمبر 1973 بعد أسابيع قليلة من تحقيق النصر. ورغم ما أثاره هذا الموقف من جدل تاريخي طويل، فإنه يكشف عن معدن الرجل وإخلاصه المهني، وعن إيمانه بأن واجب القائد العسكري أن يصدع برأيه الفني مهما كانت الكلفة.</w:t>
      </w:r>
    </w:p>
    <w:p>
      <w:pPr>
        <w:bidi/>
        <w:spacing w:before="0" w:after="200" w:line="360" w:lineRule="auto"/>
        <w:jc w:val="both"/>
      </w:pPr>
      <w:r>
        <w:rPr>
          <w:rFonts w:ascii="Arial" w:hAnsi="Arial" w:cs="Arial"/>
          <w:b w:val="0"/>
          <w:sz w:val="28"/>
          <w:szCs w:val="28"/>
          <w:rtl w:val="1"/>
        </w:rPr>
        <w:t>وبصرف النظر عن تفاصيل ذلك الخلاف وملابساته، يبقى موقف الشاذلي شاهداً على نزاهته المهنية وشجاعته الأدبية؛ فقد آثر أن يقول كلمته الفنية كاملة، غير مبالٍ بما قد يترتب عليها من ثمن شخصي باهظ. وهو موقف يجسّد المعنى الأسمى للأمانة العسكرية، التي تضع مصلحة الوطن والمعركة فوق كل اعتبار آخر.</w:t>
      </w:r>
    </w:p>
    <w:p>
      <w:pPr>
        <w:bidi/>
        <w:spacing w:before="200" w:after="120" w:line="360" w:lineRule="auto"/>
        <w:jc w:val="right"/>
      </w:pPr>
      <w:r>
        <w:rPr>
          <w:rFonts w:ascii="Arial" w:hAnsi="Arial" w:cs="Arial"/>
          <w:b/>
          <w:color w:val="8B1A1A"/>
          <w:sz w:val="32"/>
          <w:szCs w:val="32"/>
          <w:rtl w:val="1"/>
        </w:rPr>
        <w:t>المبحث الخامس: سنوات الدبلوماسية والمنفى والمعارضة</w:t>
      </w:r>
    </w:p>
    <w:p>
      <w:pPr>
        <w:bidi/>
        <w:spacing w:before="0" w:after="200" w:line="360" w:lineRule="auto"/>
        <w:jc w:val="both"/>
      </w:pPr>
      <w:r>
        <w:rPr>
          <w:rFonts w:ascii="Arial" w:hAnsi="Arial" w:cs="Arial"/>
          <w:b w:val="0"/>
          <w:sz w:val="28"/>
          <w:szCs w:val="28"/>
          <w:rtl w:val="1"/>
        </w:rPr>
        <w:t>عقب إعفائه من منصبه العسكري، عُيّن الفريق الشاذلي سفيراً لمصر في المملكة المتحدة عام 1974، ثم سفيراً في البرتغال، في انتقال من ميدان السلاح إلى ميدان الدبلوماسية. وقد أدى مهامه الدبلوماسية بالكفاءة والانضباط اللذين عُرف بهما، حاملاً صورة مشرّفة لمصر وجيشها في المحافل الدولية.</w:t>
      </w:r>
    </w:p>
    <w:p>
      <w:pPr>
        <w:bidi/>
        <w:spacing w:before="0" w:after="200" w:line="360" w:lineRule="auto"/>
        <w:jc w:val="both"/>
      </w:pPr>
      <w:r>
        <w:rPr>
          <w:rFonts w:ascii="Arial" w:hAnsi="Arial" w:cs="Arial"/>
          <w:b w:val="0"/>
          <w:sz w:val="28"/>
          <w:szCs w:val="28"/>
          <w:rtl w:val="1"/>
        </w:rPr>
        <w:t>لم يكن انتقال الشاذلي إلى العمل الدبلوماسي ابتعاداً عن همومه الوطنية، بل ظل يتابع الشأن المصري عن كثب، ويحمل في وجدانه قضايا أمته. وقد أتاحت له سنوات السفارة فرصة الاطلاع على دوائر صنع القرار الدولي، وتعميق فهمه للأبعاد السياسية للصراع العربي الإسرائيلي، وهو ما عزّز رؤيته النقدية للمسار الذي اتخذته السياسة المصرية في تلك المرحلة.</w:t>
      </w:r>
    </w:p>
    <w:p>
      <w:pPr>
        <w:bidi/>
        <w:spacing w:before="0" w:after="200" w:line="360" w:lineRule="auto"/>
        <w:jc w:val="both"/>
      </w:pPr>
      <w:r>
        <w:rPr>
          <w:rFonts w:ascii="Arial" w:hAnsi="Arial" w:cs="Arial"/>
          <w:b w:val="0"/>
          <w:sz w:val="28"/>
          <w:szCs w:val="28"/>
          <w:rtl w:val="1"/>
        </w:rPr>
        <w:t>غير أن منعطفاً جديداً طرأ على حياته مع توقيع اتفاقية كامب ديفيد عام 1978، إذ اختلف الشاذلي بشدة مع توجهات الرئيس السادات في مسار التسوية، فاستقال من منصبه الدبلوماسي معلناً معارضته الصريحة. وقد دفعه هذا الموقف المبدئي إلى مغادرة البلاد والإقامة في المنفى، حيث استقر في الجزائر سنوات طويلة، وأسّس حركة معارضة من الخارج، متمسكاً بمواقفه الوطنية كما كان يراها.</w:t>
      </w:r>
    </w:p>
    <w:p>
      <w:pPr>
        <w:bidi/>
        <w:spacing w:before="0" w:after="200" w:line="360" w:lineRule="auto"/>
        <w:jc w:val="both"/>
      </w:pPr>
      <w:r>
        <w:rPr>
          <w:rFonts w:ascii="Arial" w:hAnsi="Arial" w:cs="Arial"/>
          <w:b w:val="0"/>
          <w:sz w:val="28"/>
          <w:szCs w:val="28"/>
          <w:rtl w:val="1"/>
        </w:rPr>
        <w:t>خلال سنوات المنفى، حُوكم الشاذلي غيابياً وصدرت بحقه أحكام قاسية، لكنه ظل وفياً لقناعاته، رافضاً المساومة على ما اعتبره ثوابت وطنية. وقد كانت تلك المرحلة من أصعب فترات حياته، إذ جمعت بين مرارة الغربة وألم الابتعاد عن الوطن الذي قدّم له أغلى ما يملك، غير أن إيمانه بمواقفه ظل راسخاً لا يتزعزع.</w:t>
      </w:r>
    </w:p>
    <w:p>
      <w:pPr>
        <w:bidi/>
        <w:spacing w:before="0" w:after="200" w:line="360" w:lineRule="auto"/>
        <w:jc w:val="both"/>
      </w:pPr>
      <w:r>
        <w:rPr>
          <w:rFonts w:ascii="Arial" w:hAnsi="Arial" w:cs="Arial"/>
          <w:b w:val="0"/>
          <w:sz w:val="28"/>
          <w:szCs w:val="28"/>
          <w:rtl w:val="1"/>
        </w:rPr>
        <w:t>وفي منفاه، لم يركن الشاذلي إلى الصمت، بل واصل التعبير عن آرائه ومواقفه بشجاعة، وكتب وحاضر ودافع عن رؤيته، فظل صوتاً مسموعاً رغم البُعد. وقد جسّدت تلك السنوات معنى الثبات على المبدأ مهما كان الثمن، وأظهرت أن الشاذلي العسكري الذي لا يلين في الميدان هو نفسه الرجل الذي لا يساوم على قناعاته في السياسة.</w:t>
      </w:r>
    </w:p>
    <w:p>
      <w:pPr>
        <w:bidi/>
        <w:spacing w:before="200" w:after="120" w:line="360" w:lineRule="auto"/>
        <w:jc w:val="right"/>
      </w:pPr>
      <w:r>
        <w:rPr>
          <w:rFonts w:ascii="Arial" w:hAnsi="Arial" w:cs="Arial"/>
          <w:b/>
          <w:color w:val="8B1A1A"/>
          <w:sz w:val="32"/>
          <w:szCs w:val="32"/>
          <w:rtl w:val="1"/>
        </w:rPr>
        <w:t>المبحث السادس: العودة إلى الوطن والسجن والوفاة</w:t>
      </w:r>
    </w:p>
    <w:p>
      <w:pPr>
        <w:bidi/>
        <w:spacing w:before="0" w:after="200" w:line="360" w:lineRule="auto"/>
        <w:jc w:val="both"/>
      </w:pPr>
      <w:r>
        <w:rPr>
          <w:rFonts w:ascii="Arial" w:hAnsi="Arial" w:cs="Arial"/>
          <w:b w:val="0"/>
          <w:sz w:val="28"/>
          <w:szCs w:val="28"/>
          <w:rtl w:val="1"/>
        </w:rPr>
        <w:t>بعد سنوات طويلة قضاها في المنفى، اتخذ الفريق الشاذلي قراره الجريء بالعودة إلى مصر عام 1992، رغم علمه بالأحكام الصادرة بحقه. وما إن وطئت قدماه أرض الوطن حتى أُلقي القبض عليه ليقضي العقوبة التي صدرت ضده غيابياً، فأمضى نحو ثلاث سنوات في السجن، تحمّلها بصبر القائد وكرامة الجندي، قبل أن يُفرج عنه في منتصف التسعينيات.</w:t>
      </w:r>
    </w:p>
    <w:p>
      <w:pPr>
        <w:bidi/>
        <w:spacing w:before="0" w:after="200" w:line="360" w:lineRule="auto"/>
        <w:jc w:val="both"/>
      </w:pPr>
      <w:r>
        <w:rPr>
          <w:rFonts w:ascii="Arial" w:hAnsi="Arial" w:cs="Arial"/>
          <w:b w:val="0"/>
          <w:sz w:val="28"/>
          <w:szCs w:val="28"/>
          <w:rtl w:val="1"/>
        </w:rPr>
        <w:t>كان قرار العودة تعبيراً عن حنين عميق إلى الوطن، وعن إصرار على مواجهة مصيره فوق ترابه لا في غربته. فقد فضّل الشاذلي أن يعود إلى مصر ويتحمل تبعات مواقفه، على أن يبقى بعيداً عنها آمناً في منفاه، وهو خيار يكشف عن عمق انتمائه وصدق وطنيته، وعن شخصية لا تهاب المواجهة ولا تتهرب من المسؤولية.</w:t>
      </w:r>
    </w:p>
    <w:p>
      <w:pPr>
        <w:bidi/>
        <w:spacing w:before="0" w:after="200" w:line="360" w:lineRule="auto"/>
        <w:jc w:val="both"/>
      </w:pPr>
      <w:r>
        <w:rPr>
          <w:rFonts w:ascii="Arial" w:hAnsi="Arial" w:cs="Arial"/>
          <w:b w:val="0"/>
          <w:sz w:val="28"/>
          <w:szCs w:val="28"/>
          <w:rtl w:val="1"/>
        </w:rPr>
        <w:t>عاد الشاذلي بعد الإفراج عنه ليعيش بقية حياته في وطنه، محتفظاً بمكانته الرمزية في وجدان المصريين بوصفه أحد أبرز قادة نصر أكتوبر. ومع تقدمه في العمر، ظل اسمه حاضراً في الذاكرة الوطنية، يُستدعى كلما ذُكرت ملحمة العبور وبطولات الجيش المصري، وظل المصريون ينظرون إليه باعتباره أحد صنّاع أعظم انتصاراتهم.</w:t>
      </w:r>
    </w:p>
    <w:p>
      <w:pPr>
        <w:bidi/>
        <w:spacing w:before="0" w:after="200" w:line="360" w:lineRule="auto"/>
        <w:jc w:val="both"/>
      </w:pPr>
      <w:r>
        <w:rPr>
          <w:rFonts w:ascii="Arial" w:hAnsi="Arial" w:cs="Arial"/>
          <w:b w:val="0"/>
          <w:sz w:val="28"/>
          <w:szCs w:val="28"/>
          <w:rtl w:val="1"/>
        </w:rPr>
        <w:t>وقد وافته المنية في العاشر من فبراير عام 2011 عن عمر ناهز التاسعة والثمانين عاماً، في توقيت لافت تزامن مع أحداث جسام كانت تشهدها مصر آنذاك. رحل الشاذلي بعد رحلة عمر حافلة بالعطاء والتضحية، تاركاً وراءه إرثاً عسكرياً ووطنياً خالداً، ووداعاً لقائد كرّس حياته لخدمة وطنه ورفع راية مصر عالياً في أحلك الظروف وأصعب المعارك.</w:t>
      </w:r>
    </w:p>
    <w:p>
      <w:pPr>
        <w:bidi/>
        <w:spacing w:before="0" w:after="200" w:line="360" w:lineRule="auto"/>
        <w:jc w:val="both"/>
      </w:pPr>
      <w:r>
        <w:rPr>
          <w:rFonts w:ascii="Arial" w:hAnsi="Arial" w:cs="Arial"/>
          <w:b w:val="0"/>
          <w:sz w:val="28"/>
          <w:szCs w:val="28"/>
          <w:rtl w:val="1"/>
        </w:rPr>
        <w:t>وقد ووري الثرى وسط مشاعر التقدير والإجلال، تشييعاً يليق بمقام قائد عسكري كبير، أسهم في صناعة لحظة من أزهى لحظات التاريخ المصري الحديث. ومع رحيله، طُويت صفحة من صفحات البطولة، لكن سيرته بقيت حيّة في الكتب والذاكرة، تُلهم الأجيال وتذكّرها بأن العظمة تُصنع بالعلم والإرادة والإخلاص.</w:t>
      </w:r>
    </w:p>
    <w:p>
      <w:pPr>
        <w:bidi/>
        <w:spacing w:before="200" w:after="120" w:line="360" w:lineRule="auto"/>
        <w:jc w:val="right"/>
      </w:pPr>
      <w:r>
        <w:rPr>
          <w:rFonts w:ascii="Arial" w:hAnsi="Arial" w:cs="Arial"/>
          <w:b/>
          <w:color w:val="8B1A1A"/>
          <w:sz w:val="32"/>
          <w:szCs w:val="32"/>
          <w:rtl w:val="1"/>
        </w:rPr>
        <w:t>المبحث السابع: المؤلفات والإرث الفكري والعسكري</w:t>
      </w:r>
    </w:p>
    <w:p>
      <w:pPr>
        <w:bidi/>
        <w:spacing w:before="0" w:after="200" w:line="360" w:lineRule="auto"/>
        <w:jc w:val="both"/>
      </w:pPr>
      <w:r>
        <w:rPr>
          <w:rFonts w:ascii="Arial" w:hAnsi="Arial" w:cs="Arial"/>
          <w:b w:val="0"/>
          <w:sz w:val="28"/>
          <w:szCs w:val="28"/>
          <w:rtl w:val="1"/>
        </w:rPr>
        <w:t>لم يكن الشاذلي قائداً ميدانياً فحسب، بل كان مفكراً عسكرياً ومؤرخاً وثّق تجربته بقلمه، فأثرى المكتبة العسكرية بعدد من المؤلفات المهمة، يأتي في مقدمتها كتابه الشهير «حرب أكتوبر: مذكرات الفريق سعد الدين الشاذلي»، الذي يُعد وثيقة تاريخية بالغة الأهمية لفهم تفاصيل التخطيط والإعداد وإدارة المعركة من منظور صاحب القرار العسكري المباشر.</w:t>
      </w:r>
    </w:p>
    <w:p>
      <w:pPr>
        <w:bidi/>
        <w:spacing w:before="0" w:after="200" w:line="360" w:lineRule="auto"/>
        <w:jc w:val="both"/>
      </w:pPr>
      <w:r>
        <w:rPr>
          <w:rFonts w:ascii="Arial" w:hAnsi="Arial" w:cs="Arial"/>
          <w:b w:val="0"/>
          <w:sz w:val="28"/>
          <w:szCs w:val="28"/>
          <w:rtl w:val="1"/>
        </w:rPr>
        <w:t>تتميز كتابات الشاذلي بالدقة العلمية والصراحة والجرأة في عرض الوقائع، بما في ذلك مواطن الخلاف والقصور، انطلاقاً من حرصه على تدوين الحقيقة كما عاشها لأجيال المستقبل. وقد أثارت بعض ما ورد في مذكراته جدلاً واسعاً، لكنها ظلت مرجعاً لا غنى عنه لكل باحث ودارس في تاريخ حرب أكتوبر والفكر العسكري المصري الحديث.</w:t>
      </w:r>
    </w:p>
    <w:p>
      <w:pPr>
        <w:bidi/>
        <w:spacing w:before="0" w:after="200" w:line="360" w:lineRule="auto"/>
        <w:jc w:val="both"/>
      </w:pPr>
      <w:r>
        <w:rPr>
          <w:rFonts w:ascii="Arial" w:hAnsi="Arial" w:cs="Arial"/>
          <w:b w:val="0"/>
          <w:sz w:val="28"/>
          <w:szCs w:val="28"/>
          <w:rtl w:val="1"/>
        </w:rPr>
        <w:t>لقد آمن الشاذلي بأن توثيق التجربة العسكرية واجب وطني وعلمي، وأن الأجيال القادمة لها حق في معرفة الحقيقة كاملة بحلوها ومرّها. ومن هذا المنطلق، لم يتردد في تسجيل تفاصيل المعركة وملابساتها، بما في ذلك الخلافات التي نشبت حول إدارتها، مقدّماً شهادة للتاريخ يرى أنها أمانة في عنقه لا يجوز التفريط فيها.</w:t>
      </w:r>
    </w:p>
    <w:p>
      <w:pPr>
        <w:bidi/>
        <w:spacing w:before="0" w:after="200" w:line="360" w:lineRule="auto"/>
        <w:jc w:val="both"/>
      </w:pPr>
      <w:r>
        <w:rPr>
          <w:rFonts w:ascii="Arial" w:hAnsi="Arial" w:cs="Arial"/>
          <w:b w:val="0"/>
          <w:sz w:val="28"/>
          <w:szCs w:val="28"/>
          <w:rtl w:val="1"/>
        </w:rPr>
        <w:t>يتجلى إرث الشاذلي الفكري والعسكري في تلك المدرسة المتكاملة التي أرساها في التخطيط والقيادة وبناء القوات، والتي ما زالت دروسها حاضرة في تكوين الأجيال الجديدة من الضباط. فقد علّمنا الشاذلي أن النصر يُصنع بالعلم والإرادة والانضباط، وأن القائد الحق هو من يجمع بين شجاعة الميدان وعمق الفكر وصدق المبدأ.</w:t>
      </w:r>
    </w:p>
    <w:p>
      <w:pPr>
        <w:bidi/>
        <w:spacing w:before="0" w:after="200" w:line="360" w:lineRule="auto"/>
        <w:jc w:val="both"/>
      </w:pPr>
      <w:r>
        <w:rPr>
          <w:rFonts w:ascii="Arial" w:hAnsi="Arial" w:cs="Arial"/>
          <w:b w:val="0"/>
          <w:sz w:val="28"/>
          <w:szCs w:val="28"/>
          <w:rtl w:val="1"/>
        </w:rPr>
        <w:t>وبهذا يبقى اسم الفريق سعد الدين الشاذلي علامة مضيئة في تاريخ مصر العسكري، ونموذجاً يُحتذى في الوطنية والكفاءة والإخلاص. لقد ترك إرثاً لا يقتصر على معركة بعينها، بل يمتد ليشمل فلسفة كاملة في بناء القوة وصناعة النصر، تظل صالحة للدراسة والاقتداء ما بقي للأمم حاجة إلى القادة الأوفياء والمفكرين المخلصين.</w:t>
      </w:r>
    </w:p>
    <w:p>
      <w:r>
        <w:br w:type="page"/>
      </w:r>
    </w:p>
    <w:p>
      <w:pPr>
        <w:bidi/>
        <w:spacing w:before="0" w:after="240" w:line="360" w:lineRule="auto"/>
        <w:jc w:val="center"/>
      </w:pPr>
      <w:r>
        <w:rPr>
          <w:rFonts w:ascii="Arial" w:hAnsi="Arial" w:cs="Arial"/>
          <w:b/>
          <w:color w:val="8B1A1A"/>
          <w:sz w:val="44"/>
          <w:szCs w:val="44"/>
          <w:rtl w:val="1"/>
        </w:rPr>
        <w:t>الخاتمة</w:t>
      </w:r>
    </w:p>
    <w:p>
      <w:pPr>
        <w:bidi/>
        <w:spacing w:before="0" w:after="200" w:line="360" w:lineRule="auto"/>
        <w:jc w:val="both"/>
      </w:pPr>
      <w:r>
        <w:rPr>
          <w:rFonts w:ascii="Arial" w:hAnsi="Arial" w:cs="Arial"/>
          <w:b w:val="0"/>
          <w:sz w:val="28"/>
          <w:szCs w:val="28"/>
          <w:rtl w:val="1"/>
        </w:rPr>
        <w:t>في ختام هذه الدراسة عن السيرة الذاتية للفريق سعد الدين الشاذلي، يتبيّن لنا أننا أمام قامة عسكرية ووطنية فذة، جمعت بين عبقرية التخطيط وشجاعة الميدان وصدق المبدأ. لقد قطع الشاذلي مسيرة طويلة بدأت من قرية بسيطة في محافظة المنوفية، وتدرّجت عبر ميادين القتال ومدارس التدريب والمهام الدولية، حتى بلغت ذروتها في قيادته لأركان حرب القوات المسلحة وتخطيطه لمعركة العبور الخالدة في أكتوبر 1973.</w:t>
      </w:r>
    </w:p>
    <w:p>
      <w:pPr>
        <w:bidi/>
        <w:spacing w:before="0" w:after="200" w:line="360" w:lineRule="auto"/>
        <w:jc w:val="both"/>
      </w:pPr>
      <w:r>
        <w:rPr>
          <w:rFonts w:ascii="Arial" w:hAnsi="Arial" w:cs="Arial"/>
          <w:b w:val="0"/>
          <w:sz w:val="28"/>
          <w:szCs w:val="28"/>
          <w:rtl w:val="1"/>
        </w:rPr>
        <w:t>وقد أظهرت هذه الدراسة أن إسهامات الشاذلي لم تقتصر على معركة بعينها، بل امتدت لتشمل تأسيس أسلحة نوعية كالمظلات والقوات الخاصة، وبناء عقيدة قتالية هجومية أعادت الثقة للجندي المصري، ووضع نظريات عسكرية متقدمة في معالجة موازين القوى. كما كشفت عن جانب آخر من شخصيته يتمثل في شجاعته في إبداء الرأي الفني أمام القيادة السياسية، وتمسكه بمواقفه المبدئية مهما كانت كلفتها الشخصية.</w:t>
      </w:r>
    </w:p>
    <w:p>
      <w:pPr>
        <w:bidi/>
        <w:spacing w:before="0" w:after="200" w:line="360" w:lineRule="auto"/>
        <w:jc w:val="both"/>
      </w:pPr>
      <w:r>
        <w:rPr>
          <w:rFonts w:ascii="Arial" w:hAnsi="Arial" w:cs="Arial"/>
          <w:b w:val="0"/>
          <w:sz w:val="28"/>
          <w:szCs w:val="28"/>
          <w:rtl w:val="1"/>
        </w:rPr>
        <w:t>إن سيرة الفريق سعد الدين الشاذلي تظل مدرسة متكاملة في الوطنية والكفاءة والإخلاص، ودرساً بليغاً للأجيال القادمة في أن صناعة النصر تبدأ من الإعداد العلمي الدقيق والإرادة الصلبة والعقيدة الراسخة. ويكفيه فخراً أنه ارتبط اسمه إلى الأبد بأعظم انتصار في تاريخ مصر الحديث، فبقي حياً في وجدان أمته، رمزاً للقائد الذي حوّل المستحيل إلى ممكن، وكتب بدمه وعقله صفحة من أنصع صفحات التاريخ العسكري المصري والعربي.</w:t>
      </w:r>
    </w:p>
    <w:p>
      <w:pPr>
        <w:bidi/>
        <w:spacing w:before="0" w:after="200" w:line="360" w:lineRule="auto"/>
        <w:jc w:val="both"/>
      </w:pPr>
      <w:r>
        <w:rPr>
          <w:rFonts w:ascii="Arial" w:hAnsi="Arial" w:cs="Arial"/>
          <w:b w:val="0"/>
          <w:sz w:val="28"/>
          <w:szCs w:val="28"/>
          <w:rtl w:val="1"/>
        </w:rPr>
        <w:t>وإذ نستعرض هذه السيرة العطرة، فإننا لا نستحضر الماضي لمجرد التأريخ، بل لنستلهم منه القيم والدروس التي نحتاجها في حاضرنا ومستقبلنا. فقصة الشاذلي هي قصة الإرادة التي تتحدى المستحيل، والعلم الذي يصنع المعجزات، والإخلاص الذي لا يعرف المساومة. وستظل هذه القصة منارة تهدي الأجيال، وتذكّرهم بأن الأوطان تُبنى بسواعد المخلصين وعقول المفكرين وتضحيات الأبطال.</w:t>
      </w:r>
    </w:p>
    <w:sectPr w:rsidR="00FC693F" w:rsidRPr="0006063C" w:rsidSect="00034616">
      <w:pgSz w:w="11906" w:h="16838"/>
      <w:pgMar w:top="1247" w:right="1304" w:bottom="1134"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