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Arial" w:hAnsi="Arial" w:cs="Arial"/>
          <w:i/>
          <w:iCs/>
          <w:color w:val="808080"/>
          <w:sz w:val="18"/>
          <w:szCs w:val="18"/>
          <w:rtl/>
        </w:rPr>
        <w:t>[ الصفحة 2 من ٧ ]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الإدارة المركزية لإعلام القاهرة الكبرى</w:t>
      </w:r>
    </w:p>
    <w:p>
      <w:pPr>
        <w:bidi/>
        <w:jc w:val="center"/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>توزيع الأنشطة</w:t>
      </w:r>
      <w:r>
        <w:rPr>
          <w:rFonts w:ascii="Arial" w:hAnsi="Arial" w:cs="Arial"/>
          <w:sz w:val="28"/>
          <w:szCs w:val="28"/>
          <w:rtl/>
        </w:rPr>
        <w:t xml:space="preserve">   </w:t>
      </w:r>
      <w:r>
        <w:rPr>
          <w:rFonts w:ascii="Arial" w:hAnsi="Arial" w:cs="Arial"/>
          <w:b/>
          <w:bCs/>
          <w:sz w:val="26"/>
          <w:szCs w:val="26"/>
          <w:rtl/>
        </w:rPr>
        <w:t>محور الأمن القومي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اسم المحافظة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عدد الأنشطة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(١) السلامة الغذائية وتأثيرها على الأمن القومي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الطيبات بين الحقيقة والخرافات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بيان التمويل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أماكن التنفيذ</w:t>
            </w:r>
          </w:p>
        </w:tc>
        <w:tc>
          <w:tcPr>
            <w:tcW w:type="dxa" w:w="3828"/>
            <w:gridSpan w:val="3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الجمهور المستهدف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ممول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ذاتي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داخل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خارج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ذكور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إناث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الإجمالي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٣٥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٥٥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١٠٠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١٥٠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٢٥٠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١٢٠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١٨٥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٣٠٥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7656"/>
            <w:gridSpan w:val="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المحاضرين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الجهات المشاركة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مسئول تنفيذي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خبراء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رجال الدين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أكاديميين (أساتذة جامعة)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إعلاميين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أخرى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الأنشطة — محور الأمن القومي (الصفحة 2)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