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3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b/>
          <w:bCs/>
          <w:sz w:val="26"/>
          <w:szCs w:val="26"/>
          <w:rtl/>
        </w:rPr>
        <w:t>التحول الرقمي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مستقبل التعليم في مصر في ظل التحول الرقمي   ٢٣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(١) الثقافة(؟) الرقمية ودورها في حماية المستخدمين   ١٦/٦(؟)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الجمهور المستهدف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١٢٠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٣٠٠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١٨٤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١٧٦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٣٦٠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٣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٥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  <w:r>
        <w:rPr>
          <w:rFonts w:ascii="Arial" w:hAnsi="Arial" w:cs="Arial"/>
          <w:i/>
          <w:iCs/>
          <w:color w:val="606060"/>
          <w:sz w:val="18"/>
          <w:szCs w:val="18"/>
          <w:rtl/>
        </w:rPr>
        <w:t>ملاحظة: العلامة (؟) تعني أن قراءة الكلمة أو الرقم غير مؤكدة لصعوبة الخط في الأصل.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— التحول الرقمي (الصفحة 3)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