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4 من ٧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استراتيجية القطاع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١- المشاركة في المبادرة الوطنية للمشروعات الخضراء الذكية (تنمية مستدامة) (بيئة)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sz w:val="22"/>
                <w:szCs w:val="22"/>
                <w:rtl/>
              </w:rPr>
              <w:t>٢- المشاركة في افتتاح فرع المجلس القومي للأمومة والطفولة (مشاركة مجتمعية)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ثانياً 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ثالثاً 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رابعاً الجمهور المستفيد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٣٤٠(؟)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٤١٠(؟)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٣٤٠(؟)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٤١٠(؟)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i/>
          <w:iCs/>
          <w:color w:val="606060"/>
          <w:sz w:val="18"/>
          <w:szCs w:val="18"/>
          <w:rtl/>
        </w:rPr>
        <w:t>ملاحظة: أرقام الجمهور في هذه الصفحة غير مؤكدة القراءة بسبب ارتشاح الحبر من الوجه الآخر للورقة؛ العلامة (؟) تعني قراءة غير مؤكدة.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— استراتيجية القطاع (الصفحة 4)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