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rFonts w:ascii="Arial" w:hAnsi="Arial" w:cs="Arial"/>
          <w:i/>
          <w:iCs/>
          <w:color w:val="808080"/>
          <w:sz w:val="18"/>
          <w:szCs w:val="18"/>
          <w:rtl/>
        </w:rPr>
        <w:t>[ الصفحة 5 من ٧ ]</w:t>
      </w:r>
    </w:p>
    <w:p>
      <w:pPr>
        <w:bidi/>
        <w:jc w:val="right"/>
      </w:pPr>
      <w:r>
        <w:rPr>
          <w:rFonts w:ascii="Arial" w:hAnsi="Arial" w:cs="Arial"/>
          <w:sz w:val="22"/>
          <w:szCs w:val="22"/>
          <w:rtl/>
        </w:rPr>
        <w:t>الإدارة المركزية لإعلام القاهرة الكبرى</w:t>
      </w:r>
    </w:p>
    <w:p>
      <w:pPr>
        <w:bidi/>
        <w:jc w:val="right"/>
      </w:pPr>
      <w:r>
        <w:rPr>
          <w:rFonts w:ascii="Arial" w:hAnsi="Arial" w:cs="Arial"/>
          <w:sz w:val="22"/>
          <w:szCs w:val="22"/>
          <w:rtl/>
        </w:rPr>
        <w:t>مايو ٢٦</w:t>
      </w:r>
    </w:p>
    <w:p>
      <w:pPr>
        <w:bidi/>
        <w:jc w:val="center"/>
      </w:pPr>
      <w:r>
        <w:rPr>
          <w:rFonts w:ascii="Arial" w:hAnsi="Arial" w:cs="Arial"/>
          <w:b/>
          <w:bCs/>
          <w:sz w:val="28"/>
          <w:szCs w:val="28"/>
          <w:u w:val="single"/>
          <w:rtl/>
        </w:rPr>
        <w:t>توزيع الأنشطة</w:t>
      </w:r>
      <w:r>
        <w:rPr>
          <w:rFonts w:ascii="Arial" w:hAnsi="Arial" w:cs="Arial"/>
          <w:sz w:val="28"/>
          <w:szCs w:val="28"/>
          <w:rtl/>
        </w:rPr>
        <w:t xml:space="preserve">   </w:t>
      </w:r>
      <w:r>
        <w:rPr>
          <w:rFonts w:ascii="Arial" w:hAnsi="Arial" w:cs="Arial"/>
          <w:b/>
          <w:bCs/>
          <w:sz w:val="26"/>
          <w:szCs w:val="26"/>
          <w:rtl/>
        </w:rPr>
        <w:t>طاقة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اسم المحافظة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عدد الأنشطة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الجيزة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٣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٧</w:t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بيان التمويل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أماكن التنفيذ</w:t>
            </w:r>
          </w:p>
        </w:tc>
        <w:tc>
          <w:tcPr>
            <w:tcW w:type="dxa" w:w="3828"/>
            <w:gridSpan w:val="3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الجمهور المستهدف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ممول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ذاتي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داخل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خارج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ذكور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إناث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الإجمالي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٩٣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٣٢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١٢٥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٣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٩٢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٩٥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الجيزة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٣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٣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٩٠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١٣٥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٢٢٥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٧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٧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١٨٦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٢٥٩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٤٤٥</w:t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7656"/>
            <w:gridSpan w:val="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المحاضرين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الجهات المشاركة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مسئول تنفيذي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خبراء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رجال الدين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أكاديميين (أساتذة جامعة)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إعلاميين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أخرى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٤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الجيزة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٣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٨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٣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</w:tr>
    </w:tbl>
    <w:p>
      <w:pPr>
        <w:bidi/>
        <w:jc w:val="center"/>
      </w:pPr>
      <w:r>
        <w:rPr>
          <w:rFonts w:ascii="Arial" w:hAnsi="Arial" w:cs="Arial"/>
          <w:sz w:val="22"/>
          <w:szCs w:val="22"/>
          <w:rtl/>
        </w:rPr>
        <w:t>٤٤٥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الأنشطة — طاقة (الصفحة 5)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