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6 من ٧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…قومي — مايو ٢٦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sz w:val="22"/>
                <w:szCs w:val="22"/>
                <w:rtl/>
              </w:rPr>
              <w:t>(١) استراتيجيات التصدي للشائعات لتعزيز الدعم المجتمعي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الوعي وحمايته من الهوس(؟) الرقمي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ثانياً 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ثالثاً 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رابعاً الجمهور المستفيد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١٠٠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٢٠٠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٢٠٠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٢٤٠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٦٠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٣٠٠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i/>
          <w:iCs/>
          <w:color w:val="606060"/>
          <w:sz w:val="18"/>
          <w:szCs w:val="18"/>
          <w:rtl/>
        </w:rPr>
        <w:t>ملاحظة: قيم صف الإجمالي في جدول التمويل وأماكن التنفيذ منقولة كما وردت في الأصل (١ و١)؛ العلامة (؟) تعني قراءة غير مؤكدة، و(…) بداية كلمة مقصوصة في المسح الضوئي.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الأنشطة (الصفحة 6)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