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CFF7" w14:textId="5CFD2202" w:rsidR="00250AFB" w:rsidRPr="00250AFB" w:rsidRDefault="00250AFB" w:rsidP="00250AFB">
      <w:pPr>
        <w:rPr>
          <w:b/>
          <w:bCs/>
        </w:rPr>
      </w:pPr>
      <w:r w:rsidRPr="00250AFB">
        <w:rPr>
          <w:b/>
          <w:bCs/>
        </w:rPr>
        <w:t>Catégories de sources de recherche pour doctorat</w:t>
      </w:r>
    </w:p>
    <w:tbl>
      <w:tblPr>
        <w:tblStyle w:val="Tableausimple1"/>
        <w:tblW w:w="0" w:type="auto"/>
        <w:tblLayout w:type="fixed"/>
        <w:tblLook w:val="04A0" w:firstRow="1" w:lastRow="0" w:firstColumn="1" w:lastColumn="0" w:noHBand="0" w:noVBand="1"/>
      </w:tblPr>
      <w:tblGrid>
        <w:gridCol w:w="1093"/>
        <w:gridCol w:w="2163"/>
        <w:gridCol w:w="1559"/>
        <w:gridCol w:w="2564"/>
        <w:gridCol w:w="1683"/>
      </w:tblGrid>
      <w:tr w:rsidR="00C14C9F" w:rsidRPr="00C14C9F" w14:paraId="1998BA72" w14:textId="77777777" w:rsidTr="00C14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" w:type="dxa"/>
          </w:tcPr>
          <w:p w14:paraId="60875F9B" w14:textId="59D1038E" w:rsidR="00C14C9F" w:rsidRPr="00C14C9F" w:rsidRDefault="00C14C9F" w:rsidP="00C14C9F">
            <w:pPr>
              <w:jc w:val="center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Catégorie</w:t>
            </w:r>
          </w:p>
        </w:tc>
        <w:tc>
          <w:tcPr>
            <w:tcW w:w="2163" w:type="dxa"/>
          </w:tcPr>
          <w:p w14:paraId="446B9F3D" w14:textId="42825785" w:rsidR="00C14C9F" w:rsidRPr="00C14C9F" w:rsidRDefault="00C14C9F" w:rsidP="00C14C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Qu'est-ce que c'est ?</w:t>
            </w:r>
          </w:p>
        </w:tc>
        <w:tc>
          <w:tcPr>
            <w:tcW w:w="1559" w:type="dxa"/>
          </w:tcPr>
          <w:p w14:paraId="6FC8D082" w14:textId="1D64699A" w:rsidR="00C14C9F" w:rsidRPr="00C14C9F" w:rsidRDefault="00C14C9F" w:rsidP="00C14C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Accès aux articles</w:t>
            </w:r>
          </w:p>
        </w:tc>
        <w:tc>
          <w:tcPr>
            <w:tcW w:w="2564" w:type="dxa"/>
          </w:tcPr>
          <w:p w14:paraId="05F3F3E8" w14:textId="3033FC15" w:rsidR="00C14C9F" w:rsidRPr="00C14C9F" w:rsidRDefault="00C14C9F" w:rsidP="00C14C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Exemples pertinents pour votre thèse</w:t>
            </w:r>
          </w:p>
        </w:tc>
        <w:tc>
          <w:tcPr>
            <w:tcW w:w="1683" w:type="dxa"/>
          </w:tcPr>
          <w:p w14:paraId="7AE0B550" w14:textId="555A81E0" w:rsidR="00C14C9F" w:rsidRPr="00C14C9F" w:rsidRDefault="00C14C9F" w:rsidP="00C14C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Exemple pratique / Lien</w:t>
            </w:r>
          </w:p>
        </w:tc>
      </w:tr>
      <w:tr w:rsidR="00C14C9F" w:rsidRPr="00C14C9F" w14:paraId="4A869515" w14:textId="77777777" w:rsidTr="00C14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" w:type="dxa"/>
          </w:tcPr>
          <w:p w14:paraId="13356EF9" w14:textId="0C355CD3" w:rsidR="00C14C9F" w:rsidRPr="00C14C9F" w:rsidRDefault="00C14C9F" w:rsidP="00C14C9F">
            <w:pPr>
              <w:rPr>
                <w:sz w:val="18"/>
                <w:szCs w:val="18"/>
              </w:rPr>
            </w:pP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Journaux Indexés</w:t>
            </w:r>
          </w:p>
        </w:tc>
        <w:tc>
          <w:tcPr>
            <w:tcW w:w="2163" w:type="dxa"/>
          </w:tcPr>
          <w:p w14:paraId="03EF0BD8" w14:textId="7636B416" w:rsidR="00C14C9F" w:rsidRPr="00C14C9F" w:rsidRDefault="00C14C9F" w:rsidP="00C14C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Revues scientifiques sélectives dont les articles sont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évalués par des pairs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. Être "indexé" signifie que le journal est référencé dans des bases de données comme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Scopus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ou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Web of Science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, ce qui garantit sa qualité .</w:t>
            </w:r>
          </w:p>
        </w:tc>
        <w:tc>
          <w:tcPr>
            <w:tcW w:w="1559" w:type="dxa"/>
          </w:tcPr>
          <w:p w14:paraId="04A61897" w14:textId="2BA79AFE" w:rsidR="00C14C9F" w:rsidRPr="00C14C9F" w:rsidRDefault="00C14C9F" w:rsidP="00C14C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Souvent payant, accessible via les abonnements de votre université.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Vous ne pouvez pas y "uploader" librement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: il faut soumettre votre article et passer par un processus d'évaluation.</w:t>
            </w:r>
          </w:p>
        </w:tc>
        <w:tc>
          <w:tcPr>
            <w:tcW w:w="2564" w:type="dxa"/>
          </w:tcPr>
          <w:p w14:paraId="730A1864" w14:textId="57F1C46F" w:rsidR="00C14C9F" w:rsidRPr="00C14C9F" w:rsidRDefault="00C14C9F" w:rsidP="00C14C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*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PLOS Digital Health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: Publie sur l'IA en santé, un domaine à exigence similaire au juridique.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br/>
              <w:t>*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Frontiers in Medicine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: A publié un article sur l'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Agentic Graph RAG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.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br/>
              <w:t>*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Applied Sciences (MDPI)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: A publié un article sur l'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utilisation du LoRA pour améliorer le RAG dans le traitement des lois routières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.</w:t>
            </w:r>
          </w:p>
        </w:tc>
        <w:tc>
          <w:tcPr>
            <w:tcW w:w="1683" w:type="dxa"/>
          </w:tcPr>
          <w:p w14:paraId="6556B5BA" w14:textId="7109BF12" w:rsidR="00C14C9F" w:rsidRPr="00C14C9F" w:rsidRDefault="00C14C9F" w:rsidP="00C14C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 Emoji" w:hAnsi="Segoe UI Emoji" w:cs="Segoe UI Emoji"/>
                <w:color w:val="0F1115"/>
                <w:sz w:val="18"/>
                <w:szCs w:val="18"/>
              </w:rPr>
              <w:t>🔗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</w:t>
            </w:r>
            <w:hyperlink r:id="rId4" w:tgtFrame="_blank" w:history="1">
              <w:r w:rsidRPr="00C14C9F">
                <w:rPr>
                  <w:rStyle w:val="Accentuation"/>
                  <w:rFonts w:ascii="Segoe UI" w:hAnsi="Segoe UI" w:cs="Segoe UI"/>
                  <w:color w:val="3964FE"/>
                  <w:sz w:val="18"/>
                  <w:szCs w:val="18"/>
                </w:rPr>
                <w:t>Enhanced Retrieval-Augmented Generation Using Low-Rank Adaptation</w:t>
              </w:r>
            </w:hyperlink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- Un article appliquant LoRA+RAG au domaine juridique/réglementaire.</w:t>
            </w:r>
          </w:p>
        </w:tc>
      </w:tr>
      <w:tr w:rsidR="00C14C9F" w:rsidRPr="00C14C9F" w14:paraId="23D2837D" w14:textId="77777777" w:rsidTr="00C14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" w:type="dxa"/>
          </w:tcPr>
          <w:p w14:paraId="281231C7" w14:textId="1DF41332" w:rsidR="00C14C9F" w:rsidRPr="00C14C9F" w:rsidRDefault="00C14C9F" w:rsidP="00C14C9F">
            <w:pPr>
              <w:rPr>
                <w:sz w:val="18"/>
                <w:szCs w:val="18"/>
              </w:rPr>
            </w:pP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Bases de Données Académiques</w:t>
            </w:r>
          </w:p>
        </w:tc>
        <w:tc>
          <w:tcPr>
            <w:tcW w:w="2163" w:type="dxa"/>
          </w:tcPr>
          <w:p w14:paraId="5D0C6F64" w14:textId="3791302B" w:rsidR="00C14C9F" w:rsidRPr="00C14C9F" w:rsidRDefault="00C14C9F" w:rsidP="00C14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Portails qui agrègent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des millions d'articles issus de milliers de journaux et de conférences. Elles sont indispensables pour faire une recherche bibliographique exhaustive.</w:t>
            </w:r>
          </w:p>
        </w:tc>
        <w:tc>
          <w:tcPr>
            <w:tcW w:w="1559" w:type="dxa"/>
          </w:tcPr>
          <w:p w14:paraId="411A2FD6" w14:textId="57F1B4A4" w:rsidR="00C14C9F" w:rsidRPr="00C14C9F" w:rsidRDefault="00C14C9F" w:rsidP="00C14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Requièrent généralement un abonnement institutionnel. Elles permettent de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télécharger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les PDF des articles auxquels votre université a souscrit.</w:t>
            </w:r>
          </w:p>
        </w:tc>
        <w:tc>
          <w:tcPr>
            <w:tcW w:w="2564" w:type="dxa"/>
          </w:tcPr>
          <w:p w14:paraId="24A9FCC9" w14:textId="6EABDB4E" w:rsidR="00C14C9F" w:rsidRPr="00C14C9F" w:rsidRDefault="00C14C9F" w:rsidP="00C14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*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IEEE Xplore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&amp;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ACM Digital Library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: Références en informatique .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br/>
              <w:t>*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Scopus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&amp;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Web of Science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: Bases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d'indexation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de référence pour trouver et vérifier la qualité des journaux .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br/>
              <w:t>*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PubMed/PMC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: Pour la littérature biomédicale (ex: une revue systématique sur le RAG en santé).</w:t>
            </w:r>
          </w:p>
        </w:tc>
        <w:tc>
          <w:tcPr>
            <w:tcW w:w="1683" w:type="dxa"/>
          </w:tcPr>
          <w:p w14:paraId="28536EE8" w14:textId="52093679" w:rsidR="00C14C9F" w:rsidRPr="00C14C9F" w:rsidRDefault="00C14C9F" w:rsidP="00C14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 Emoji" w:hAnsi="Segoe UI Emoji" w:cs="Segoe UI Emoji"/>
                <w:color w:val="0F1115"/>
                <w:sz w:val="18"/>
                <w:szCs w:val="18"/>
              </w:rPr>
              <w:t>🔗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  <w:lang w:val="en-US"/>
              </w:rPr>
              <w:t> </w:t>
            </w:r>
            <w:hyperlink r:id="rId5" w:tgtFrame="_blank" w:history="1">
              <w:r w:rsidRPr="00C14C9F">
                <w:rPr>
                  <w:rStyle w:val="Accentuation"/>
                  <w:rFonts w:ascii="Segoe UI" w:hAnsi="Segoe UI" w:cs="Segoe UI"/>
                  <w:color w:val="3964FE"/>
                  <w:sz w:val="18"/>
                  <w:szCs w:val="18"/>
                  <w:lang w:val="en-US"/>
                </w:rPr>
                <w:t>Retrieval augmented generation for large language models...</w:t>
              </w:r>
            </w:hyperlink>
            <w:r w:rsidRPr="00C14C9F">
              <w:rPr>
                <w:rFonts w:ascii="Segoe UI" w:hAnsi="Segoe UI" w:cs="Segoe UI"/>
                <w:color w:val="0F1115"/>
                <w:sz w:val="18"/>
                <w:szCs w:val="18"/>
                <w:lang w:val="en-US"/>
              </w:rPr>
              <w:t> 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- Une revue systématique sur le RAG dans le domaine médical (PMC).</w:t>
            </w:r>
          </w:p>
        </w:tc>
      </w:tr>
      <w:tr w:rsidR="00C14C9F" w:rsidRPr="00C14C9F" w14:paraId="2FD90CFC" w14:textId="77777777" w:rsidTr="00C14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" w:type="dxa"/>
          </w:tcPr>
          <w:p w14:paraId="5E0B17A4" w14:textId="467B929A" w:rsidR="00C14C9F" w:rsidRPr="00C14C9F" w:rsidRDefault="00C14C9F" w:rsidP="00C14C9F">
            <w:pPr>
              <w:rPr>
                <w:sz w:val="18"/>
                <w:szCs w:val="18"/>
              </w:rPr>
            </w:pP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Moteurs de Recherche Académiques</w:t>
            </w:r>
          </w:p>
        </w:tc>
        <w:tc>
          <w:tcPr>
            <w:tcW w:w="2163" w:type="dxa"/>
          </w:tcPr>
          <w:p w14:paraId="6A96E87C" w14:textId="0DB40533" w:rsidR="00C14C9F" w:rsidRPr="00C14C9F" w:rsidRDefault="00C14C9F" w:rsidP="00C14C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Outils comme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Google Scholar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qui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explorent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le web à la recherche de contenu académique (articles, thèses, livres) sans être propriétaires du contenu.</w:t>
            </w:r>
          </w:p>
        </w:tc>
        <w:tc>
          <w:tcPr>
            <w:tcW w:w="1559" w:type="dxa"/>
          </w:tcPr>
          <w:p w14:paraId="3A61CB31" w14:textId="4E38348B" w:rsidR="00C14C9F" w:rsidRPr="00C14C9F" w:rsidRDefault="00C14C9F" w:rsidP="00C14C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Gratuits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. Ils permettent de découvrir des articles et de voir qui les a cités, mais l'accès au texte intégral dépend des droits. Attention : moins de filtres de qualité que les bases payantes .</w:t>
            </w:r>
          </w:p>
        </w:tc>
        <w:tc>
          <w:tcPr>
            <w:tcW w:w="2564" w:type="dxa"/>
          </w:tcPr>
          <w:p w14:paraId="54BCF117" w14:textId="5D44891E" w:rsidR="00C14C9F" w:rsidRPr="00C14C9F" w:rsidRDefault="00C14C9F" w:rsidP="00C14C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Google Scholar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: Idéal pour une recherche large initiale. Sa force est de trouver des articles partout sur le web, y compris sur les sites des chercheurs .</w:t>
            </w:r>
          </w:p>
        </w:tc>
        <w:tc>
          <w:tcPr>
            <w:tcW w:w="1683" w:type="dxa"/>
          </w:tcPr>
          <w:p w14:paraId="6F79D479" w14:textId="294D2ED3" w:rsidR="00C14C9F" w:rsidRPr="00C14C9F" w:rsidRDefault="00C14C9F" w:rsidP="00C14C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Utilisez des mots-clés comme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"Retrieval-Augmented Generation legal"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ou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"LoRA fine-tuning law"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.</w:t>
            </w:r>
          </w:p>
        </w:tc>
      </w:tr>
      <w:tr w:rsidR="00C14C9F" w:rsidRPr="00C14C9F" w14:paraId="03802143" w14:textId="77777777" w:rsidTr="00C14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" w:type="dxa"/>
          </w:tcPr>
          <w:p w14:paraId="34D3F019" w14:textId="110A0FD9" w:rsidR="00C14C9F" w:rsidRPr="00C14C9F" w:rsidRDefault="00C14C9F" w:rsidP="00C14C9F">
            <w:pPr>
              <w:rPr>
                <w:sz w:val="18"/>
                <w:szCs w:val="18"/>
              </w:rPr>
            </w:pP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Serveurs de Prépublication</w:t>
            </w:r>
          </w:p>
        </w:tc>
        <w:tc>
          <w:tcPr>
            <w:tcW w:w="2163" w:type="dxa"/>
          </w:tcPr>
          <w:p w14:paraId="41AEACAC" w14:textId="4A0EBE57" w:rsidR="00C14C9F" w:rsidRPr="00C14C9F" w:rsidRDefault="00C14C9F" w:rsidP="00C14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Archives comme </w:t>
            </w:r>
            <w:hyperlink r:id="rId6" w:tgtFrame="_blank" w:history="1">
              <w:r w:rsidRPr="00C14C9F">
                <w:rPr>
                  <w:rStyle w:val="Lienhypertexte"/>
                  <w:rFonts w:ascii="Segoe UI" w:hAnsi="Segoe UI" w:cs="Segoe UI"/>
                  <w:b/>
                  <w:bCs/>
                  <w:color w:val="3964FE"/>
                  <w:sz w:val="18"/>
                  <w:szCs w:val="18"/>
                </w:rPr>
                <w:t>arXiv.org</w:t>
              </w:r>
            </w:hyperlink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où les chercheurs déposent librement des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manuscrits préliminaires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(ou </w:t>
            </w:r>
            <w:r w:rsidRPr="00C14C9F">
              <w:rPr>
                <w:rStyle w:val="Accentuation"/>
                <w:rFonts w:ascii="Segoe UI" w:hAnsi="Segoe UI" w:cs="Segoe UI"/>
                <w:color w:val="0F1115"/>
                <w:sz w:val="18"/>
                <w:szCs w:val="18"/>
              </w:rPr>
              <w:t>preprints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)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avant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l'évaluation par les pairs.</w:t>
            </w:r>
          </w:p>
        </w:tc>
        <w:tc>
          <w:tcPr>
            <w:tcW w:w="1559" w:type="dxa"/>
          </w:tcPr>
          <w:p w14:paraId="65232829" w14:textId="32A8E686" w:rsidR="00C14C9F" w:rsidRPr="00C14C9F" w:rsidRDefault="00C14C9F" w:rsidP="00C14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Gratuits, en libre accès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. Vous pouvez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télécharger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les PDF et les auteurs peuvent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uploader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leurs versions préliminaires. Ce n'est </w:t>
            </w: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pas un journal indexé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mais une archive de diffusion rapide.</w:t>
            </w:r>
          </w:p>
        </w:tc>
        <w:tc>
          <w:tcPr>
            <w:tcW w:w="2564" w:type="dxa"/>
          </w:tcPr>
          <w:p w14:paraId="10C89965" w14:textId="14A07122" w:rsidR="00C14C9F" w:rsidRPr="00C14C9F" w:rsidRDefault="00C14C9F" w:rsidP="00C14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Style w:val="lev"/>
                <w:rFonts w:ascii="Segoe UI" w:hAnsi="Segoe UI" w:cs="Segoe UI"/>
                <w:color w:val="0F1115"/>
                <w:sz w:val="18"/>
                <w:szCs w:val="18"/>
              </w:rPr>
              <w:t>arXiv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: Essentiel pour l'IA. La recherche y paraît des mois avant publication officielle. Ex: l'article sur un </w:t>
            </w:r>
            <w:r w:rsidRPr="00C14C9F">
              <w:rPr>
                <w:rStyle w:val="Accentuation"/>
                <w:rFonts w:ascii="Segoe UI" w:hAnsi="Segoe UI" w:cs="Segoe UI"/>
                <w:color w:val="0F1115"/>
                <w:sz w:val="18"/>
                <w:szCs w:val="18"/>
              </w:rPr>
              <w:t>"Lightweight Clinical Decision Support System using QLoRA-Fine-Tuned LLMs and RAG"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.</w:t>
            </w:r>
          </w:p>
        </w:tc>
        <w:tc>
          <w:tcPr>
            <w:tcW w:w="1683" w:type="dxa"/>
          </w:tcPr>
          <w:p w14:paraId="7AB16BC3" w14:textId="6A20DFA5" w:rsidR="00C14C9F" w:rsidRPr="00C14C9F" w:rsidRDefault="00C14C9F" w:rsidP="00C14C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14C9F">
              <w:rPr>
                <w:rFonts w:ascii="Segoe UI Emoji" w:hAnsi="Segoe UI Emoji" w:cs="Segoe UI Emoji"/>
                <w:color w:val="0F1115"/>
                <w:sz w:val="18"/>
                <w:szCs w:val="18"/>
              </w:rPr>
              <w:t>🔗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</w:t>
            </w:r>
            <w:hyperlink r:id="rId7" w:tgtFrame="_blank" w:history="1">
              <w:r w:rsidRPr="00C14C9F">
                <w:rPr>
                  <w:rStyle w:val="Accentuation"/>
                  <w:rFonts w:ascii="Segoe UI" w:hAnsi="Segoe UI" w:cs="Segoe UI"/>
                  <w:color w:val="3964FE"/>
                  <w:sz w:val="18"/>
                  <w:szCs w:val="18"/>
                </w:rPr>
                <w:t>Lightweight Clinical Decision Support System using QLoRA-Fine-Tuned LLMs and Retrieval-Augmented Generation</w:t>
              </w:r>
            </w:hyperlink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- Un </w:t>
            </w:r>
            <w:r w:rsidRPr="00C14C9F">
              <w:rPr>
                <w:rStyle w:val="Accentuation"/>
                <w:rFonts w:ascii="Segoe UI" w:hAnsi="Segoe UI" w:cs="Segoe UI"/>
                <w:color w:val="0F1115"/>
                <w:sz w:val="18"/>
                <w:szCs w:val="18"/>
              </w:rPr>
              <w:t>preprint</w:t>
            </w:r>
            <w:r w:rsidRPr="00C14C9F">
              <w:rPr>
                <w:rFonts w:ascii="Segoe UI" w:hAnsi="Segoe UI" w:cs="Segoe UI"/>
                <w:color w:val="0F1115"/>
                <w:sz w:val="18"/>
                <w:szCs w:val="18"/>
              </w:rPr>
              <w:t> combinant QLoRA et RAG dans un domaine expert sensible.</w:t>
            </w:r>
          </w:p>
        </w:tc>
      </w:tr>
    </w:tbl>
    <w:p w14:paraId="53D965C3" w14:textId="77777777" w:rsidR="00250AFB" w:rsidRPr="004A7176" w:rsidRDefault="00250AFB" w:rsidP="00C14C9F">
      <w:pPr>
        <w:rPr>
          <w:sz w:val="22"/>
          <w:szCs w:val="22"/>
        </w:rPr>
      </w:pPr>
    </w:p>
    <w:p w14:paraId="79253F04" w14:textId="0C35D4FE" w:rsidR="004A7176" w:rsidRDefault="004A7176" w:rsidP="00C14C9F">
      <w:pPr>
        <w:rPr>
          <w:sz w:val="22"/>
          <w:szCs w:val="22"/>
        </w:rPr>
      </w:pPr>
      <w:r w:rsidRPr="004A7176">
        <w:rPr>
          <w:sz w:val="22"/>
          <w:szCs w:val="22"/>
        </w:rPr>
        <w:lastRenderedPageBreak/>
        <w:t>Sujet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1694"/>
        <w:gridCol w:w="2178"/>
        <w:gridCol w:w="2218"/>
      </w:tblGrid>
      <w:tr w:rsidR="004A7176" w14:paraId="2C2475D7" w14:textId="77777777" w:rsidTr="00B03170">
        <w:tc>
          <w:tcPr>
            <w:tcW w:w="2972" w:type="dxa"/>
            <w:vAlign w:val="bottom"/>
          </w:tcPr>
          <w:p w14:paraId="563FB67A" w14:textId="03DB44BB" w:rsidR="004A7176" w:rsidRPr="004A7176" w:rsidRDefault="004A7176" w:rsidP="004A7176">
            <w:pPr>
              <w:rPr>
                <w:sz w:val="22"/>
                <w:szCs w:val="22"/>
              </w:rPr>
            </w:pPr>
            <w:r w:rsidRPr="004A7176">
              <w:rPr>
                <w:rFonts w:ascii="Nunito" w:hAnsi="Nunito"/>
                <w:b/>
                <w:bCs/>
                <w:color w:val="535F6B"/>
                <w:sz w:val="22"/>
                <w:szCs w:val="22"/>
              </w:rPr>
              <w:t>Titre</w:t>
            </w:r>
          </w:p>
        </w:tc>
        <w:tc>
          <w:tcPr>
            <w:tcW w:w="1694" w:type="dxa"/>
            <w:vAlign w:val="bottom"/>
          </w:tcPr>
          <w:p w14:paraId="6548469A" w14:textId="0DE87A00" w:rsidR="004A7176" w:rsidRPr="004A7176" w:rsidRDefault="004A7176" w:rsidP="004A7176">
            <w:pPr>
              <w:rPr>
                <w:sz w:val="22"/>
                <w:szCs w:val="22"/>
              </w:rPr>
            </w:pPr>
            <w:r w:rsidRPr="004A7176">
              <w:rPr>
                <w:rFonts w:ascii="Nunito" w:hAnsi="Nunito"/>
                <w:b/>
                <w:bCs/>
                <w:color w:val="535F6B"/>
                <w:sz w:val="22"/>
                <w:szCs w:val="22"/>
              </w:rPr>
              <w:t>Directeur de thèse</w:t>
            </w:r>
          </w:p>
        </w:tc>
        <w:tc>
          <w:tcPr>
            <w:tcW w:w="2178" w:type="dxa"/>
            <w:vAlign w:val="bottom"/>
          </w:tcPr>
          <w:p w14:paraId="20C96B72" w14:textId="2A9D1117" w:rsidR="004A7176" w:rsidRPr="004A7176" w:rsidRDefault="004A7176" w:rsidP="004A7176">
            <w:pPr>
              <w:rPr>
                <w:sz w:val="22"/>
                <w:szCs w:val="22"/>
              </w:rPr>
            </w:pPr>
            <w:r w:rsidRPr="004A7176">
              <w:rPr>
                <w:rFonts w:ascii="Nunito" w:hAnsi="Nunito"/>
                <w:b/>
                <w:bCs/>
                <w:color w:val="535F6B"/>
                <w:sz w:val="22"/>
                <w:szCs w:val="22"/>
              </w:rPr>
              <w:t>Structure</w:t>
            </w:r>
          </w:p>
        </w:tc>
        <w:tc>
          <w:tcPr>
            <w:tcW w:w="2218" w:type="dxa"/>
            <w:vAlign w:val="bottom"/>
          </w:tcPr>
          <w:p w14:paraId="6A2BC4A9" w14:textId="66A576F2" w:rsidR="004A7176" w:rsidRPr="004A7176" w:rsidRDefault="004A7176" w:rsidP="004A7176">
            <w:pPr>
              <w:rPr>
                <w:sz w:val="22"/>
                <w:szCs w:val="22"/>
              </w:rPr>
            </w:pPr>
            <w:r w:rsidRPr="004A7176">
              <w:rPr>
                <w:rFonts w:ascii="Nunito" w:hAnsi="Nunito"/>
                <w:b/>
                <w:bCs/>
                <w:color w:val="535F6B"/>
                <w:sz w:val="22"/>
                <w:szCs w:val="22"/>
              </w:rPr>
              <w:t>Etablissement</w:t>
            </w:r>
          </w:p>
        </w:tc>
      </w:tr>
      <w:tr w:rsidR="004A7176" w14:paraId="0B13E8D4" w14:textId="77777777" w:rsidTr="00B03170">
        <w:tc>
          <w:tcPr>
            <w:tcW w:w="2972" w:type="dxa"/>
            <w:vAlign w:val="center"/>
          </w:tcPr>
          <w:p w14:paraId="0DC988E8" w14:textId="056885FA" w:rsidR="004A7176" w:rsidRPr="004A7176" w:rsidRDefault="004A7176" w:rsidP="004A7176">
            <w:pPr>
              <w:rPr>
                <w:sz w:val="16"/>
                <w:szCs w:val="16"/>
              </w:rPr>
            </w:pPr>
            <w:r w:rsidRPr="004A7176">
              <w:rPr>
                <w:rFonts w:ascii="Nunito" w:hAnsi="Nunito"/>
                <w:color w:val="535F6B"/>
                <w:sz w:val="16"/>
                <w:szCs w:val="16"/>
              </w:rPr>
              <w:t>Fusion des LLM et de l’apprentissage profond en NLP pour générer des signaux de trading robustes</w:t>
            </w:r>
          </w:p>
        </w:tc>
        <w:tc>
          <w:tcPr>
            <w:tcW w:w="1694" w:type="dxa"/>
            <w:vAlign w:val="center"/>
          </w:tcPr>
          <w:p w14:paraId="0795F0EB" w14:textId="15E8686B" w:rsidR="004A7176" w:rsidRPr="004A7176" w:rsidRDefault="004A7176" w:rsidP="004A7176">
            <w:pPr>
              <w:rPr>
                <w:sz w:val="16"/>
                <w:szCs w:val="16"/>
              </w:rPr>
            </w:pPr>
            <w:r w:rsidRPr="004A7176">
              <w:rPr>
                <w:rFonts w:ascii="Nunito" w:hAnsi="Nunito"/>
                <w:color w:val="535F6B"/>
                <w:sz w:val="16"/>
                <w:szCs w:val="16"/>
              </w:rPr>
              <w:t>NOUREDDINE EN-NAHNAHI</w:t>
            </w:r>
          </w:p>
        </w:tc>
        <w:tc>
          <w:tcPr>
            <w:tcW w:w="2178" w:type="dxa"/>
            <w:vAlign w:val="center"/>
          </w:tcPr>
          <w:p w14:paraId="1E482989" w14:textId="0FFA84E0" w:rsidR="004A7176" w:rsidRPr="004A7176" w:rsidRDefault="004A7176" w:rsidP="004A7176">
            <w:pPr>
              <w:rPr>
                <w:sz w:val="16"/>
                <w:szCs w:val="16"/>
              </w:rPr>
            </w:pPr>
            <w:r w:rsidRPr="004A7176"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516E2F28" w14:textId="18C83B1A" w:rsidR="004A7176" w:rsidRPr="004A7176" w:rsidRDefault="004A7176" w:rsidP="004A7176">
            <w:pPr>
              <w:rPr>
                <w:sz w:val="16"/>
                <w:szCs w:val="16"/>
              </w:rPr>
            </w:pPr>
            <w:r w:rsidRPr="004A7176"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4A7176" w14:paraId="3BA3BD23" w14:textId="77777777" w:rsidTr="00B03170">
        <w:tc>
          <w:tcPr>
            <w:tcW w:w="2972" w:type="dxa"/>
            <w:vAlign w:val="center"/>
          </w:tcPr>
          <w:p w14:paraId="15D7B195" w14:textId="4D39B36A" w:rsidR="004A7176" w:rsidRPr="004A7176" w:rsidRDefault="004A7176" w:rsidP="004A7176">
            <w:pPr>
              <w:rPr>
                <w:sz w:val="16"/>
                <w:szCs w:val="16"/>
              </w:rPr>
            </w:pPr>
            <w:r w:rsidRPr="004A7176">
              <w:rPr>
                <w:rFonts w:ascii="Nunito" w:hAnsi="Nunito"/>
                <w:color w:val="535F6B"/>
                <w:sz w:val="16"/>
                <w:szCs w:val="16"/>
              </w:rPr>
              <w:t>Conception d’un système d’interrogation juridique basé sur le couplage LLM et recherche documentaire vectorielle (RAG) : cas du droit marocain</w:t>
            </w:r>
          </w:p>
        </w:tc>
        <w:tc>
          <w:tcPr>
            <w:tcW w:w="1694" w:type="dxa"/>
            <w:vAlign w:val="center"/>
          </w:tcPr>
          <w:p w14:paraId="0EC46D2F" w14:textId="39A4C6DF" w:rsidR="004A7176" w:rsidRPr="004A7176" w:rsidRDefault="004A7176" w:rsidP="004A7176">
            <w:pPr>
              <w:rPr>
                <w:sz w:val="16"/>
                <w:szCs w:val="16"/>
              </w:rPr>
            </w:pPr>
            <w:r w:rsidRPr="004A7176">
              <w:rPr>
                <w:rFonts w:ascii="Nunito" w:hAnsi="Nunito"/>
                <w:color w:val="535F6B"/>
                <w:sz w:val="16"/>
                <w:szCs w:val="16"/>
              </w:rPr>
              <w:t>CHAKIR LOQMAN</w:t>
            </w:r>
          </w:p>
        </w:tc>
        <w:tc>
          <w:tcPr>
            <w:tcW w:w="2178" w:type="dxa"/>
            <w:vAlign w:val="center"/>
          </w:tcPr>
          <w:p w14:paraId="209D6590" w14:textId="016E18EE" w:rsidR="004A7176" w:rsidRPr="004A7176" w:rsidRDefault="004A7176" w:rsidP="004A7176">
            <w:pPr>
              <w:rPr>
                <w:sz w:val="16"/>
                <w:szCs w:val="16"/>
              </w:rPr>
            </w:pPr>
            <w:r w:rsidRPr="004A7176"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514E15B6" w14:textId="77BF139C" w:rsidR="004A7176" w:rsidRPr="004A7176" w:rsidRDefault="004A7176" w:rsidP="004A7176">
            <w:pPr>
              <w:rPr>
                <w:sz w:val="16"/>
                <w:szCs w:val="16"/>
              </w:rPr>
            </w:pPr>
            <w:r w:rsidRPr="004A7176"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097126" w14:paraId="44D02F98" w14:textId="77777777" w:rsidTr="00B03170">
        <w:tc>
          <w:tcPr>
            <w:tcW w:w="2972" w:type="dxa"/>
            <w:vAlign w:val="center"/>
          </w:tcPr>
          <w:p w14:paraId="139BAF46" w14:textId="32B84EA1" w:rsidR="00097126" w:rsidRPr="00097126" w:rsidRDefault="00097126" w:rsidP="00097126">
            <w:pPr>
              <w:rPr>
                <w:sz w:val="16"/>
                <w:szCs w:val="16"/>
                <w:lang w:val="en-US"/>
              </w:rPr>
            </w:pPr>
            <w:r w:rsidRPr="00097126">
              <w:rPr>
                <w:rFonts w:ascii="Nunito" w:hAnsi="Nunito"/>
                <w:color w:val="535F6B"/>
                <w:sz w:val="16"/>
                <w:szCs w:val="16"/>
                <w:lang w:val="en-US"/>
              </w:rPr>
              <w:t>Adaptive Trading Systems Using Artificial Intelligence: Deep Reinforcement Learning and Risk-Aware Market Strategies</w:t>
            </w:r>
          </w:p>
        </w:tc>
        <w:tc>
          <w:tcPr>
            <w:tcW w:w="1694" w:type="dxa"/>
            <w:vAlign w:val="center"/>
          </w:tcPr>
          <w:p w14:paraId="569FD5D0" w14:textId="63AD3E91" w:rsidR="00097126" w:rsidRPr="00097126" w:rsidRDefault="00097126" w:rsidP="00097126">
            <w:pPr>
              <w:rPr>
                <w:sz w:val="16"/>
                <w:szCs w:val="16"/>
              </w:rPr>
            </w:pPr>
            <w:r w:rsidRPr="00097126">
              <w:rPr>
                <w:rFonts w:ascii="Nunito" w:hAnsi="Nunito"/>
                <w:color w:val="535F6B"/>
                <w:sz w:val="16"/>
                <w:szCs w:val="16"/>
              </w:rPr>
              <w:t>HASSAN SATORI</w:t>
            </w:r>
          </w:p>
        </w:tc>
        <w:tc>
          <w:tcPr>
            <w:tcW w:w="2178" w:type="dxa"/>
            <w:vAlign w:val="center"/>
          </w:tcPr>
          <w:p w14:paraId="4CDA6E0B" w14:textId="084636D7" w:rsidR="00097126" w:rsidRPr="00097126" w:rsidRDefault="00097126" w:rsidP="00097126">
            <w:pPr>
              <w:rPr>
                <w:sz w:val="16"/>
                <w:szCs w:val="16"/>
              </w:rPr>
            </w:pPr>
            <w:r w:rsidRPr="00097126"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72BC81E5" w14:textId="08B29ABE" w:rsidR="00097126" w:rsidRPr="00097126" w:rsidRDefault="00097126" w:rsidP="00097126">
            <w:pPr>
              <w:rPr>
                <w:sz w:val="16"/>
                <w:szCs w:val="16"/>
              </w:rPr>
            </w:pPr>
            <w:r w:rsidRPr="00097126"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097126" w14:paraId="324636BE" w14:textId="77777777" w:rsidTr="00B03170">
        <w:tc>
          <w:tcPr>
            <w:tcW w:w="2972" w:type="dxa"/>
            <w:vAlign w:val="center"/>
          </w:tcPr>
          <w:p w14:paraId="01BEA860" w14:textId="568166E8" w:rsidR="00097126" w:rsidRPr="00097126" w:rsidRDefault="00097126" w:rsidP="00097126">
            <w:pPr>
              <w:rPr>
                <w:sz w:val="16"/>
                <w:szCs w:val="16"/>
              </w:rPr>
            </w:pPr>
            <w:r w:rsidRPr="00097126">
              <w:rPr>
                <w:rFonts w:ascii="Nunito" w:hAnsi="Nunito"/>
                <w:color w:val="535F6B"/>
                <w:sz w:val="16"/>
                <w:szCs w:val="16"/>
              </w:rPr>
              <w:t>Vers une Meilleure Compréhension Automatique de l’Arabe Dialectal basée sur RAG/Fine-tuning : Modèles de Classification, Normalisation et Traduction MSA</w:t>
            </w:r>
          </w:p>
        </w:tc>
        <w:tc>
          <w:tcPr>
            <w:tcW w:w="1694" w:type="dxa"/>
            <w:vAlign w:val="center"/>
          </w:tcPr>
          <w:p w14:paraId="0A4E094D" w14:textId="3D55B603" w:rsidR="00097126" w:rsidRPr="00097126" w:rsidRDefault="00097126" w:rsidP="00097126">
            <w:pPr>
              <w:rPr>
                <w:sz w:val="16"/>
                <w:szCs w:val="16"/>
              </w:rPr>
            </w:pPr>
            <w:r w:rsidRPr="00097126">
              <w:rPr>
                <w:rFonts w:ascii="Nunito" w:hAnsi="Nunito"/>
                <w:color w:val="535F6B"/>
                <w:sz w:val="16"/>
                <w:szCs w:val="16"/>
              </w:rPr>
              <w:t>ABDELLATIF ELABDERRAHMANI</w:t>
            </w:r>
          </w:p>
        </w:tc>
        <w:tc>
          <w:tcPr>
            <w:tcW w:w="2178" w:type="dxa"/>
            <w:vAlign w:val="center"/>
          </w:tcPr>
          <w:p w14:paraId="6EC778B5" w14:textId="1C3461DD" w:rsidR="00097126" w:rsidRPr="00097126" w:rsidRDefault="00097126" w:rsidP="00097126">
            <w:pPr>
              <w:rPr>
                <w:sz w:val="16"/>
                <w:szCs w:val="16"/>
              </w:rPr>
            </w:pPr>
            <w:r w:rsidRPr="00097126"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756EAF41" w14:textId="209B2DC9" w:rsidR="00097126" w:rsidRPr="00097126" w:rsidRDefault="00097126" w:rsidP="00097126">
            <w:pPr>
              <w:rPr>
                <w:sz w:val="16"/>
                <w:szCs w:val="16"/>
              </w:rPr>
            </w:pPr>
            <w:r w:rsidRPr="00097126"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B03170" w14:paraId="267A266C" w14:textId="77777777" w:rsidTr="00B03170">
        <w:tc>
          <w:tcPr>
            <w:tcW w:w="2972" w:type="dxa"/>
            <w:vAlign w:val="center"/>
          </w:tcPr>
          <w:p w14:paraId="4AAEE0AD" w14:textId="44ED5606" w:rsidR="00B03170" w:rsidRPr="00B03170" w:rsidRDefault="00B03170" w:rsidP="00B03170">
            <w:pPr>
              <w:rPr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Systèmes multi-agents intelligents pour la prise de décision collective via IA agentique et apprentissage par renforcement profond</w:t>
            </w:r>
          </w:p>
        </w:tc>
        <w:tc>
          <w:tcPr>
            <w:tcW w:w="1694" w:type="dxa"/>
            <w:vAlign w:val="center"/>
          </w:tcPr>
          <w:p w14:paraId="31EE3BE4" w14:textId="6009ECDC" w:rsidR="00B03170" w:rsidRPr="00B03170" w:rsidRDefault="00B03170" w:rsidP="00B03170">
            <w:pPr>
              <w:rPr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HIBA RAMADAN</w:t>
            </w:r>
          </w:p>
        </w:tc>
        <w:tc>
          <w:tcPr>
            <w:tcW w:w="2178" w:type="dxa"/>
            <w:vAlign w:val="center"/>
          </w:tcPr>
          <w:p w14:paraId="1B7C7B03" w14:textId="77D0951A" w:rsidR="00B03170" w:rsidRPr="00B03170" w:rsidRDefault="00B03170" w:rsidP="00B03170">
            <w:pPr>
              <w:rPr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1187EC1F" w14:textId="17F4F6D7" w:rsidR="00B03170" w:rsidRPr="00B03170" w:rsidRDefault="00B03170" w:rsidP="00B03170">
            <w:pPr>
              <w:rPr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B03170" w14:paraId="4B6FA3E1" w14:textId="77777777" w:rsidTr="00B03170">
        <w:tc>
          <w:tcPr>
            <w:tcW w:w="2972" w:type="dxa"/>
            <w:vAlign w:val="center"/>
          </w:tcPr>
          <w:p w14:paraId="24D07709" w14:textId="11945F6E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  <w:lang w:val="en-US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  <w:lang w:val="en-US"/>
              </w:rPr>
              <w:t>Leveraging Semantic Analysis of Legal Texts Using Large Language Models (LLMs) for the Automated Prediction of Judicial Decisions</w:t>
            </w:r>
          </w:p>
        </w:tc>
        <w:tc>
          <w:tcPr>
            <w:tcW w:w="1694" w:type="dxa"/>
            <w:vAlign w:val="center"/>
          </w:tcPr>
          <w:p w14:paraId="6C736304" w14:textId="041DC805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CHAKIR LOQMAN</w:t>
            </w:r>
          </w:p>
        </w:tc>
        <w:tc>
          <w:tcPr>
            <w:tcW w:w="2178" w:type="dxa"/>
            <w:vAlign w:val="center"/>
          </w:tcPr>
          <w:p w14:paraId="21AA8CFC" w14:textId="058F2A9E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26EF7531" w14:textId="6062B378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B03170" w14:paraId="5641ADD8" w14:textId="77777777" w:rsidTr="00B03170">
        <w:tc>
          <w:tcPr>
            <w:tcW w:w="2972" w:type="dxa"/>
            <w:vAlign w:val="center"/>
          </w:tcPr>
          <w:p w14:paraId="32187589" w14:textId="176FBC9F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  <w:lang w:val="en-US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  <w:lang w:val="en-US"/>
              </w:rPr>
              <w:t>Compression of Large Language Models (LLMs)</w:t>
            </w:r>
          </w:p>
        </w:tc>
        <w:tc>
          <w:tcPr>
            <w:tcW w:w="1694" w:type="dxa"/>
            <w:vAlign w:val="center"/>
          </w:tcPr>
          <w:p w14:paraId="6F61CCE0" w14:textId="34A3E2C0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KHALID FARDOUSSE</w:t>
            </w:r>
          </w:p>
        </w:tc>
        <w:tc>
          <w:tcPr>
            <w:tcW w:w="2178" w:type="dxa"/>
            <w:vAlign w:val="center"/>
          </w:tcPr>
          <w:p w14:paraId="15FDB1DA" w14:textId="0E3EA211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409CB111" w14:textId="13DC1023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B03170" w14:paraId="4A8738FC" w14:textId="77777777" w:rsidTr="00B03170">
        <w:tc>
          <w:tcPr>
            <w:tcW w:w="2972" w:type="dxa"/>
            <w:vAlign w:val="center"/>
          </w:tcPr>
          <w:p w14:paraId="6BF21FAF" w14:textId="12EFA819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Prévision de marchés boursiers par deep learning sur données financières massives et non structurées</w:t>
            </w:r>
          </w:p>
        </w:tc>
        <w:tc>
          <w:tcPr>
            <w:tcW w:w="1694" w:type="dxa"/>
            <w:vAlign w:val="center"/>
          </w:tcPr>
          <w:p w14:paraId="42B66B9E" w14:textId="0F108833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IMANE SATAURI</w:t>
            </w:r>
          </w:p>
        </w:tc>
        <w:tc>
          <w:tcPr>
            <w:tcW w:w="2178" w:type="dxa"/>
            <w:vAlign w:val="center"/>
          </w:tcPr>
          <w:p w14:paraId="6B4B6DBA" w14:textId="0845BA16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47BD76E6" w14:textId="7600A240" w:rsidR="00B03170" w:rsidRPr="00B03170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B03170"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B03170" w14:paraId="151A8B2A" w14:textId="77777777" w:rsidTr="00B03170">
        <w:tc>
          <w:tcPr>
            <w:tcW w:w="2972" w:type="dxa"/>
            <w:vAlign w:val="center"/>
          </w:tcPr>
          <w:p w14:paraId="08107B6E" w14:textId="32C99226" w:rsidR="00B03170" w:rsidRPr="00F25C1B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25C1B">
              <w:rPr>
                <w:rFonts w:ascii="Nunito" w:hAnsi="Nunito"/>
                <w:color w:val="535F6B"/>
                <w:sz w:val="16"/>
                <w:szCs w:val="16"/>
              </w:rPr>
              <w:t>Plateforme IA pour la supervision intelligente des entrepôts logistiques</w:t>
            </w:r>
          </w:p>
        </w:tc>
        <w:tc>
          <w:tcPr>
            <w:tcW w:w="1694" w:type="dxa"/>
            <w:vAlign w:val="center"/>
          </w:tcPr>
          <w:p w14:paraId="7B5BE135" w14:textId="79F89125" w:rsidR="00B03170" w:rsidRPr="00F25C1B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25C1B">
              <w:rPr>
                <w:rFonts w:ascii="Nunito" w:hAnsi="Nunito"/>
                <w:color w:val="535F6B"/>
                <w:sz w:val="16"/>
                <w:szCs w:val="16"/>
              </w:rPr>
              <w:t>IMANE SATAURI</w:t>
            </w:r>
          </w:p>
        </w:tc>
        <w:tc>
          <w:tcPr>
            <w:tcW w:w="2178" w:type="dxa"/>
            <w:vAlign w:val="center"/>
          </w:tcPr>
          <w:p w14:paraId="0EDB9B94" w14:textId="4FE5345F" w:rsidR="00B03170" w:rsidRPr="00F25C1B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25C1B"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19EC30D8" w14:textId="27170B23" w:rsidR="00B03170" w:rsidRPr="00F25C1B" w:rsidRDefault="00B03170" w:rsidP="00B03170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25C1B"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376465" w14:paraId="62144659" w14:textId="77777777" w:rsidTr="00B03170">
        <w:tc>
          <w:tcPr>
            <w:tcW w:w="2972" w:type="dxa"/>
            <w:vAlign w:val="center"/>
          </w:tcPr>
          <w:p w14:paraId="74F47EC9" w14:textId="1C2349D1" w:rsidR="00376465" w:rsidRPr="00376465" w:rsidRDefault="00376465" w:rsidP="00376465">
            <w:pPr>
              <w:rPr>
                <w:rFonts w:ascii="Nunito" w:hAnsi="Nunito"/>
                <w:color w:val="535F6B"/>
                <w:sz w:val="16"/>
                <w:szCs w:val="16"/>
                <w:lang w:val="en-US"/>
              </w:rPr>
            </w:pPr>
            <w:r w:rsidRPr="00376465">
              <w:rPr>
                <w:rFonts w:ascii="Nunito" w:hAnsi="Nunito"/>
                <w:color w:val="535F6B"/>
                <w:sz w:val="16"/>
                <w:szCs w:val="16"/>
                <w:lang w:val="en-US"/>
              </w:rPr>
              <w:t>Semantic Search and Question Answering in the Moroccan Legal Domain</w:t>
            </w:r>
          </w:p>
        </w:tc>
        <w:tc>
          <w:tcPr>
            <w:tcW w:w="1694" w:type="dxa"/>
            <w:vAlign w:val="center"/>
          </w:tcPr>
          <w:p w14:paraId="62B0D8EF" w14:textId="10D38B61" w:rsidR="00376465" w:rsidRPr="00376465" w:rsidRDefault="00376465" w:rsidP="00376465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376465">
              <w:rPr>
                <w:rFonts w:ascii="Nunito" w:hAnsi="Nunito"/>
                <w:color w:val="535F6B"/>
                <w:sz w:val="16"/>
                <w:szCs w:val="16"/>
              </w:rPr>
              <w:t>AHMED ZINEDINE</w:t>
            </w:r>
          </w:p>
        </w:tc>
        <w:tc>
          <w:tcPr>
            <w:tcW w:w="2178" w:type="dxa"/>
            <w:vAlign w:val="center"/>
          </w:tcPr>
          <w:p w14:paraId="357F22AA" w14:textId="1E96C169" w:rsidR="00376465" w:rsidRPr="00376465" w:rsidRDefault="00376465" w:rsidP="00376465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376465"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6961A56D" w14:textId="1886A354" w:rsidR="00376465" w:rsidRPr="00376465" w:rsidRDefault="00376465" w:rsidP="00376465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376465"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F93759" w14:paraId="7FB32569" w14:textId="77777777" w:rsidTr="00B03170">
        <w:tc>
          <w:tcPr>
            <w:tcW w:w="2972" w:type="dxa"/>
            <w:vAlign w:val="center"/>
          </w:tcPr>
          <w:p w14:paraId="239D1ADB" w14:textId="5CAE7EC1" w:rsidR="00F93759" w:rsidRPr="00F93759" w:rsidRDefault="00F93759" w:rsidP="00F93759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93759">
              <w:rPr>
                <w:rFonts w:ascii="Nunito" w:hAnsi="Nunito"/>
                <w:color w:val="535F6B"/>
                <w:sz w:val="16"/>
                <w:szCs w:val="16"/>
              </w:rPr>
              <w:t>Vers un Trading intelligent et Efficace : Méthodes d'Explicabilité pour les Modèles de Prédiction et de Décision en Finance utilisant les techniques avancés de l'intelligence artificielle</w:t>
            </w:r>
          </w:p>
        </w:tc>
        <w:tc>
          <w:tcPr>
            <w:tcW w:w="1694" w:type="dxa"/>
            <w:vAlign w:val="center"/>
          </w:tcPr>
          <w:p w14:paraId="5D1C0844" w14:textId="2D41886F" w:rsidR="00F93759" w:rsidRPr="00F93759" w:rsidRDefault="00F93759" w:rsidP="00F93759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93759">
              <w:rPr>
                <w:rFonts w:ascii="Nunito" w:hAnsi="Nunito"/>
                <w:color w:val="535F6B"/>
                <w:sz w:val="16"/>
                <w:szCs w:val="16"/>
              </w:rPr>
              <w:t>BOUCHRA FRIKH</w:t>
            </w:r>
          </w:p>
        </w:tc>
        <w:tc>
          <w:tcPr>
            <w:tcW w:w="2178" w:type="dxa"/>
            <w:vAlign w:val="center"/>
          </w:tcPr>
          <w:p w14:paraId="17760833" w14:textId="461BC764" w:rsidR="00F93759" w:rsidRPr="00F93759" w:rsidRDefault="00F93759" w:rsidP="00F93759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93759">
              <w:rPr>
                <w:rFonts w:ascii="Nunito" w:hAnsi="Nunito"/>
                <w:color w:val="535F6B"/>
                <w:sz w:val="16"/>
                <w:szCs w:val="16"/>
              </w:rPr>
              <w:t>Laboratoire d'Intelligence Artificielle, Sciences des Données et Systèmes Emergents</w:t>
            </w:r>
          </w:p>
        </w:tc>
        <w:tc>
          <w:tcPr>
            <w:tcW w:w="2218" w:type="dxa"/>
            <w:vAlign w:val="center"/>
          </w:tcPr>
          <w:p w14:paraId="26254ACB" w14:textId="32BD2298" w:rsidR="00F93759" w:rsidRPr="00F93759" w:rsidRDefault="00F93759" w:rsidP="00F93759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93759">
              <w:rPr>
                <w:rFonts w:ascii="Nunito" w:hAnsi="Nunito"/>
                <w:color w:val="535F6B"/>
                <w:sz w:val="16"/>
                <w:szCs w:val="16"/>
              </w:rPr>
              <w:t>École Nationale des Sciences Appliquées</w:t>
            </w:r>
          </w:p>
        </w:tc>
      </w:tr>
      <w:tr w:rsidR="00F568FC" w14:paraId="153BDAAE" w14:textId="77777777" w:rsidTr="00B03170">
        <w:tc>
          <w:tcPr>
            <w:tcW w:w="2972" w:type="dxa"/>
            <w:vAlign w:val="center"/>
          </w:tcPr>
          <w:p w14:paraId="6DDE42B8" w14:textId="4CA78752" w:rsidR="00F568FC" w:rsidRPr="00F568FC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568FC">
              <w:rPr>
                <w:rFonts w:ascii="Nunito" w:hAnsi="Nunito"/>
                <w:color w:val="535F6B"/>
                <w:sz w:val="16"/>
                <w:szCs w:val="16"/>
              </w:rPr>
              <w:t>Ajustement fin des modèles de langage de grande taille (LLM) pour la traduction automatique de l’arabe en contexte de faibles ressources</w:t>
            </w:r>
          </w:p>
        </w:tc>
        <w:tc>
          <w:tcPr>
            <w:tcW w:w="1694" w:type="dxa"/>
            <w:vAlign w:val="center"/>
          </w:tcPr>
          <w:p w14:paraId="02B27DD7" w14:textId="51FF21D1" w:rsidR="00F568FC" w:rsidRPr="00F568FC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568FC">
              <w:rPr>
                <w:rFonts w:ascii="Nunito" w:hAnsi="Nunito"/>
                <w:color w:val="535F6B"/>
                <w:sz w:val="16"/>
                <w:szCs w:val="16"/>
              </w:rPr>
              <w:t>AZIZA EL OUAAZIZI</w:t>
            </w:r>
          </w:p>
        </w:tc>
        <w:tc>
          <w:tcPr>
            <w:tcW w:w="2178" w:type="dxa"/>
            <w:vAlign w:val="center"/>
          </w:tcPr>
          <w:p w14:paraId="1492514A" w14:textId="43C11E46" w:rsidR="00F568FC" w:rsidRPr="00F568FC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568FC">
              <w:rPr>
                <w:rFonts w:ascii="Nunito" w:hAnsi="Nunito"/>
                <w:color w:val="535F6B"/>
                <w:sz w:val="16"/>
                <w:szCs w:val="16"/>
              </w:rPr>
              <w:t>Laboratoires de Technologies Innovantes et d’Informatique</w:t>
            </w:r>
          </w:p>
        </w:tc>
        <w:tc>
          <w:tcPr>
            <w:tcW w:w="2218" w:type="dxa"/>
            <w:vAlign w:val="center"/>
          </w:tcPr>
          <w:p w14:paraId="4C452F7E" w14:textId="62B34AFB" w:rsidR="00F568FC" w:rsidRPr="00F568FC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568FC">
              <w:rPr>
                <w:rFonts w:ascii="Nunito" w:hAnsi="Nunito"/>
                <w:color w:val="535F6B"/>
                <w:sz w:val="16"/>
                <w:szCs w:val="16"/>
              </w:rPr>
              <w:t>École Supérieure de Technologie</w:t>
            </w:r>
          </w:p>
        </w:tc>
      </w:tr>
      <w:tr w:rsidR="00F568FC" w14:paraId="49951BA6" w14:textId="77777777" w:rsidTr="00B03170">
        <w:tc>
          <w:tcPr>
            <w:tcW w:w="2972" w:type="dxa"/>
            <w:vAlign w:val="center"/>
          </w:tcPr>
          <w:p w14:paraId="10A0350A" w14:textId="3E2D94F0" w:rsidR="00F568FC" w:rsidRPr="00B03170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568FC">
              <w:rPr>
                <w:rFonts w:ascii="Nunito" w:hAnsi="Nunito"/>
                <w:color w:val="535F6B"/>
                <w:sz w:val="16"/>
                <w:szCs w:val="16"/>
              </w:rPr>
              <w:t>Système intelligent de recommandation et d’optimisation de portefeuille d’investissement à la Bourse de Casablanca</w:t>
            </w:r>
          </w:p>
        </w:tc>
        <w:tc>
          <w:tcPr>
            <w:tcW w:w="1694" w:type="dxa"/>
            <w:vAlign w:val="center"/>
          </w:tcPr>
          <w:p w14:paraId="6D1F7861" w14:textId="7604A608" w:rsidR="00F568FC" w:rsidRPr="00B03170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568FC">
              <w:rPr>
                <w:rFonts w:ascii="Nunito" w:hAnsi="Nunito"/>
                <w:color w:val="535F6B"/>
                <w:sz w:val="16"/>
                <w:szCs w:val="16"/>
              </w:rPr>
              <w:t>ELABDERRAHMANI ABDELLATIF</w:t>
            </w:r>
          </w:p>
        </w:tc>
        <w:tc>
          <w:tcPr>
            <w:tcW w:w="2178" w:type="dxa"/>
            <w:vAlign w:val="center"/>
          </w:tcPr>
          <w:p w14:paraId="6B5A0078" w14:textId="7F0D7B07" w:rsidR="00F568FC" w:rsidRPr="00B03170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25C1B"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76D0F6B3" w14:textId="4335C244" w:rsidR="00F568FC" w:rsidRPr="00B03170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F25C1B"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246084" w14:paraId="1C07E5FD" w14:textId="77777777" w:rsidTr="00B03170">
        <w:tc>
          <w:tcPr>
            <w:tcW w:w="2972" w:type="dxa"/>
            <w:vAlign w:val="center"/>
          </w:tcPr>
          <w:p w14:paraId="674BFB11" w14:textId="3423A1C4" w:rsidR="00246084" w:rsidRPr="00F568FC" w:rsidRDefault="00246084" w:rsidP="00246084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246084">
              <w:rPr>
                <w:rFonts w:ascii="Nunito" w:hAnsi="Nunito"/>
                <w:color w:val="535F6B"/>
                <w:sz w:val="16"/>
                <w:szCs w:val="16"/>
              </w:rPr>
              <w:t>Intégration de l’approche RAG dans les Solutions Métiers BPM : Chatbots Intelligents, NLP et Analyse Prédictive pour l’Optimisation des Processus d’Entreprise</w:t>
            </w:r>
          </w:p>
        </w:tc>
        <w:tc>
          <w:tcPr>
            <w:tcW w:w="1694" w:type="dxa"/>
            <w:vAlign w:val="center"/>
          </w:tcPr>
          <w:p w14:paraId="68EBB30F" w14:textId="52302DCA" w:rsidR="00246084" w:rsidRPr="00F568FC" w:rsidRDefault="00246084" w:rsidP="00246084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 w:rsidRPr="00246084">
              <w:rPr>
                <w:rFonts w:ascii="Nunito" w:hAnsi="Nunito"/>
                <w:color w:val="535F6B"/>
                <w:sz w:val="16"/>
                <w:szCs w:val="16"/>
              </w:rPr>
              <w:t>CHENFOUR NOUREDDINE</w:t>
            </w:r>
          </w:p>
        </w:tc>
        <w:tc>
          <w:tcPr>
            <w:tcW w:w="2178" w:type="dxa"/>
            <w:vAlign w:val="center"/>
          </w:tcPr>
          <w:p w14:paraId="35413844" w14:textId="7F1E8114" w:rsidR="00246084" w:rsidRPr="00F25C1B" w:rsidRDefault="00246084" w:rsidP="00246084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>
              <w:rPr>
                <w:rFonts w:ascii="Nunito" w:hAnsi="Nunito"/>
                <w:color w:val="535F6B"/>
                <w:sz w:val="16"/>
                <w:szCs w:val="16"/>
              </w:rPr>
              <w:t>Laboratoire Informatique, Innovation et Intelligence Artificielle</w:t>
            </w:r>
          </w:p>
        </w:tc>
        <w:tc>
          <w:tcPr>
            <w:tcW w:w="2218" w:type="dxa"/>
            <w:vAlign w:val="center"/>
          </w:tcPr>
          <w:p w14:paraId="22185F2C" w14:textId="504AC9F6" w:rsidR="00246084" w:rsidRPr="00F25C1B" w:rsidRDefault="00246084" w:rsidP="00246084">
            <w:pPr>
              <w:rPr>
                <w:rFonts w:ascii="Nunito" w:hAnsi="Nunito"/>
                <w:color w:val="535F6B"/>
                <w:sz w:val="16"/>
                <w:szCs w:val="16"/>
              </w:rPr>
            </w:pPr>
            <w:r>
              <w:rPr>
                <w:rFonts w:ascii="Nunito" w:hAnsi="Nunito"/>
                <w:color w:val="535F6B"/>
                <w:sz w:val="16"/>
                <w:szCs w:val="16"/>
              </w:rPr>
              <w:t>Faculté des Sciences - Dhar El Mehraz</w:t>
            </w:r>
          </w:p>
        </w:tc>
      </w:tr>
      <w:tr w:rsidR="00F568FC" w14:paraId="14B6645A" w14:textId="77777777" w:rsidTr="00B03170">
        <w:tc>
          <w:tcPr>
            <w:tcW w:w="2972" w:type="dxa"/>
            <w:vAlign w:val="center"/>
          </w:tcPr>
          <w:p w14:paraId="5088B08A" w14:textId="77777777" w:rsidR="00F568FC" w:rsidRPr="00F568FC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</w:p>
        </w:tc>
        <w:tc>
          <w:tcPr>
            <w:tcW w:w="1694" w:type="dxa"/>
            <w:vAlign w:val="center"/>
          </w:tcPr>
          <w:p w14:paraId="26E96F6F" w14:textId="77777777" w:rsidR="00F568FC" w:rsidRPr="00F568FC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</w:p>
        </w:tc>
        <w:tc>
          <w:tcPr>
            <w:tcW w:w="2178" w:type="dxa"/>
            <w:vAlign w:val="center"/>
          </w:tcPr>
          <w:p w14:paraId="6464ABDF" w14:textId="77777777" w:rsidR="00F568FC" w:rsidRPr="00F25C1B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</w:p>
        </w:tc>
        <w:tc>
          <w:tcPr>
            <w:tcW w:w="2218" w:type="dxa"/>
            <w:vAlign w:val="center"/>
          </w:tcPr>
          <w:p w14:paraId="05226CD9" w14:textId="77777777" w:rsidR="00F568FC" w:rsidRPr="00F25C1B" w:rsidRDefault="00F568FC" w:rsidP="00F568FC">
            <w:pPr>
              <w:rPr>
                <w:rFonts w:ascii="Nunito" w:hAnsi="Nunito"/>
                <w:color w:val="535F6B"/>
                <w:sz w:val="16"/>
                <w:szCs w:val="16"/>
              </w:rPr>
            </w:pPr>
          </w:p>
        </w:tc>
      </w:tr>
    </w:tbl>
    <w:p w14:paraId="03EC9297" w14:textId="132F0AA8" w:rsidR="004A7176" w:rsidRDefault="004D2A0F" w:rsidP="00C14C9F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FA96B4" wp14:editId="58210420">
                <wp:simplePos x="0" y="0"/>
                <wp:positionH relativeFrom="column">
                  <wp:posOffset>1316355</wp:posOffset>
                </wp:positionH>
                <wp:positionV relativeFrom="paragraph">
                  <wp:posOffset>1938655</wp:posOffset>
                </wp:positionV>
                <wp:extent cx="1816100" cy="228600"/>
                <wp:effectExtent l="0" t="0" r="12700" b="19050"/>
                <wp:wrapNone/>
                <wp:docPr id="13663722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2D8ED" id="Rectangle 1" o:spid="_x0000_s1026" style="position:absolute;margin-left:103.65pt;margin-top:152.65pt;width:143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" filled="f" strokecolor="#e00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BDD41" wp14:editId="62FE6EB3">
                <wp:simplePos x="0" y="0"/>
                <wp:positionH relativeFrom="column">
                  <wp:posOffset>1316355</wp:posOffset>
                </wp:positionH>
                <wp:positionV relativeFrom="paragraph">
                  <wp:posOffset>211455</wp:posOffset>
                </wp:positionV>
                <wp:extent cx="1816100" cy="228600"/>
                <wp:effectExtent l="0" t="0" r="12700" b="19050"/>
                <wp:wrapNone/>
                <wp:docPr id="10159257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6C29D" id="Rectangle 1" o:spid="_x0000_s1026" style="position:absolute;margin-left:103.65pt;margin-top:16.65pt;width:143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" filled="f" strokecolor="#e00" strokeweight="1.5pt"/>
            </w:pict>
          </mc:Fallback>
        </mc:AlternateContent>
      </w:r>
      <w:r w:rsidRPr="004D2A0F">
        <w:rPr>
          <w:sz w:val="22"/>
          <w:szCs w:val="22"/>
        </w:rPr>
        <w:drawing>
          <wp:inline distT="0" distB="0" distL="0" distR="0" wp14:anchorId="41B3EEB2" wp14:editId="51CAB8BC">
            <wp:extent cx="5760720" cy="2204720"/>
            <wp:effectExtent l="0" t="0" r="0" b="5080"/>
            <wp:docPr id="17091081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08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CB31" w14:textId="4EBE91A5" w:rsidR="004D2A0F" w:rsidRDefault="004D2A0F" w:rsidP="00C14C9F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C6432F" wp14:editId="7FE64AE4">
                <wp:simplePos x="0" y="0"/>
                <wp:positionH relativeFrom="column">
                  <wp:posOffset>1875155</wp:posOffset>
                </wp:positionH>
                <wp:positionV relativeFrom="paragraph">
                  <wp:posOffset>1339850</wp:posOffset>
                </wp:positionV>
                <wp:extent cx="1193800" cy="349250"/>
                <wp:effectExtent l="0" t="0" r="25400" b="12700"/>
                <wp:wrapNone/>
                <wp:docPr id="18320804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349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961E1" id="Rectangle 1" o:spid="_x0000_s1026" style="position:absolute;margin-left:147.65pt;margin-top:105.5pt;width:94pt;height:2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" filled="f" strokecolor="#e00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EF778F" wp14:editId="3A9B8CFB">
                <wp:simplePos x="0" y="0"/>
                <wp:positionH relativeFrom="column">
                  <wp:posOffset>1843405</wp:posOffset>
                </wp:positionH>
                <wp:positionV relativeFrom="paragraph">
                  <wp:posOffset>107950</wp:posOffset>
                </wp:positionV>
                <wp:extent cx="1257300" cy="273050"/>
                <wp:effectExtent l="0" t="0" r="19050" b="12700"/>
                <wp:wrapNone/>
                <wp:docPr id="9006585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73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9193A" id="Rectangle 1" o:spid="_x0000_s1026" style="position:absolute;margin-left:145.15pt;margin-top:8.5pt;width:99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" filled="f" strokecolor="#e00" strokeweight="1.5pt"/>
            </w:pict>
          </mc:Fallback>
        </mc:AlternateContent>
      </w:r>
      <w:r w:rsidRPr="004D2A0F">
        <w:rPr>
          <w:sz w:val="22"/>
          <w:szCs w:val="22"/>
        </w:rPr>
        <w:drawing>
          <wp:inline distT="0" distB="0" distL="0" distR="0" wp14:anchorId="3212A9BA" wp14:editId="1654230A">
            <wp:extent cx="5989320" cy="3738880"/>
            <wp:effectExtent l="0" t="0" r="0" b="0"/>
            <wp:docPr id="1161520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0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8E02" w14:textId="77777777" w:rsidR="004D2A0F" w:rsidRPr="004D2A0F" w:rsidRDefault="004D2A0F" w:rsidP="00C14C9F">
      <w:pPr>
        <w:rPr>
          <w:color w:val="EE0000"/>
          <w:sz w:val="22"/>
          <w:szCs w:val="22"/>
        </w:rPr>
      </w:pPr>
    </w:p>
    <w:sectPr w:rsidR="004D2A0F" w:rsidRPr="004D2A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DB"/>
    <w:rsid w:val="00003180"/>
    <w:rsid w:val="00097126"/>
    <w:rsid w:val="00246084"/>
    <w:rsid w:val="00250AFB"/>
    <w:rsid w:val="00376465"/>
    <w:rsid w:val="00385E5B"/>
    <w:rsid w:val="004A7176"/>
    <w:rsid w:val="004D2A0F"/>
    <w:rsid w:val="008D7BA8"/>
    <w:rsid w:val="009F3EC8"/>
    <w:rsid w:val="00B03170"/>
    <w:rsid w:val="00C14C9F"/>
    <w:rsid w:val="00F25C1B"/>
    <w:rsid w:val="00F568FC"/>
    <w:rsid w:val="00F93759"/>
    <w:rsid w:val="00FF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70DA0"/>
  <w15:chartTrackingRefBased/>
  <w15:docId w15:val="{E37AD467-B596-4A29-BE17-C9CAB75B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F5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F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5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5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5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F5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F5A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5A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5A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5A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5A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5A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5A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5A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5A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5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5A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5AD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14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C14C9F"/>
    <w:rPr>
      <w:b/>
      <w:bCs/>
    </w:rPr>
  </w:style>
  <w:style w:type="character" w:styleId="Accentuation">
    <w:name w:val="Emphasis"/>
    <w:basedOn w:val="Policepardfaut"/>
    <w:uiPriority w:val="20"/>
    <w:qFormat/>
    <w:rsid w:val="00C14C9F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C14C9F"/>
    <w:rPr>
      <w:color w:val="0000FF"/>
      <w:u w:val="single"/>
    </w:rPr>
  </w:style>
  <w:style w:type="table" w:styleId="Grilledetableauclaire">
    <w:name w:val="Grid Table Light"/>
    <w:basedOn w:val="TableauNormal"/>
    <w:uiPriority w:val="40"/>
    <w:rsid w:val="00C14C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C14C9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arxiv.org/abs/2505.0340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mc.ncbi.nlm.nih/articles/PMC12157099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mdpi.com/2076-3417/15/8/4425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3</Pages>
  <Words>1050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2025-12-10T16:44:00Z</dcterms:created>
  <dcterms:modified xsi:type="dcterms:W3CDTF">2026-01-06T23:28:00Z</dcterms:modified>
</cp:coreProperties>
</file>