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ighlights"/>
    <w:p>
      <w:pPr>
        <w:pStyle w:val="Heading1"/>
      </w:pPr>
      <w:r>
        <w:t xml:space="preserve">Highlights</w:t>
      </w:r>
    </w:p>
    <w:p>
      <w:pPr>
        <w:numPr>
          <w:ilvl w:val="0"/>
          <w:numId w:val="1001"/>
        </w:numPr>
        <w:pStyle w:val="Compact"/>
      </w:pPr>
      <w:r>
        <w:t xml:space="preserve">Local droughts raise staple prices about 1% per s.d. within six months</w:t>
      </w:r>
    </w:p>
    <w:p>
      <w:pPr>
        <w:numPr>
          <w:ilvl w:val="0"/>
          <w:numId w:val="1001"/>
        </w:numPr>
        <w:pStyle w:val="Compact"/>
      </w:pPr>
      <w:r>
        <w:t xml:space="preserve">Traded rice and wheat are insulated; maize, sorghum and roots bear the burden</w:t>
      </w:r>
    </w:p>
    <w:p>
      <w:pPr>
        <w:numPr>
          <w:ilvl w:val="0"/>
          <w:numId w:val="1001"/>
        </w:numPr>
        <w:pStyle w:val="Compact"/>
      </w:pPr>
      <w:r>
        <w:t xml:space="preserve">Rice output falls with local drought, but imports cap its price</w:t>
      </w:r>
    </w:p>
    <w:p>
      <w:pPr>
        <w:numPr>
          <w:ilvl w:val="0"/>
          <w:numId w:val="1001"/>
        </w:numPr>
        <w:pStyle w:val="Compact"/>
      </w:pPr>
      <w:r>
        <w:t xml:space="preserve">Arid markets face up to four times the average price response</w:t>
      </w:r>
    </w:p>
    <w:p>
      <w:pPr>
        <w:numPr>
          <w:ilvl w:val="0"/>
          <w:numId w:val="1001"/>
        </w:numPr>
        <w:pStyle w:val="Compact"/>
      </w:pPr>
      <w:r>
        <w:t xml:space="preserve">World price spikes do not amplify local weather shocks on prices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2026-10-07T15:15:53Z</dcterms:created>
  <dcterms:modified xsi:type="dcterms:W3CDTF">2026-10-07T15:15:53Z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