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pays</w:t>
      </w:r>
      <w:r>
        <w:t xml:space="preserve"> </w:t>
      </w:r>
      <w:r>
        <w:t xml:space="preserve">for</w:t>
      </w:r>
      <w:r>
        <w:t xml:space="preserve"> </w:t>
      </w:r>
      <w:r>
        <w:t xml:space="preserve">local</w:t>
      </w:r>
      <w:r>
        <w:t xml:space="preserve"> </w:t>
      </w:r>
      <w:r>
        <w:t xml:space="preserve">droughts?</w:t>
      </w:r>
      <w:r>
        <w:t xml:space="preserve"> </w:t>
      </w:r>
      <w:r>
        <w:t xml:space="preserve">Weather</w:t>
      </w:r>
      <w:r>
        <w:t xml:space="preserve"> </w:t>
      </w:r>
      <w:r>
        <w:t xml:space="preserve">shocks</w:t>
      </w:r>
      <w:r>
        <w:t xml:space="preserve"> </w:t>
      </w:r>
      <w:r>
        <w:t xml:space="preserve">and</w:t>
      </w:r>
      <w:r>
        <w:t xml:space="preserve"> </w:t>
      </w:r>
      <w:r>
        <w:t xml:space="preserve">staple</w:t>
      </w:r>
      <w:r>
        <w:t xml:space="preserve"> </w:t>
      </w:r>
      <w:r>
        <w:t xml:space="preserve">prices</w:t>
      </w:r>
      <w:r>
        <w:t xml:space="preserve"> </w:t>
      </w:r>
      <w:r>
        <w:t xml:space="preserve">in</w:t>
      </w:r>
      <w:r>
        <w:t xml:space="preserve"> </w:t>
      </w:r>
      <w:r>
        <w:t xml:space="preserve">3,200</w:t>
      </w:r>
      <w:r>
        <w:t xml:space="preserve"> </w:t>
      </w:r>
      <w:r>
        <w:t xml:space="preserve">local</w:t>
      </w:r>
      <w:r>
        <w:t xml:space="preserve"> </w:t>
      </w:r>
      <w:r>
        <w:t xml:space="preserve">markets</w:t>
      </w:r>
    </w:p>
    <w:p>
      <w:pPr>
        <w:pStyle w:val="Subtitle"/>
      </w:pPr>
      <w:r>
        <w:t xml:space="preserve">Empirical</w:t>
      </w:r>
      <w:r>
        <w:t xml:space="preserve"> </w:t>
      </w:r>
      <w:r>
        <w:t xml:space="preserve">sections</w:t>
      </w:r>
      <w:r>
        <w:t xml:space="preserve"> </w:t>
      </w:r>
      <w:r>
        <w:t xml:space="preserve">(draft</w:t>
      </w:r>
      <w:r>
        <w:t xml:space="preserve"> </w:t>
      </w:r>
      <w:r>
        <w:t xml:space="preserve">for</w:t>
      </w:r>
      <w:r>
        <w:t xml:space="preserve"> </w:t>
      </w:r>
      <w:r>
        <w:rPr>
          <w:iCs/>
          <w:i/>
        </w:rPr>
        <w:t xml:space="preserve">Food</w:t>
      </w:r>
      <w:r>
        <w:rPr>
          <w:iCs/>
          <w:i/>
        </w:rPr>
        <w:t xml:space="preserve"> </w:t>
      </w:r>
      <w:r>
        <w:rPr>
          <w:iCs/>
          <w:i/>
        </w:rPr>
        <w:t xml:space="preserve">Policy</w:t>
      </w:r>
      <w:r>
        <w:t xml:space="preserve">)</w:t>
      </w:r>
    </w:p>
    <w:bookmarkStart w:id="23" w:name="data"/>
    <w:p>
      <w:pPr>
        <w:pStyle w:val="Heading1"/>
      </w:pPr>
      <w:r>
        <w:t xml:space="preserve">3. Data</w:t>
      </w:r>
    </w:p>
    <w:bookmarkStart w:id="20" w:name="local-food-prices"/>
    <w:p>
      <w:pPr>
        <w:pStyle w:val="Heading2"/>
      </w:pPr>
      <w:r>
        <w:t xml:space="preserve">3.1 Local food prices</w:t>
      </w:r>
    </w:p>
    <w:p>
      <w:pPr>
        <w:pStyle w:val="FirstParagraph"/>
      </w:pPr>
      <w:r>
        <w:t xml:space="preserve">Retail prices come from the World Food Programme price database, distributed through the Humanitarian Data Exchange as yearly global files (accessed 7 October 2026). We keep retail quotations for five staple groups: wheat products (grain, flour, bread and pasta), maize grain and flour, rice, sorghum and millet, and roots and tubers (cassava, yams and plantains). Oils, seed, food aid and milling-cost entries are dropped.</w:t>
      </w:r>
    </w:p>
    <w:p>
      <w:pPr>
        <w:pStyle w:val="BodyText"/>
      </w:pPr>
      <w:r>
        <w:t xml:space="preserve">A series is one product in one market, measured in one unit. We take the monthly median of all quotations in a series and work in logs. When a price moves by more than 1.5 log points in a single month, we set that observation to missing; in the raw files such jumps almost always come from a change of unit or currency. The sample starts in January 2000.</w:t>
      </w:r>
    </w:p>
    <w:p>
      <w:pPr>
        <w:pStyle w:val="BodyText"/>
      </w:pPr>
      <w:r>
        <w:t xml:space="preserve">At the six-month horizon the estimation sample has 757,136 market-months from 15,561 series in 3,221 markets and 85 countries, running from May 2000 to April 2026 (Table 1). Coverage is uneven over time. There are about 1,300 market-months in 2000 and roughly 80,000 a year after 2020, and Section 6 shows that this expansion does not drive the results. Rice is the largest group (226,440 market-months), followed by wheat (173,296), maize (139,634), sorghum and millet (135,340) and roots and tubers (82,426). We also build a monthly exchange rate for each country as the median ratio of local-currency to US-dollar prices in the same files.</w:t>
      </w:r>
    </w:p>
    <w:bookmarkEnd w:id="20"/>
    <w:bookmarkStart w:id="21" w:name="local-weather"/>
    <w:p>
      <w:pPr>
        <w:pStyle w:val="Heading2"/>
      </w:pPr>
      <w:r>
        <w:t xml:space="preserve">3.2 Local weather</w:t>
      </w:r>
    </w:p>
    <w:p>
      <w:pPr>
        <w:pStyle w:val="FirstParagraph"/>
      </w:pPr>
      <w:r>
        <w:t xml:space="preserve">Weather is measured at each market’s coordinates. Temperature and soil moisture come from the ERA5 reanalysis (Hersbach et al., 2020) at 0.25°, read from the public analysis-ready archive. For every month we compute mean 2 m temperature from four daily samples (00, 06, 12 and 18 UTC), extreme-heat degree days</w:t>
      </w:r>
      <w:r>
        <w:t xml:space="preserve"> </w:t>
      </w:r>
      <m:oMath>
        <m:r>
          <m:rPr>
            <m:sty m:val="p"/>
          </m:rPr>
          <m:t>H</m:t>
        </m:r>
        <m:r>
          <m:rPr>
            <m:sty m:val="p"/>
          </m:rPr>
          <m:t>D</m:t>
        </m:r>
        <m:r>
          <m:rPr>
            <m:sty m:val="p"/>
          </m:rPr>
          <m:t>D</m:t>
        </m:r>
        <m:r>
          <m:rPr>
            <m:sty m:val="p"/>
          </m:rPr>
          <m:t>30</m:t>
        </m:r>
        <m:r>
          <m:rPr>
            <m:sty m:val="p"/>
          </m:rPr>
          <m:t>=</m:t>
        </m:r>
        <m:nary>
          <m:naryPr>
            <m:chr m:val="∑"/>
            <m:limLoc m:val="undOvr"/>
            <m:subHide m:val="off"/>
            <m:supHide m:val="on"/>
          </m:naryPr>
          <m:sub>
            <m:r>
              <m:t>d</m:t>
            </m:r>
          </m:sub>
          <m:sup>
            <m:r>
              <m:t>​</m:t>
            </m:r>
          </m:sup>
          <m:e>
            <m:r>
              <m:rPr>
                <m:sty m:val="p"/>
              </m:rPr>
              <m:t>max</m:t>
            </m:r>
          </m:e>
        </m:nary>
        <m:d>
          <m:dPr>
            <m:begChr m:val="("/>
            <m:endChr m:val=")"/>
            <m:sepChr m:val=""/>
            <m:grow/>
          </m:dPr>
          <m:e>
            <m:sSubSup>
              <m:e>
                <m:r>
                  <m:t>T</m:t>
                </m:r>
              </m:e>
              <m:sub>
                <m:r>
                  <m:t>d</m:t>
                </m:r>
              </m:sub>
              <m:sup>
                <m:r>
                  <m:rPr>
                    <m:sty m:val="p"/>
                  </m:rPr>
                  <m:t>max</m:t>
                </m:r>
              </m:sup>
            </m:sSubSup>
            <m:r>
              <m:rPr>
                <m:sty m:val="p"/>
              </m:rPr>
              <m:t>−</m:t>
            </m:r>
            <m:sSup>
              <m:e>
                <m:r>
                  <m:t>30</m:t>
                </m:r>
              </m:e>
              <m:sup>
                <m:r>
                  <m:rPr>
                    <m:sty m:val="p"/>
                  </m:rPr>
                  <m:t>∘</m:t>
                </m:r>
              </m:sup>
            </m:sSup>
            <m:r>
              <m:rPr>
                <m:sty m:val="p"/>
              </m:rPr>
              <m:t>C</m:t>
            </m:r>
            <m:r>
              <m:rPr>
                <m:sty m:val="p"/>
              </m:rPr>
              <m:t>,</m:t>
            </m:r>
            <m:r>
              <m:t>0</m:t>
            </m:r>
          </m:e>
        </m:d>
      </m:oMath>
      <w:r>
        <w:t xml:space="preserve">, and mean volumetric soil water in the top layer. Precipitation comes from GPCP v2.3 (Adler et al., 2018) at 2.5°.</w:t>
      </w:r>
    </w:p>
    <w:p>
      <w:pPr>
        <w:pStyle w:val="BodyText"/>
      </w:pPr>
      <w:r>
        <w:t xml:space="preserve">Each variable is aggregated over three months, the usual convention for standardized drought indices, and expressed as a z-score against the market’s own 1991 to 2020 climatology for that calendar month. In deserts and dry seasons the climatological variance can be close to zero, which makes z-scores explode. To prevent this, we floor the standard deviation at the 10th percentile of positive standard deviations across markets and cap z-scores at ±4. Where extreme heat never occurs in a given season, the heat component uses the temperature anomaly instead. The index averages the three components in their adverse direction and rescales the result to unit standard deviation:</w:t>
      </w:r>
    </w:p>
    <w:p>
      <w:pPr>
        <w:pStyle w:val="BodyText"/>
      </w:pPr>
      <m:oMathPara>
        <m:oMathParaPr>
          <m:jc m:val="center"/>
        </m:oMathParaPr>
        <m:oMath>
          <m:sSub>
            <m:e>
              <m:r>
                <m:t>W</m:t>
              </m:r>
            </m:e>
            <m:sub>
              <m:r>
                <m:t>m</m:t>
              </m:r>
              <m:r>
                <m:t>t</m:t>
              </m:r>
            </m:sub>
          </m:sSub>
          <m:r>
            <m:rPr>
              <m:sty m:val="p"/>
            </m:rPr>
            <m:t>=</m:t>
          </m:r>
          <m:f>
            <m:fPr>
              <m:type m:val="bar"/>
            </m:fPr>
            <m:num>
              <m:sSub>
                <m:e>
                  <m:acc>
                    <m:accPr>
                      <m:chr m:val="̃"/>
                    </m:accPr>
                    <m:e>
                      <m:r>
                        <m:t>W</m:t>
                      </m:r>
                    </m:e>
                  </m:acc>
                </m:e>
                <m:sub>
                  <m:r>
                    <m:t>m</m:t>
                  </m:r>
                  <m:r>
                    <m:t>t</m:t>
                  </m:r>
                </m:sub>
              </m:sSub>
              <m:r>
                <m:rPr>
                  <m:sty m:val="p"/>
                </m:rPr>
                <m:t>−</m:t>
              </m:r>
              <m:bar>
                <m:barPr>
                  <m:pos m:val="top"/>
                </m:barPr>
                <m:e>
                  <m:acc>
                    <m:accPr>
                      <m:chr m:val="̃"/>
                    </m:accPr>
                    <m:e>
                      <m:r>
                        <m:t>W</m:t>
                      </m:r>
                    </m:e>
                  </m:acc>
                </m:e>
              </m:bar>
            </m:num>
            <m:den>
              <m:r>
                <m:rPr>
                  <m:sty m:val="p"/>
                </m:rPr>
                <m:t>sd</m:t>
              </m:r>
              <m:d>
                <m:dPr>
                  <m:begChr m:val="("/>
                  <m:endChr m:val=")"/>
                  <m:sepChr m:val=""/>
                  <m:grow/>
                </m:dPr>
                <m:e>
                  <m:acc>
                    <m:accPr>
                      <m:chr m:val="̃"/>
                    </m:accPr>
                    <m:e>
                      <m:r>
                        <m:t>W</m:t>
                      </m:r>
                    </m:e>
                  </m:acc>
                </m:e>
              </m:d>
            </m:den>
          </m:f>
          <m:r>
            <m:rPr>
              <m:sty m:val="p"/>
            </m:rPr>
            <m:t>,</m:t>
          </m:r>
          <m:r>
            <m:t>  </m:t>
          </m:r>
          <m:sSub>
            <m:e>
              <m:acc>
                <m:accPr>
                  <m:chr m:val="̃"/>
                </m:accPr>
                <m:e>
                  <m:r>
                    <m:t>W</m:t>
                  </m:r>
                </m:e>
              </m:acc>
            </m:e>
            <m:sub>
              <m:r>
                <m:t>m</m:t>
              </m:r>
              <m:r>
                <m:t>t</m:t>
              </m:r>
            </m:sub>
          </m:sSub>
          <m:r>
            <m:rPr>
              <m:sty m:val="p"/>
            </m:rPr>
            <m:t>=</m:t>
          </m:r>
          <m:f>
            <m:fPr>
              <m:type m:val="lin"/>
            </m:fPr>
            <m:num>
              <m:r>
                <m:t>1</m:t>
              </m:r>
            </m:num>
            <m:den>
              <m:r>
                <m:t>3</m:t>
              </m:r>
            </m:den>
          </m:f>
          <m:d>
            <m:dPr>
              <m:begChr m:val="("/>
              <m:endChr m:val=")"/>
              <m:sepChr m:val=""/>
              <m:grow/>
            </m:dPr>
            <m:e>
              <m:sSubSup>
                <m:e>
                  <m:r>
                    <m:t>z</m:t>
                  </m:r>
                </m:e>
                <m:sub>
                  <m:r>
                    <m:t>m</m:t>
                  </m:r>
                  <m:r>
                    <m:t>t</m:t>
                  </m:r>
                </m:sub>
                <m:sup>
                  <m:r>
                    <m:rPr>
                      <m:nor/>
                      <m:sty m:val="p"/>
                    </m:rPr>
                    <m:t>heat</m:t>
                  </m:r>
                </m:sup>
              </m:sSubSup>
              <m:r>
                <m:rPr>
                  <m:sty m:val="p"/>
                </m:rPr>
                <m:t>−</m:t>
              </m:r>
              <m:sSubSup>
                <m:e>
                  <m:r>
                    <m:t>z</m:t>
                  </m:r>
                </m:e>
                <m:sub>
                  <m:r>
                    <m:t>m</m:t>
                  </m:r>
                  <m:r>
                    <m:t>t</m:t>
                  </m:r>
                </m:sub>
                <m:sup>
                  <m:r>
                    <m:rPr>
                      <m:nor/>
                      <m:sty m:val="p"/>
                    </m:rPr>
                    <m:t>soil</m:t>
                  </m:r>
                </m:sup>
              </m:sSubSup>
              <m:r>
                <m:rPr>
                  <m:sty m:val="p"/>
                </m:rPr>
                <m:t>−</m:t>
              </m:r>
              <m:sSubSup>
                <m:e>
                  <m:r>
                    <m:t>z</m:t>
                  </m:r>
                </m:e>
                <m:sub>
                  <m:r>
                    <m:t>m</m:t>
                  </m:r>
                  <m:r>
                    <m:t>t</m:t>
                  </m:r>
                </m:sub>
                <m:sup>
                  <m:r>
                    <m:rPr>
                      <m:nor/>
                      <m:sty m:val="p"/>
                    </m:rPr>
                    <m:t>rain</m:t>
                  </m:r>
                </m:sup>
              </m:sSubSup>
            </m:e>
          </m:d>
          <m:r>
            <m:rPr>
              <m:sty m:val="p"/>
            </m:rPr>
            <m:t>.</m:t>
          </m:r>
          <m:r>
            <m:t>  </m:t>
          </m:r>
          <m:r>
            <m:t>  </m:t>
          </m:r>
          <m:d>
            <m:dPr>
              <m:begChr m:val="("/>
              <m:endChr m:val=")"/>
              <m:sepChr m:val=""/>
              <m:grow/>
            </m:dPr>
            <m:e>
              <m:r>
                <m:t>1</m:t>
              </m:r>
            </m:e>
          </m:d>
        </m:oMath>
      </m:oMathPara>
    </w:p>
    <w:p>
      <w:pPr>
        <w:pStyle w:val="FirstParagraph"/>
      </w:pPr>
      <w:r>
        <w:t xml:space="preserve">Positive values mean hotter and drier than normal for that market and season. In the estimation sample W has mean 0.30 and standard deviation 1.10 (Table 1). The positive mean reflects warming since the 1991 to 2020 base period; detrending makes no difference (Section 6). A quarter of market-months lie above W = 1, 6.1 percent above W = 2, and 11.1 percent below W = −1.</w:t>
      </w:r>
    </w:p>
    <w:p>
      <w:pPr>
        <w:pStyle w:val="BodyText"/>
      </w:pPr>
      <w:r>
        <w:t xml:space="preserve">Before estimating anything, we checked the index against documented events. Averaged over each country’s monitored markets in the main growing season, it reads +3.05 in Zambia (January to March 2024, the El Niño drought), +2.01 in Malawi (January to March 2016) and +2.02 in Zimbabwe (January to March 2024). It reads −2.48 in Pakistan during the 2022 floods (July to September) and −1.65 in Kenya during the wet March to May season of 2020.</w:t>
      </w:r>
    </w:p>
    <w:bookmarkEnd w:id="21"/>
    <w:bookmarkStart w:id="22" w:name="other-data"/>
    <w:p>
      <w:pPr>
        <w:pStyle w:val="Heading2"/>
      </w:pPr>
      <w:r>
        <w:t xml:space="preserve">3.3 Other data</w:t>
      </w:r>
    </w:p>
    <w:p>
      <w:pPr>
        <w:pStyle w:val="FirstParagraph"/>
      </w:pPr>
      <w:r>
        <w:t xml:space="preserve">World prices for wheat, maize and rice are IMF benchmark series taken from FRED and enter only as controls; coarse grains and roots are matched to the maize price. National crop production for the mechanism comes from FAOSTAT, by country, crop and year, for 2000 to 2024. Three policy moderators complete the data. Cereal import dependence is imports over domestic supply, averaged over 2010 to 2013, from the FAOSTAT Food Balance Sheets. Conflict exposure counts UCDP-GED (v26.1) fatalities within 50 km of the market over the previous 12 months. Remoteness is the distance to the nearest city of at least 500,000 people in Natural Earth. Staple calorie shares by group, also from the Food Balance Sheets for 2010 to 2013, are used for the welfare mapping.</w:t>
      </w:r>
    </w:p>
    <w:p>
      <w:pPr>
        <w:pStyle w:val="BodyText"/>
      </w:pPr>
      <w:r>
        <w:rPr>
          <w:bCs/>
          <w:b/>
        </w:rPr>
        <w:t xml:space="preserve">Table 1. Descriptive statistics, estimation sample at h = 6</w:t>
      </w:r>
    </w:p>
    <w:tbl>
      <w:tblPr>
        <w:tblStyle w:val="Table"/>
        <w:tblW w:type="pct" w:w="5000"/>
        <w:tblLook w:firstRow="1" w:lastRow="0" w:firstColumn="0" w:lastColumn="0" w:noHBand="0" w:noVBand="0" w:val="0020"/>
        <w:jc w:val="start"/>
      </w:tblPr>
      <w:tblGrid>
        <w:gridCol w:w="1863"/>
        <w:gridCol w:w="1009"/>
        <w:gridCol w:w="1009"/>
        <w:gridCol w:w="1009"/>
        <w:gridCol w:w="1009"/>
        <w:gridCol w:w="1009"/>
        <w:gridCol w:w="1009"/>
      </w:tblGrid>
      <w:tr>
        <w:trPr>
          <w:tblHeader w:val="true"/>
        </w:trPr>
        <w:tc>
          <w:tcPr/>
          <w:p>
            <w:pPr>
              <w:pStyle w:val="Compact"/>
              <w:jc w:val="left"/>
            </w:pPr>
            <w:r>
              <w:t xml:space="preserve">Variable</w:t>
            </w:r>
          </w:p>
        </w:tc>
        <w:tc>
          <w:tcPr/>
          <w:p>
            <w:pPr>
              <w:pStyle w:val="Compact"/>
              <w:jc w:val="left"/>
            </w:pPr>
            <w:r>
              <w:t xml:space="preserve">Unit</w:t>
            </w:r>
          </w:p>
        </w:tc>
        <w:tc>
          <w:tcPr/>
          <w:p>
            <w:pPr>
              <w:pStyle w:val="Compact"/>
              <w:jc w:val="left"/>
            </w:pPr>
            <w:r>
              <w:t xml:space="preserve">Mean</w:t>
            </w:r>
          </w:p>
        </w:tc>
        <w:tc>
          <w:tcPr/>
          <w:p>
            <w:pPr>
              <w:pStyle w:val="Compact"/>
              <w:jc w:val="left"/>
            </w:pPr>
            <w:r>
              <w:t xml:space="preserve">SD</w:t>
            </w:r>
          </w:p>
        </w:tc>
        <w:tc>
          <w:tcPr/>
          <w:p>
            <w:pPr>
              <w:pStyle w:val="Compact"/>
              <w:jc w:val="left"/>
            </w:pPr>
            <w:r>
              <w:t xml:space="preserve">Min</w:t>
            </w:r>
          </w:p>
        </w:tc>
        <w:tc>
          <w:tcPr/>
          <w:p>
            <w:pPr>
              <w:pStyle w:val="Compact"/>
              <w:jc w:val="left"/>
            </w:pPr>
            <w:r>
              <w:t xml:space="preserve">Max</w:t>
            </w:r>
          </w:p>
        </w:tc>
        <w:tc>
          <w:tcPr/>
          <w:p>
            <w:pPr>
              <w:pStyle w:val="Compact"/>
              <w:jc w:val="left"/>
            </w:pPr>
            <w:r>
              <w:t xml:space="preserve">N</w:t>
            </w:r>
          </w:p>
        </w:tc>
      </w:tr>
      <w:tr>
        <w:tc>
          <w:tcPr/>
          <w:p>
            <w:pPr>
              <w:pStyle w:val="Compact"/>
              <w:jc w:val="left"/>
            </w:pPr>
            <w:r>
              <w:t xml:space="preserve">Cumulative log price change, h=6 (y6)</w:t>
            </w:r>
          </w:p>
        </w:tc>
        <w:tc>
          <w:tcPr/>
          <w:p>
            <w:pPr>
              <w:pStyle w:val="Compact"/>
              <w:jc w:val="left"/>
            </w:pPr>
            <w:r>
              <w:t xml:space="preserve">%</w:t>
            </w:r>
          </w:p>
        </w:tc>
        <w:tc>
          <w:tcPr/>
          <w:p>
            <w:pPr>
              <w:pStyle w:val="Compact"/>
              <w:jc w:val="left"/>
            </w:pPr>
            <w:r>
              <w:t xml:space="preserve">4.03</w:t>
            </w:r>
          </w:p>
        </w:tc>
        <w:tc>
          <w:tcPr/>
          <w:p>
            <w:pPr>
              <w:pStyle w:val="Compact"/>
              <w:jc w:val="left"/>
            </w:pPr>
            <w:r>
              <w:t xml:space="preserve">25.26</w:t>
            </w:r>
          </w:p>
        </w:tc>
        <w:tc>
          <w:tcPr/>
          <w:p>
            <w:pPr>
              <w:pStyle w:val="Compact"/>
              <w:jc w:val="left"/>
            </w:pPr>
            <w:r>
              <w:t xml:space="preserve">-739.09</w:t>
            </w:r>
          </w:p>
        </w:tc>
        <w:tc>
          <w:tcPr/>
          <w:p>
            <w:pPr>
              <w:pStyle w:val="Compact"/>
              <w:jc w:val="left"/>
            </w:pPr>
            <w:r>
              <w:t xml:space="preserve">434.48</w:t>
            </w:r>
          </w:p>
        </w:tc>
        <w:tc>
          <w:tcPr/>
          <w:p>
            <w:pPr>
              <w:pStyle w:val="Compact"/>
              <w:jc w:val="left"/>
            </w:pPr>
            <w:r>
              <w:t xml:space="preserve">757,136</w:t>
            </w:r>
          </w:p>
        </w:tc>
      </w:tr>
      <w:tr>
        <w:tc>
          <w:tcPr/>
          <w:p>
            <w:pPr>
              <w:pStyle w:val="Compact"/>
              <w:jc w:val="left"/>
            </w:pPr>
            <w:r>
              <w:t xml:space="preserve">Monthly log price change (Δln p)</w:t>
            </w:r>
          </w:p>
        </w:tc>
        <w:tc>
          <w:tcPr/>
          <w:p>
            <w:pPr>
              <w:pStyle w:val="Compact"/>
              <w:jc w:val="left"/>
            </w:pPr>
            <w:r>
              <w:t xml:space="preserve">%</w:t>
            </w:r>
          </w:p>
        </w:tc>
        <w:tc>
          <w:tcPr/>
          <w:p>
            <w:pPr>
              <w:pStyle w:val="Compact"/>
              <w:jc w:val="left"/>
            </w:pPr>
            <w:r>
              <w:t xml:space="preserve">0.59</w:t>
            </w:r>
          </w:p>
        </w:tc>
        <w:tc>
          <w:tcPr/>
          <w:p>
            <w:pPr>
              <w:pStyle w:val="Compact"/>
              <w:jc w:val="left"/>
            </w:pPr>
            <w:r>
              <w:t xml:space="preserve">12.16</w:t>
            </w:r>
          </w:p>
        </w:tc>
        <w:tc>
          <w:tcPr/>
          <w:p>
            <w:pPr>
              <w:pStyle w:val="Compact"/>
              <w:jc w:val="left"/>
            </w:pPr>
            <w:r>
              <w:t xml:space="preserve">-149.74</w:t>
            </w:r>
          </w:p>
        </w:tc>
        <w:tc>
          <w:tcPr/>
          <w:p>
            <w:pPr>
              <w:pStyle w:val="Compact"/>
              <w:jc w:val="left"/>
            </w:pPr>
            <w:r>
              <w:t xml:space="preserve">149.58</w:t>
            </w:r>
          </w:p>
        </w:tc>
        <w:tc>
          <w:tcPr/>
          <w:p>
            <w:pPr>
              <w:pStyle w:val="Compact"/>
              <w:jc w:val="left"/>
            </w:pPr>
            <w:r>
              <w:t xml:space="preserve">757,136</w:t>
            </w:r>
          </w:p>
        </w:tc>
      </w:tr>
      <w:tr>
        <w:tc>
          <w:tcPr/>
          <w:p>
            <w:pPr>
              <w:pStyle w:val="Compact"/>
              <w:jc w:val="left"/>
            </w:pPr>
            <w:r>
              <w:t xml:space="preserve">Adverse weather index W</w:t>
            </w:r>
          </w:p>
        </w:tc>
        <w:tc>
          <w:tcPr/>
          <w:p>
            <w:pPr>
              <w:pStyle w:val="Compact"/>
              <w:jc w:val="left"/>
            </w:pPr>
            <w:r>
              <w:t xml:space="preserve">s.d. units</w:t>
            </w:r>
          </w:p>
        </w:tc>
        <w:tc>
          <w:tcPr/>
          <w:p>
            <w:pPr>
              <w:pStyle w:val="Compact"/>
              <w:jc w:val="left"/>
            </w:pPr>
            <w:r>
              <w:t xml:space="preserve">0.30</w:t>
            </w:r>
          </w:p>
        </w:tc>
        <w:tc>
          <w:tcPr/>
          <w:p>
            <w:pPr>
              <w:pStyle w:val="Compact"/>
              <w:jc w:val="left"/>
            </w:pPr>
            <w:r>
              <w:t xml:space="preserve">1.10</w:t>
            </w:r>
          </w:p>
        </w:tc>
        <w:tc>
          <w:tcPr/>
          <w:p>
            <w:pPr>
              <w:pStyle w:val="Compact"/>
              <w:jc w:val="left"/>
            </w:pPr>
            <w:r>
              <w:t xml:space="preserve">-5.09</w:t>
            </w:r>
          </w:p>
        </w:tc>
        <w:tc>
          <w:tcPr/>
          <w:p>
            <w:pPr>
              <w:pStyle w:val="Compact"/>
              <w:jc w:val="left"/>
            </w:pPr>
            <w:r>
              <w:t xml:space="preserve">5.51</w:t>
            </w:r>
          </w:p>
        </w:tc>
        <w:tc>
          <w:tcPr/>
          <w:p>
            <w:pPr>
              <w:pStyle w:val="Compact"/>
              <w:jc w:val="left"/>
            </w:pPr>
            <w:r>
              <w:t xml:space="preserve">757,136</w:t>
            </w:r>
          </w:p>
        </w:tc>
      </w:tr>
      <w:tr>
        <w:tc>
          <w:tcPr/>
          <w:p>
            <w:pPr>
              <w:pStyle w:val="Compact"/>
              <w:jc w:val="left"/>
            </w:pPr>
            <w:r>
              <w:t xml:space="preserve">Heat component z_heat</w:t>
            </w:r>
          </w:p>
        </w:tc>
        <w:tc>
          <w:tcPr/>
          <w:p>
            <w:pPr>
              <w:pStyle w:val="Compact"/>
              <w:jc w:val="left"/>
            </w:pPr>
            <w:r>
              <w:t xml:space="preserve">z</w:t>
            </w:r>
          </w:p>
        </w:tc>
        <w:tc>
          <w:tcPr/>
          <w:p>
            <w:pPr>
              <w:pStyle w:val="Compact"/>
              <w:jc w:val="left"/>
            </w:pPr>
            <w:r>
              <w:t xml:space="preserve">0.64</w:t>
            </w:r>
          </w:p>
        </w:tc>
        <w:tc>
          <w:tcPr/>
          <w:p>
            <w:pPr>
              <w:pStyle w:val="Compact"/>
              <w:jc w:val="left"/>
            </w:pPr>
            <w:r>
              <w:t xml:space="preserve">1.10</w:t>
            </w:r>
          </w:p>
        </w:tc>
        <w:tc>
          <w:tcPr/>
          <w:p>
            <w:pPr>
              <w:pStyle w:val="Compact"/>
              <w:jc w:val="left"/>
            </w:pPr>
            <w:r>
              <w:t xml:space="preserve">-3.52</w:t>
            </w:r>
          </w:p>
        </w:tc>
        <w:tc>
          <w:tcPr/>
          <w:p>
            <w:pPr>
              <w:pStyle w:val="Compact"/>
              <w:jc w:val="left"/>
            </w:pPr>
            <w:r>
              <w:t xml:space="preserve">4.00</w:t>
            </w:r>
          </w:p>
        </w:tc>
        <w:tc>
          <w:tcPr/>
          <w:p>
            <w:pPr>
              <w:pStyle w:val="Compact"/>
              <w:jc w:val="left"/>
            </w:pPr>
            <w:r>
              <w:t xml:space="preserve">757,136</w:t>
            </w:r>
          </w:p>
        </w:tc>
      </w:tr>
      <w:tr>
        <w:tc>
          <w:tcPr/>
          <w:p>
            <w:pPr>
              <w:pStyle w:val="Compact"/>
              <w:jc w:val="left"/>
            </w:pPr>
            <w:r>
              <w:t xml:space="preserve">Soil dryness −z_swvl1</w:t>
            </w:r>
          </w:p>
        </w:tc>
        <w:tc>
          <w:tcPr/>
          <w:p>
            <w:pPr>
              <w:pStyle w:val="Compact"/>
              <w:jc w:val="left"/>
            </w:pPr>
            <w:r>
              <w:t xml:space="preserve">z</w:t>
            </w:r>
          </w:p>
        </w:tc>
        <w:tc>
          <w:tcPr/>
          <w:p>
            <w:pPr>
              <w:pStyle w:val="Compact"/>
              <w:jc w:val="left"/>
            </w:pPr>
            <w:r>
              <w:t xml:space="preserve">0.12</w:t>
            </w:r>
          </w:p>
        </w:tc>
        <w:tc>
          <w:tcPr/>
          <w:p>
            <w:pPr>
              <w:pStyle w:val="Compact"/>
              <w:jc w:val="left"/>
            </w:pPr>
            <w:r>
              <w:t xml:space="preserve">1.04</w:t>
            </w:r>
          </w:p>
        </w:tc>
        <w:tc>
          <w:tcPr/>
          <w:p>
            <w:pPr>
              <w:pStyle w:val="Compact"/>
              <w:jc w:val="left"/>
            </w:pPr>
            <w:r>
              <w:t xml:space="preserve">-4.00</w:t>
            </w:r>
          </w:p>
        </w:tc>
        <w:tc>
          <w:tcPr/>
          <w:p>
            <w:pPr>
              <w:pStyle w:val="Compact"/>
              <w:jc w:val="left"/>
            </w:pPr>
            <w:r>
              <w:t xml:space="preserve">4.00</w:t>
            </w:r>
          </w:p>
        </w:tc>
        <w:tc>
          <w:tcPr/>
          <w:p>
            <w:pPr>
              <w:pStyle w:val="Compact"/>
              <w:jc w:val="left"/>
            </w:pPr>
            <w:r>
              <w:t xml:space="preserve">757,136</w:t>
            </w:r>
          </w:p>
        </w:tc>
      </w:tr>
      <w:tr>
        <w:tc>
          <w:tcPr/>
          <w:p>
            <w:pPr>
              <w:pStyle w:val="Compact"/>
              <w:jc w:val="left"/>
            </w:pPr>
            <w:r>
              <w:t xml:space="preserve">Rainfall deficit −z_precip</w:t>
            </w:r>
          </w:p>
        </w:tc>
        <w:tc>
          <w:tcPr/>
          <w:p>
            <w:pPr>
              <w:pStyle w:val="Compact"/>
              <w:jc w:val="left"/>
            </w:pPr>
            <w:r>
              <w:t xml:space="preserve">z</w:t>
            </w:r>
          </w:p>
        </w:tc>
        <w:tc>
          <w:tcPr/>
          <w:p>
            <w:pPr>
              <w:pStyle w:val="Compact"/>
              <w:jc w:val="left"/>
            </w:pPr>
            <w:r>
              <w:t xml:space="preserve">0.03</w:t>
            </w:r>
          </w:p>
        </w:tc>
        <w:tc>
          <w:tcPr/>
          <w:p>
            <w:pPr>
              <w:pStyle w:val="Compact"/>
              <w:jc w:val="left"/>
            </w:pPr>
            <w:r>
              <w:t xml:space="preserve">0.93</w:t>
            </w:r>
          </w:p>
        </w:tc>
        <w:tc>
          <w:tcPr/>
          <w:p>
            <w:pPr>
              <w:pStyle w:val="Compact"/>
              <w:jc w:val="left"/>
            </w:pPr>
            <w:r>
              <w:t xml:space="preserve">-4.00</w:t>
            </w:r>
          </w:p>
        </w:tc>
        <w:tc>
          <w:tcPr/>
          <w:p>
            <w:pPr>
              <w:pStyle w:val="Compact"/>
              <w:jc w:val="left"/>
            </w:pPr>
            <w:r>
              <w:t xml:space="preserve">4.00</w:t>
            </w:r>
          </w:p>
        </w:tc>
        <w:tc>
          <w:tcPr/>
          <w:p>
            <w:pPr>
              <w:pStyle w:val="Compact"/>
              <w:jc w:val="left"/>
            </w:pPr>
            <w:r>
              <w:t xml:space="preserve">757,136</w:t>
            </w:r>
          </w:p>
        </w:tc>
      </w:tr>
      <w:tr>
        <w:tc>
          <w:tcPr/>
          <w:p>
            <w:pPr>
              <w:pStyle w:val="Compact"/>
              <w:jc w:val="left"/>
            </w:pPr>
            <w:r>
              <w:t xml:space="preserve">World price change ΔG</w:t>
            </w:r>
          </w:p>
        </w:tc>
        <w:tc>
          <w:tcPr/>
          <w:p>
            <w:pPr>
              <w:pStyle w:val="Compact"/>
              <w:jc w:val="left"/>
            </w:pPr>
            <w:r>
              <w:t xml:space="preserve">%</w:t>
            </w:r>
          </w:p>
        </w:tc>
        <w:tc>
          <w:tcPr/>
          <w:p>
            <w:pPr>
              <w:pStyle w:val="Compact"/>
              <w:jc w:val="left"/>
            </w:pPr>
            <w:r>
              <w:t xml:space="preserve">0.05</w:t>
            </w:r>
          </w:p>
        </w:tc>
        <w:tc>
          <w:tcPr/>
          <w:p>
            <w:pPr>
              <w:pStyle w:val="Compact"/>
              <w:jc w:val="left"/>
            </w:pPr>
            <w:r>
              <w:t xml:space="preserve">5.95</w:t>
            </w:r>
          </w:p>
        </w:tc>
        <w:tc>
          <w:tcPr/>
          <w:p>
            <w:pPr>
              <w:pStyle w:val="Compact"/>
              <w:jc w:val="left"/>
            </w:pPr>
            <w:r>
              <w:t xml:space="preserve">-26.02</w:t>
            </w:r>
          </w:p>
        </w:tc>
        <w:tc>
          <w:tcPr/>
          <w:p>
            <w:pPr>
              <w:pStyle w:val="Compact"/>
              <w:jc w:val="left"/>
            </w:pPr>
            <w:r>
              <w:t xml:space="preserve">25.02</w:t>
            </w:r>
          </w:p>
        </w:tc>
        <w:tc>
          <w:tcPr/>
          <w:p>
            <w:pPr>
              <w:pStyle w:val="Compact"/>
              <w:jc w:val="left"/>
            </w:pPr>
            <w:r>
              <w:t xml:space="preserve">757,136</w:t>
            </w:r>
          </w:p>
        </w:tc>
      </w:tr>
      <w:tr>
        <w:tc>
          <w:tcPr/>
          <w:p>
            <w:pPr>
              <w:pStyle w:val="Compact"/>
              <w:jc w:val="left"/>
            </w:pPr>
            <w:r>
              <w:t xml:space="preserve">Exchange-rate change ΔE</w:t>
            </w:r>
          </w:p>
        </w:tc>
        <w:tc>
          <w:tcPr/>
          <w:p>
            <w:pPr>
              <w:pStyle w:val="Compact"/>
              <w:jc w:val="left"/>
            </w:pPr>
            <w:r>
              <w:t xml:space="preserve">%</w:t>
            </w:r>
          </w:p>
        </w:tc>
        <w:tc>
          <w:tcPr/>
          <w:p>
            <w:pPr>
              <w:pStyle w:val="Compact"/>
              <w:jc w:val="left"/>
            </w:pPr>
            <w:r>
              <w:t xml:space="preserve">0.31</w:t>
            </w:r>
          </w:p>
        </w:tc>
        <w:tc>
          <w:tcPr/>
          <w:p>
            <w:pPr>
              <w:pStyle w:val="Compact"/>
              <w:jc w:val="left"/>
            </w:pPr>
            <w:r>
              <w:t xml:space="preserve">5.38</w:t>
            </w:r>
          </w:p>
        </w:tc>
        <w:tc>
          <w:tcPr/>
          <w:p>
            <w:pPr>
              <w:pStyle w:val="Compact"/>
              <w:jc w:val="left"/>
            </w:pPr>
            <w:r>
              <w:t xml:space="preserve">-1110.75</w:t>
            </w:r>
          </w:p>
        </w:tc>
        <w:tc>
          <w:tcPr/>
          <w:p>
            <w:pPr>
              <w:pStyle w:val="Compact"/>
              <w:jc w:val="left"/>
            </w:pPr>
            <w:r>
              <w:t xml:space="preserve">357.96</w:t>
            </w:r>
          </w:p>
        </w:tc>
        <w:tc>
          <w:tcPr/>
          <w:p>
            <w:pPr>
              <w:pStyle w:val="Compact"/>
              <w:jc w:val="left"/>
            </w:pPr>
            <w:r>
              <w:t xml:space="preserve">757,136</w:t>
            </w:r>
          </w:p>
        </w:tc>
      </w:tr>
    </w:tbl>
    <w:p>
      <w:pPr>
        <w:pStyle w:val="BodyText"/>
      </w:pPr>
      <w:r>
        <w:rPr>
          <w:iCs/>
          <w:i/>
        </w:rPr>
        <w:t xml:space="preserve">Notes:</w:t>
      </w:r>
      <w:r>
        <w:t xml:space="preserve"> </w:t>
      </w:r>
      <w:r>
        <w:t xml:space="preserve">Price and exchange-rate changes in log points × 100. W and its components are standardized as described in Section 3.2. The extreme exchange-rate values come from hyperinflation and redenomination episodes; Section 6 drops those economies.</w:t>
      </w:r>
    </w:p>
    <w:bookmarkEnd w:id="22"/>
    <w:bookmarkEnd w:id="23"/>
    <w:bookmarkStart w:id="29" w:name="empirical-strategy"/>
    <w:p>
      <w:pPr>
        <w:pStyle w:val="Heading1"/>
      </w:pPr>
      <w:r>
        <w:t xml:space="preserve">4. Empirical strategy</w:t>
      </w:r>
    </w:p>
    <w:bookmarkStart w:id="24" w:name="baseline-local-projections"/>
    <w:p>
      <w:pPr>
        <w:pStyle w:val="Heading2"/>
      </w:pPr>
      <w:r>
        <w:t xml:space="preserve">4.1 Baseline local projections</w:t>
      </w:r>
    </w:p>
    <w:p>
      <w:pPr>
        <w:pStyle w:val="FirstParagraph"/>
      </w:pPr>
      <w:r>
        <w:t xml:space="preserve">We estimate the cumulative response of local prices to an adverse local weather shock with panel local projections (Jordà, 2005). For series</w:t>
      </w:r>
      <w:r>
        <w:t xml:space="preserve"> </w:t>
      </w:r>
      <w:r>
        <w:rPr>
          <w:iCs/>
          <w:i/>
        </w:rPr>
        <w:t xml:space="preserve">i</w:t>
      </w:r>
      <w:r>
        <w:t xml:space="preserve"> </w:t>
      </w:r>
      <w:r>
        <w:t xml:space="preserve">in market</w:t>
      </w:r>
      <w:r>
        <w:t xml:space="preserve"> </w:t>
      </w:r>
      <w:r>
        <w:rPr>
          <w:iCs/>
          <w:i/>
        </w:rPr>
        <w:t xml:space="preserve">m</w:t>
      </w:r>
      <w:r>
        <w:t xml:space="preserve"> </w:t>
      </w:r>
      <w:r>
        <w:t xml:space="preserve">and country</w:t>
      </w:r>
      <w:r>
        <w:t xml:space="preserve"> </w:t>
      </w:r>
      <w:r>
        <w:rPr>
          <w:iCs/>
          <w:i/>
        </w:rPr>
        <w:t xml:space="preserve">k</w:t>
      </w:r>
      <w:r>
        <w:t xml:space="preserve">, and for horizons</w:t>
      </w:r>
      <w:r>
        <w:t xml:space="preserve"> </w:t>
      </w:r>
      <m:oMath>
        <m:r>
          <m:t>h</m:t>
        </m:r>
        <m:r>
          <m:rPr>
            <m:sty m:val="p"/>
          </m:rPr>
          <m:t>∈</m:t>
        </m:r>
        <m:r>
          <m:rPr>
            <m:sty m:val="p"/>
          </m:rPr>
          <m:t>{</m:t>
        </m:r>
        <m:r>
          <m:t>0</m:t>
        </m:r>
        <m:r>
          <m:rPr>
            <m:sty m:val="p"/>
          </m:rPr>
          <m:t>,</m:t>
        </m:r>
        <m:r>
          <m:t>2</m:t>
        </m:r>
        <m:r>
          <m:rPr>
            <m:sty m:val="p"/>
          </m:rPr>
          <m:t>,</m:t>
        </m:r>
        <m:r>
          <m:t>4</m:t>
        </m:r>
        <m:r>
          <m:rPr>
            <m:sty m:val="p"/>
          </m:rPr>
          <m:t>,</m:t>
        </m:r>
        <m:r>
          <m:rPr>
            <m:sty m:val="p"/>
          </m:rPr>
          <m:t>…</m:t>
        </m:r>
        <m:r>
          <m:rPr>
            <m:sty m:val="p"/>
          </m:rPr>
          <m:t>,</m:t>
        </m:r>
        <m:r>
          <m:t>12</m:t>
        </m:r>
        <m:r>
          <m:rPr>
            <m:sty m:val="p"/>
          </m:rPr>
          <m:t>}</m:t>
        </m:r>
      </m:oMath>
      <w:r>
        <w:t xml:space="preserve"> </w:t>
      </w:r>
      <w:r>
        <w:t xml:space="preserve">months,</w:t>
      </w:r>
    </w:p>
    <w:p>
      <w:pPr>
        <w:pStyle w:val="BodyText"/>
      </w:pPr>
      <m:oMathPara>
        <m:oMathParaPr>
          <m:jc m:val="center"/>
        </m:oMathParaPr>
        <m:oMath>
          <m:r>
            <m:rPr>
              <m:sty m:val="p"/>
            </m:rPr>
            <m:t>ln</m:t>
          </m:r>
          <m:sSub>
            <m:e>
              <m:r>
                <m:t>p</m:t>
              </m:r>
            </m:e>
            <m:sub>
              <m:r>
                <m:t>i</m:t>
              </m:r>
              <m:r>
                <m:rPr>
                  <m:sty m:val="p"/>
                </m:rPr>
                <m:t>,</m:t>
              </m:r>
              <m:r>
                <m:t>t</m:t>
              </m:r>
              <m:r>
                <m:rPr>
                  <m:sty m:val="p"/>
                </m:rPr>
                <m:t>+</m:t>
              </m:r>
              <m:r>
                <m:t>h</m:t>
              </m:r>
            </m:sub>
          </m:sSub>
          <m:r>
            <m:rPr>
              <m:sty m:val="p"/>
            </m:rPr>
            <m:t>−</m:t>
          </m:r>
          <m:r>
            <m:rPr>
              <m:sty m:val="p"/>
            </m:rPr>
            <m:t>ln</m:t>
          </m:r>
          <m:sSub>
            <m:e>
              <m:r>
                <m:t>p</m:t>
              </m:r>
            </m:e>
            <m:sub>
              <m:r>
                <m:t>i</m:t>
              </m:r>
              <m:r>
                <m:rPr>
                  <m:sty m:val="p"/>
                </m:rPr>
                <m:t>,</m:t>
              </m:r>
              <m:r>
                <m:t>t</m:t>
              </m:r>
              <m:r>
                <m:rPr>
                  <m:sty m:val="p"/>
                </m:rPr>
                <m:t>−</m:t>
              </m:r>
              <m:r>
                <m:t>1</m:t>
              </m:r>
            </m:sub>
          </m:sSub>
          <m:r>
            <m:rPr>
              <m:sty m:val="p"/>
            </m:rPr>
            <m:t>=</m:t>
          </m:r>
          <m:sSub>
            <m:e>
              <m:r>
                <m:t>δ</m:t>
              </m:r>
            </m:e>
            <m:sub>
              <m:r>
                <m:t>h</m:t>
              </m:r>
            </m:sub>
          </m:sSub>
          <m:sSub>
            <m:e>
              <m:r>
                <m:t>W</m:t>
              </m:r>
            </m:e>
            <m:sub>
              <m:r>
                <m:t>m</m:t>
              </m:r>
              <m:r>
                <m:t>t</m:t>
              </m:r>
            </m:sub>
          </m:sSub>
          <m:r>
            <m:rPr>
              <m:sty m:val="p"/>
            </m:rPr>
            <m:t>+</m:t>
          </m:r>
          <m:nary>
            <m:naryPr>
              <m:chr m:val="∑"/>
              <m:limLoc m:val="undOvr"/>
              <m:subHide m:val="off"/>
              <m:supHide m:val="off"/>
            </m:naryPr>
            <m:sub>
              <m:r>
                <m:t>l</m:t>
              </m:r>
              <m:r>
                <m:rPr>
                  <m:sty m:val="p"/>
                </m:rPr>
                <m:t>=</m:t>
              </m:r>
              <m:r>
                <m:t>1</m:t>
              </m:r>
            </m:sub>
            <m:sup>
              <m:r>
                <m:t>3</m:t>
              </m:r>
            </m:sup>
            <m:e>
              <m:d>
                <m:dPr>
                  <m:begChr m:val="("/>
                  <m:endChr m:val=")"/>
                  <m:sepChr m:val=""/>
                  <m:grow/>
                </m:dPr>
                <m:e>
                  <m:sSub>
                    <m:e>
                      <m:r>
                        <m:t>ρ</m:t>
                      </m:r>
                    </m:e>
                    <m:sub>
                      <m:r>
                        <m:t>h</m:t>
                      </m:r>
                      <m:r>
                        <m:t>l</m:t>
                      </m:r>
                    </m:sub>
                  </m:sSub>
                  <m:r>
                    <m:t> </m:t>
                  </m:r>
                  <m:r>
                    <m:t>Δ</m:t>
                  </m:r>
                  <m:r>
                    <m:rPr>
                      <m:sty m:val="p"/>
                    </m:rPr>
                    <m:t>ln</m:t>
                  </m:r>
                  <m:sSub>
                    <m:e>
                      <m:r>
                        <m:t>p</m:t>
                      </m:r>
                    </m:e>
                    <m:sub>
                      <m:r>
                        <m:t>i</m:t>
                      </m:r>
                      <m:r>
                        <m:rPr>
                          <m:sty m:val="p"/>
                        </m:rPr>
                        <m:t>,</m:t>
                      </m:r>
                      <m:r>
                        <m:t>t</m:t>
                      </m:r>
                      <m:r>
                        <m:rPr>
                          <m:sty m:val="p"/>
                        </m:rPr>
                        <m:t>−</m:t>
                      </m:r>
                      <m:r>
                        <m:t>l</m:t>
                      </m:r>
                    </m:sub>
                  </m:sSub>
                  <m:r>
                    <m:rPr>
                      <m:sty m:val="p"/>
                    </m:rPr>
                    <m:t>+</m:t>
                  </m:r>
                  <m:sSub>
                    <m:e>
                      <m:r>
                        <m:t>ϕ</m:t>
                      </m:r>
                    </m:e>
                    <m:sub>
                      <m:r>
                        <m:t>h</m:t>
                      </m:r>
                      <m:r>
                        <m:t>l</m:t>
                      </m:r>
                    </m:sub>
                  </m:sSub>
                  <m:sSub>
                    <m:e>
                      <m:r>
                        <m:t>W</m:t>
                      </m:r>
                    </m:e>
                    <m:sub>
                      <m:r>
                        <m:t>m</m:t>
                      </m:r>
                      <m:r>
                        <m:rPr>
                          <m:sty m:val="p"/>
                        </m:rPr>
                        <m:t>,</m:t>
                      </m:r>
                      <m:r>
                        <m:t>t</m:t>
                      </m:r>
                      <m:r>
                        <m:rPr>
                          <m:sty m:val="p"/>
                        </m:rPr>
                        <m:t>−</m:t>
                      </m:r>
                      <m:r>
                        <m:t>l</m:t>
                      </m:r>
                    </m:sub>
                  </m:sSub>
                  <m:r>
                    <m:rPr>
                      <m:sty m:val="p"/>
                    </m:rPr>
                    <m:t>+</m:t>
                  </m:r>
                  <m:sSub>
                    <m:e>
                      <m:r>
                        <m:t>κ</m:t>
                      </m:r>
                    </m:e>
                    <m:sub>
                      <m:r>
                        <m:t>h</m:t>
                      </m:r>
                      <m:r>
                        <m:t>l</m:t>
                      </m:r>
                    </m:sub>
                  </m:sSub>
                  <m:r>
                    <m:t> </m:t>
                  </m:r>
                  <m:r>
                    <m:t>Δ</m:t>
                  </m:r>
                  <m:sSub>
                    <m:e>
                      <m:r>
                        <m:t>G</m:t>
                      </m:r>
                    </m:e>
                    <m:sub>
                      <m:r>
                        <m:t>c</m:t>
                      </m:r>
                      <m:r>
                        <m:rPr>
                          <m:sty m:val="p"/>
                        </m:rPr>
                        <m:t>,</m:t>
                      </m:r>
                      <m:r>
                        <m:t>t</m:t>
                      </m:r>
                      <m:r>
                        <m:rPr>
                          <m:sty m:val="p"/>
                        </m:rPr>
                        <m:t>−</m:t>
                      </m:r>
                      <m:r>
                        <m:t>l</m:t>
                      </m:r>
                    </m:sub>
                  </m:sSub>
                </m:e>
              </m:d>
            </m:e>
          </m:nary>
          <m:r>
            <m:rPr>
              <m:sty m:val="p"/>
            </m:rPr>
            <m:t>+</m:t>
          </m:r>
          <m:sSub>
            <m:e>
              <m:r>
                <m:t>κ</m:t>
              </m:r>
            </m:e>
            <m:sub>
              <m:r>
                <m:t>h</m:t>
              </m:r>
              <m:r>
                <m:t>0</m:t>
              </m:r>
            </m:sub>
          </m:sSub>
          <m:r>
            <m:t> </m:t>
          </m:r>
          <m:r>
            <m:t>Δ</m:t>
          </m:r>
          <m:sSub>
            <m:e>
              <m:r>
                <m:t>G</m:t>
              </m:r>
            </m:e>
            <m:sub>
              <m:r>
                <m:t>c</m:t>
              </m:r>
              <m:r>
                <m:t>t</m:t>
              </m:r>
            </m:sub>
          </m:sSub>
          <m:r>
            <m:rPr>
              <m:sty m:val="p"/>
            </m:rPr>
            <m:t>+</m:t>
          </m:r>
          <m:sSub>
            <m:e>
              <m:r>
                <m:t>θ</m:t>
              </m:r>
            </m:e>
            <m:sub>
              <m:r>
                <m:t>h</m:t>
              </m:r>
            </m:sub>
          </m:sSub>
          <m:r>
            <m:t> </m:t>
          </m:r>
          <m:r>
            <m:t>Δ</m:t>
          </m:r>
          <m:sSub>
            <m:e>
              <m:r>
                <m:t>E</m:t>
              </m:r>
            </m:e>
            <m:sub>
              <m:r>
                <m:t>k</m:t>
              </m:r>
              <m:r>
                <m:t>t</m:t>
              </m:r>
            </m:sub>
          </m:sSub>
          <m:r>
            <m:rPr>
              <m:sty m:val="p"/>
            </m:rPr>
            <m:t>+</m:t>
          </m:r>
          <m:sSubSup>
            <m:e>
              <m:r>
                <m:t>α</m:t>
              </m:r>
            </m:e>
            <m:sub>
              <m:r>
                <m:t>i</m:t>
              </m:r>
              <m:r>
                <m:rPr>
                  <m:sty m:val="p"/>
                </m:rPr>
                <m:t>,</m:t>
              </m:r>
              <m:r>
                <m:t>s</m:t>
              </m:r>
              <m:d>
                <m:dPr>
                  <m:begChr m:val="("/>
                  <m:endChr m:val=")"/>
                  <m:sepChr m:val=""/>
                  <m:grow/>
                </m:dPr>
                <m:e>
                  <m:r>
                    <m:t>t</m:t>
                  </m:r>
                </m:e>
              </m:d>
            </m:sub>
            <m:sup>
              <m:r>
                <m:t>h</m:t>
              </m:r>
            </m:sup>
          </m:sSubSup>
          <m:r>
            <m:rPr>
              <m:sty m:val="p"/>
            </m:rPr>
            <m:t>+</m:t>
          </m:r>
          <m:sSubSup>
            <m:e>
              <m:r>
                <m:t>λ</m:t>
              </m:r>
            </m:e>
            <m:sub>
              <m:r>
                <m:t>k</m:t>
              </m:r>
              <m:r>
                <m:rPr>
                  <m:sty m:val="p"/>
                </m:rPr>
                <m:t>,</m:t>
              </m:r>
              <m:r>
                <m:t>y</m:t>
              </m:r>
              <m:d>
                <m:dPr>
                  <m:begChr m:val="("/>
                  <m:endChr m:val=")"/>
                  <m:sepChr m:val=""/>
                  <m:grow/>
                </m:dPr>
                <m:e>
                  <m:r>
                    <m:t>t</m:t>
                  </m:r>
                </m:e>
              </m:d>
            </m:sub>
            <m:sup>
              <m:r>
                <m:t>h</m:t>
              </m:r>
            </m:sup>
          </m:sSubSup>
          <m:r>
            <m:rPr>
              <m:sty m:val="p"/>
            </m:rPr>
            <m:t>+</m:t>
          </m:r>
          <m:sSub>
            <m:e>
              <m:r>
                <m:t>ε</m:t>
              </m:r>
            </m:e>
            <m:sub>
              <m:r>
                <m:t>i</m:t>
              </m:r>
              <m:r>
                <m:rPr>
                  <m:sty m:val="p"/>
                </m:rPr>
                <m:t>,</m:t>
              </m:r>
              <m:r>
                <m:t>t</m:t>
              </m:r>
              <m:r>
                <m:rPr>
                  <m:sty m:val="p"/>
                </m:rPr>
                <m:t>+</m:t>
              </m:r>
              <m:r>
                <m:t>h</m:t>
              </m:r>
            </m:sub>
          </m:sSub>
          <m:r>
            <m:rPr>
              <m:sty m:val="p"/>
            </m:rPr>
            <m:t>.</m:t>
          </m:r>
          <m:r>
            <m:t>  </m:t>
          </m:r>
          <m:r>
            <m:t>  </m:t>
          </m:r>
          <m:d>
            <m:dPr>
              <m:begChr m:val="("/>
              <m:endChr m:val=")"/>
              <m:sepChr m:val=""/>
              <m:grow/>
            </m:dPr>
            <m:e>
              <m:r>
                <m:t>2</m:t>
              </m:r>
            </m:e>
          </m:d>
        </m:oMath>
      </m:oMathPara>
    </w:p>
    <w:p>
      <w:pPr>
        <w:pStyle w:val="FirstParagraph"/>
      </w:pPr>
      <w:r>
        <w:t xml:space="preserve">Here</w:t>
      </w:r>
      <w:r>
        <w:t xml:space="preserve"> </w:t>
      </w:r>
      <m:oMath>
        <m:sSub>
          <m:e>
            <m:r>
              <m:t>W</m:t>
            </m:r>
          </m:e>
          <m:sub>
            <m:r>
              <m:t>m</m:t>
            </m:r>
            <m:r>
              <m:t>t</m:t>
            </m:r>
          </m:sub>
        </m:sSub>
      </m:oMath>
      <w:r>
        <w:t xml:space="preserve"> </w:t>
      </w:r>
      <w:r>
        <w:t xml:space="preserve">is the index in Eq. (1),</w:t>
      </w:r>
      <w:r>
        <w:t xml:space="preserve"> </w:t>
      </w:r>
      <m:oMath>
        <m:r>
          <m:t>Δ</m:t>
        </m:r>
        <m:sSub>
          <m:e>
            <m:r>
              <m:t>G</m:t>
            </m:r>
          </m:e>
          <m:sub>
            <m:r>
              <m:t>c</m:t>
            </m:r>
            <m:r>
              <m:t>t</m:t>
            </m:r>
          </m:sub>
        </m:sSub>
      </m:oMath>
      <w:r>
        <w:t xml:space="preserve"> </w:t>
      </w:r>
      <w:r>
        <w:t xml:space="preserve">the monthly log change in the matched world price, and</w:t>
      </w:r>
      <w:r>
        <w:t xml:space="preserve"> </w:t>
      </w:r>
      <m:oMath>
        <m:r>
          <m:t>Δ</m:t>
        </m:r>
        <m:sSub>
          <m:e>
            <m:r>
              <m:t>E</m:t>
            </m:r>
          </m:e>
          <m:sub>
            <m:r>
              <m:t>k</m:t>
            </m:r>
            <m:r>
              <m:t>t</m:t>
            </m:r>
          </m:sub>
        </m:sSub>
      </m:oMath>
      <w:r>
        <w:t xml:space="preserve"> </w:t>
      </w:r>
      <w:r>
        <w:t xml:space="preserve">the monthly log change in the exchange rate. The fixed effects</w:t>
      </w:r>
      <w:r>
        <w:t xml:space="preserve"> </w:t>
      </w:r>
      <m:oMath>
        <m:sSub>
          <m:e>
            <m:r>
              <m:t>α</m:t>
            </m:r>
          </m:e>
          <m:sub>
            <m:r>
              <m:t>i</m:t>
            </m:r>
            <m:r>
              <m:rPr>
                <m:sty m:val="p"/>
              </m:rPr>
              <m:t>,</m:t>
            </m:r>
            <m:r>
              <m:t>s</m:t>
            </m:r>
            <m:d>
              <m:dPr>
                <m:begChr m:val="("/>
                <m:endChr m:val=")"/>
                <m:sepChr m:val=""/>
                <m:grow/>
              </m:dPr>
              <m:e>
                <m:r>
                  <m:t>t</m:t>
                </m:r>
              </m:e>
            </m:d>
          </m:sub>
        </m:sSub>
      </m:oMath>
      <w:r>
        <w:t xml:space="preserve"> </w:t>
      </w:r>
      <w:r>
        <w:t xml:space="preserve">are defined for each series and calendar month, and</w:t>
      </w:r>
      <w:r>
        <w:t xml:space="preserve"> </w:t>
      </w:r>
      <m:oMath>
        <m:sSub>
          <m:e>
            <m:r>
              <m:t>λ</m:t>
            </m:r>
          </m:e>
          <m:sub>
            <m:r>
              <m:t>k</m:t>
            </m:r>
            <m:r>
              <m:rPr>
                <m:sty m:val="p"/>
              </m:rPr>
              <m:t>,</m:t>
            </m:r>
            <m:r>
              <m:t>y</m:t>
            </m:r>
            <m:d>
              <m:dPr>
                <m:begChr m:val="("/>
                <m:endChr m:val=")"/>
                <m:sepChr m:val=""/>
                <m:grow/>
              </m:dPr>
              <m:e>
                <m:r>
                  <m:t>t</m:t>
                </m:r>
              </m:e>
            </m:d>
          </m:sub>
        </m:sSub>
      </m:oMath>
      <w:r>
        <w:t xml:space="preserve"> </w:t>
      </w:r>
      <w:r>
        <w:t xml:space="preserve">for each country and year.</w:t>
      </w:r>
    </w:p>
    <w:p>
      <w:pPr>
        <w:pStyle w:val="BodyText"/>
      </w:pPr>
      <w:r>
        <w:rPr>
          <w:iCs/>
          <w:i/>
        </w:rPr>
        <w:t xml:space="preserve">Estimand.</w:t>
      </w:r>
      <w:r>
        <w:t xml:space="preserve"> </w:t>
      </w:r>
      <m:oMath>
        <m:sSub>
          <m:e>
            <m:r>
              <m:t>δ</m:t>
            </m:r>
          </m:e>
          <m:sub>
            <m:r>
              <m:t>h</m:t>
            </m:r>
          </m:sub>
        </m:sSub>
      </m:oMath>
      <w:r>
        <w:t xml:space="preserve"> </w:t>
      </w:r>
      <w:r>
        <w:t xml:space="preserve">is the percent change in the local retail price h months after a one-standard-deviation adverse weather anomaly, measured against the month before the shock.</w:t>
      </w:r>
    </w:p>
    <w:p>
      <w:pPr>
        <w:pStyle w:val="BodyText"/>
      </w:pPr>
      <w:r>
        <w:rPr>
          <w:iCs/>
          <w:i/>
        </w:rPr>
        <w:t xml:space="preserve">Identification.</w:t>
      </w:r>
      <w:r>
        <w:t xml:space="preserve"> </w:t>
      </w:r>
      <w:r>
        <w:t xml:space="preserve">The coefficient comes from deviations of weather from its seasonal norm within a series, after removing anything common to a country in a given year. The series × calendar-month effects absorb each product’s seasonal price cycle in each market. The country × year effects absorb inflation, exchange-rate regimes, policy changes and the national harvest. Lagged weather separates a new shock from the persistence of earlier anomalies, and lagged price changes absorb momentum.</w:t>
      </w:r>
    </w:p>
    <w:p>
      <w:pPr>
        <w:pStyle w:val="BodyText"/>
      </w:pPr>
      <w:r>
        <w:t xml:space="preserve">The identifying assumption is that, conditional on these terms, local weather anomalies are unrelated to other local shocks to food demand or supply. It would fail if weather set off conflict, migration or market closures that moved prices through some channel other than local supply, or if traders anticipated anomalies before month</w:t>
      </w:r>
      <w:r>
        <w:t xml:space="preserve"> </w:t>
      </w:r>
      <w:r>
        <w:rPr>
          <w:iCs/>
          <w:i/>
        </w:rPr>
        <w:t xml:space="preserve">t</w:t>
      </w:r>
      <w:r>
        <w:t xml:space="preserve">. We test anticipation with leads (Section 6) and conflict as a moderator (Section 5.4).</w:t>
      </w:r>
    </w:p>
    <w:p>
      <w:pPr>
        <w:pStyle w:val="BodyText"/>
      </w:pPr>
      <w:r>
        <w:t xml:space="preserve">The remaining choices were fixed in a pre-analysis plan committed to the project repository before estimation. Horizons run to 12 months, one agricultural cycle. Three lags match the aggregation window of W. The contemporaneous world price change is included because a single market cannot move it.</w:t>
      </w:r>
    </w:p>
    <w:bookmarkEnd w:id="24"/>
    <w:bookmarkStart w:id="25" w:name="inference"/>
    <w:p>
      <w:pPr>
        <w:pStyle w:val="Heading2"/>
      </w:pPr>
      <w:r>
        <w:t xml:space="preserve">4.2 Inference</w:t>
      </w:r>
    </w:p>
    <w:p>
      <w:pPr>
        <w:pStyle w:val="FirstParagraph"/>
      </w:pPr>
      <w:r>
        <w:t xml:space="preserve">Standard errors are clustered two ways, by country (85 clusters) and by month (312 clusters), following Cameron et al. (2011). Weather is spatially correlated within countries, and common shocks such as world prices and El Niño reach every market in the same month. Because effects are estimated separately at seven horizons, we also report Holm (1979) adjusted p-values. Fixed effects are removed by iterative demeaning, with a convergence check before every regression.</w:t>
      </w:r>
    </w:p>
    <w:bookmarkEnd w:id="25"/>
    <w:bookmarkStart w:id="26" w:name="hypotheses"/>
    <w:p>
      <w:pPr>
        <w:pStyle w:val="Heading2"/>
      </w:pPr>
      <w:r>
        <w:t xml:space="preserve">4.3 Hypotheses</w:t>
      </w:r>
    </w:p>
    <w:p>
      <w:pPr>
        <w:pStyle w:val="FirstParagraph"/>
      </w:pPr>
      <w:r>
        <w:t xml:space="preserve">We stated five hypotheses before estimation.</w:t>
      </w:r>
    </w:p>
    <w:p>
      <w:pPr>
        <w:pStyle w:val="BodyText"/>
      </w:pPr>
      <w:r>
        <w:t xml:space="preserve">H1. Adverse weather raises local prices once the harvest effect materializes, so</w:t>
      </w:r>
      <w:r>
        <w:t xml:space="preserve"> </w:t>
      </w:r>
      <m:oMath>
        <m:sSub>
          <m:e>
            <m:r>
              <m:t>δ</m:t>
            </m:r>
          </m:e>
          <m:sub>
            <m:r>
              <m:t>h</m:t>
            </m:r>
          </m:sub>
        </m:sSub>
        <m:r>
          <m:rPr>
            <m:sty m:val="p"/>
          </m:rPr>
          <m:t>&gt;</m:t>
        </m:r>
        <m:r>
          <m:t>0</m:t>
        </m:r>
      </m:oMath>
      <w:r>
        <w:t xml:space="preserve"> </w:t>
      </w:r>
      <w:r>
        <w:t xml:space="preserve">for</w:t>
      </w:r>
      <w:r>
        <w:t xml:space="preserve"> </w:t>
      </w:r>
      <m:oMath>
        <m:r>
          <m:t>h</m:t>
        </m:r>
        <m:r>
          <m:rPr>
            <m:sty m:val="p"/>
          </m:rPr>
          <m:t>≥</m:t>
        </m:r>
        <m:r>
          <m:t>2</m:t>
        </m:r>
      </m:oMath>
      <w:r>
        <w:t xml:space="preserve">.</w:t>
      </w:r>
    </w:p>
    <w:p>
      <w:pPr>
        <w:pStyle w:val="BodyText"/>
      </w:pPr>
      <w:r>
        <w:t xml:space="preserve">H2. The effect is larger for staples that rarely cross borders (maize, sorghum and millet, roots and tubers) than for rice and wheat, whose local prices are held near import parity. We test this by interacting W with product-group indicators, using rice as the reference.</w:t>
      </w:r>
    </w:p>
    <w:p>
      <w:pPr>
        <w:pStyle w:val="BodyText"/>
      </w:pPr>
      <w:r>
        <w:t xml:space="preserve">H3. The size of the effect varies predictably with a market’s climate, remoteness and diet.</w:t>
      </w:r>
    </w:p>
    <w:p>
      <w:pPr>
        <w:pStyle w:val="BodyText"/>
      </w:pPr>
      <w:r>
        <w:t xml:space="preserve">H4. The local effect does not depend on world-market conditions. We interact W with</w:t>
      </w:r>
      <w:r>
        <w:t xml:space="preserve"> </w:t>
      </w:r>
      <m:oMath>
        <m:r>
          <m:t>Δ</m:t>
        </m:r>
        <m:sSub>
          <m:e>
            <m:r>
              <m:t>G</m:t>
            </m:r>
          </m:e>
          <m:sub>
            <m:r>
              <m:t>c</m:t>
            </m:r>
            <m:r>
              <m:t>t</m:t>
            </m:r>
          </m:sub>
        </m:sSub>
      </m:oMath>
      <w:r>
        <w:t xml:space="preserve"> </w:t>
      </w:r>
      <w:r>
        <w:t xml:space="preserve">and with an indicator for the world price lying above its 24-month moving average.</w:t>
      </w:r>
    </w:p>
    <w:p>
      <w:pPr>
        <w:pStyle w:val="BodyText"/>
      </w:pPr>
      <w:r>
        <w:t xml:space="preserve">H5. Adverse weather lowers production of traded and local staples alike. If it left rice and wheat output unchanged, the contrast in H2 could reflect the absence of a supply shock rather than trade.</w:t>
      </w:r>
    </w:p>
    <w:bookmarkEnd w:id="26"/>
    <w:bookmarkStart w:id="27" w:name="heterogeneity-and-mechanism"/>
    <w:p>
      <w:pPr>
        <w:pStyle w:val="Heading2"/>
      </w:pPr>
      <w:r>
        <w:t xml:space="preserve">4.4 Heterogeneity and mechanism</w:t>
      </w:r>
    </w:p>
    <w:p>
      <w:pPr>
        <w:pStyle w:val="FirstParagraph"/>
      </w:pPr>
      <w:r>
        <w:t xml:space="preserve">For H3, we residualize the six-month outcome and W on the fixed effects and controls of Eq. (2) and fit a causal forest with W as a continuous treatment (Athey et al., 2019). The forest uses honest splitting, 400 trees and leaves of at least 200 observations. Its inputs are distance to the coast, climatological aridity (log mean annual rainfall), climatological heat exposure, absolute latitude, product group and a label for imported products.</w:t>
      </w:r>
    </w:p>
    <w:p>
      <w:pPr>
        <w:pStyle w:val="BodyText"/>
      </w:pPr>
      <w:r>
        <w:t xml:space="preserve">A flexible learner can mistake noise for heterogeneity, so we cross-fit by country. The forest is trained on a random half of countries and predicts effects for the other half, then the halves swap. We sort market-months into terciles of predicted effect and re-estimate Eq. (2) inside each tercile, using only countries the forest did not see. If the forest has found heterogeneity that exists, realized effects should rise across terciles. A linear projection of the effect on standardized moderators, with two-way clustered errors, complements the forest.</w:t>
      </w:r>
    </w:p>
    <w:p>
      <w:pPr>
        <w:pStyle w:val="BodyText"/>
      </w:pPr>
      <w:r>
        <w:t xml:space="preserve">For H5 we estimate</w:t>
      </w:r>
    </w:p>
    <w:p>
      <w:pPr>
        <w:pStyle w:val="BodyText"/>
      </w:pPr>
      <m:oMathPara>
        <m:oMathParaPr>
          <m:jc m:val="center"/>
        </m:oMathParaPr>
        <m:oMath>
          <m:r>
            <m:rPr>
              <m:sty m:val="p"/>
            </m:rPr>
            <m:t>ln</m:t>
          </m:r>
          <m:sSub>
            <m:e>
              <m:r>
                <m:t>Q</m:t>
              </m:r>
            </m:e>
            <m:sub>
              <m:r>
                <m:t>c</m:t>
              </m:r>
              <m:r>
                <m:t>k</m:t>
              </m:r>
              <m:r>
                <m:t>t</m:t>
              </m:r>
            </m:sub>
          </m:sSub>
          <m:r>
            <m:rPr>
              <m:sty m:val="p"/>
            </m:rPr>
            <m:t>=</m:t>
          </m:r>
          <m:r>
            <m:t>β</m:t>
          </m:r>
          <m:r>
            <m:t> </m:t>
          </m:r>
          <m:sSub>
            <m:e>
              <m:bar>
                <m:barPr>
                  <m:pos m:val="top"/>
                </m:barPr>
                <m:e>
                  <m:r>
                    <m:t>W</m:t>
                  </m:r>
                </m:e>
              </m:bar>
            </m:e>
            <m:sub>
              <m:r>
                <m:t>c</m:t>
              </m:r>
              <m:r>
                <m:t>t</m:t>
              </m:r>
            </m:sub>
          </m:sSub>
          <m:r>
            <m:rPr>
              <m:sty m:val="p"/>
            </m:rPr>
            <m:t>+</m:t>
          </m:r>
          <m:sSub>
            <m:e>
              <m:r>
                <m:t>μ</m:t>
              </m:r>
            </m:e>
            <m:sub>
              <m:r>
                <m:t>c</m:t>
              </m:r>
              <m:r>
                <m:t>k</m:t>
              </m:r>
            </m:sub>
          </m:sSub>
          <m:r>
            <m:rPr>
              <m:sty m:val="p"/>
            </m:rPr>
            <m:t>+</m:t>
          </m:r>
          <m:sSub>
            <m:e>
              <m:r>
                <m:t>τ</m:t>
              </m:r>
            </m:e>
            <m:sub>
              <m:r>
                <m:t>k</m:t>
              </m:r>
              <m:r>
                <m:t>t</m:t>
              </m:r>
            </m:sub>
          </m:sSub>
          <m:r>
            <m:rPr>
              <m:sty m:val="p"/>
            </m:rPr>
            <m:t>+</m:t>
          </m:r>
          <m:sSub>
            <m:e>
              <m:r>
                <m:t>u</m:t>
              </m:r>
            </m:e>
            <m:sub>
              <m:r>
                <m:t>c</m:t>
              </m:r>
              <m:r>
                <m:t>k</m:t>
              </m:r>
              <m:r>
                <m:t>t</m:t>
              </m:r>
            </m:sub>
          </m:sSub>
          <m:r>
            <m:rPr>
              <m:sty m:val="p"/>
            </m:rPr>
            <m:t>,</m:t>
          </m:r>
          <m:r>
            <m:t>  </m:t>
          </m:r>
          <m:r>
            <m:t>  </m:t>
          </m:r>
          <m:d>
            <m:dPr>
              <m:begChr m:val="("/>
              <m:endChr m:val=")"/>
              <m:sepChr m:val=""/>
              <m:grow/>
            </m:dPr>
            <m:e>
              <m:r>
                <m:t>3</m:t>
              </m:r>
            </m:e>
          </m:d>
        </m:oMath>
      </m:oMathPara>
    </w:p>
    <w:p>
      <w:pPr>
        <w:pStyle w:val="FirstParagraph"/>
      </w:pPr>
      <w:r>
        <w:t xml:space="preserve">where</w:t>
      </w:r>
      <w:r>
        <w:t xml:space="preserve"> </w:t>
      </w:r>
      <m:oMath>
        <m:sSub>
          <m:e>
            <m:r>
              <m:t>Q</m:t>
            </m:r>
          </m:e>
          <m:sub>
            <m:r>
              <m:t>c</m:t>
            </m:r>
            <m:r>
              <m:t>k</m:t>
            </m:r>
            <m:r>
              <m:t>t</m:t>
            </m:r>
          </m:sub>
        </m:sSub>
      </m:oMath>
      <w:r>
        <w:t xml:space="preserve"> </w:t>
      </w:r>
      <w:r>
        <w:t xml:space="preserve">is production of crop</w:t>
      </w:r>
      <w:r>
        <w:t xml:space="preserve"> </w:t>
      </w:r>
      <w:r>
        <w:rPr>
          <w:iCs/>
          <w:i/>
        </w:rPr>
        <w:t xml:space="preserve">k</w:t>
      </w:r>
      <w:r>
        <w:t xml:space="preserve"> </w:t>
      </w:r>
      <w:r>
        <w:t xml:space="preserve">in country</w:t>
      </w:r>
      <w:r>
        <w:t xml:space="preserve"> </w:t>
      </w:r>
      <w:r>
        <w:rPr>
          <w:iCs/>
          <w:i/>
        </w:rPr>
        <w:t xml:space="preserve">c</w:t>
      </w:r>
      <w:r>
        <w:t xml:space="preserve"> </w:t>
      </w:r>
      <w:r>
        <w:t xml:space="preserve">and year</w:t>
      </w:r>
      <w:r>
        <w:t xml:space="preserve"> </w:t>
      </w:r>
      <w:r>
        <w:rPr>
          <w:iCs/>
          <w:i/>
        </w:rPr>
        <w:t xml:space="preserve">t</w:t>
      </w:r>
      <w:r>
        <w:t xml:space="preserve">, and</w:t>
      </w:r>
      <w:r>
        <w:t xml:space="preserve"> </w:t>
      </w:r>
      <m:oMath>
        <m:sSub>
          <m:e>
            <m:bar>
              <m:barPr>
                <m:pos m:val="top"/>
              </m:barPr>
              <m:e>
                <m:r>
                  <m:t>W</m:t>
                </m:r>
              </m:e>
            </m:bar>
          </m:e>
          <m:sub>
            <m:r>
              <m:t>c</m:t>
            </m:r>
            <m:r>
              <m:t>t</m:t>
            </m:r>
          </m:sub>
        </m:sSub>
      </m:oMath>
      <w:r>
        <w:t xml:space="preserve"> </w:t>
      </w:r>
      <w:r>
        <w:t xml:space="preserve">is the annual mean of W across the country’s monitored markets. Standard errors are clustered by country.</w:t>
      </w:r>
    </w:p>
    <w:p>
      <w:pPr>
        <w:pStyle w:val="BodyText"/>
      </w:pPr>
      <w:r>
        <w:t xml:space="preserve">The three policy moderators (import dependence, conflict exposure and remoteness) were added in a dated addendum to the pre-analysis plan after the main estimates and before their own estimation. Each is interacted with W at h = 6, and we label the results exploratory.</w:t>
      </w:r>
    </w:p>
    <w:bookmarkEnd w:id="27"/>
    <w:bookmarkStart w:id="28" w:name="choices-not-taken"/>
    <w:p>
      <w:pPr>
        <w:pStyle w:val="Heading2"/>
      </w:pPr>
      <w:r>
        <w:t xml:space="preserve">4.5 Choices not taken</w:t>
      </w:r>
    </w:p>
    <w:p>
      <w:pPr>
        <w:pStyle w:val="FirstParagraph"/>
      </w:pPr>
      <w:r>
        <w:t xml:space="preserve">The project began with a different design: it instrumented world price changes with weather shocks in the main exporting regions, to measure how much of a world price shock reaches local markets. At the aggregate level the instrument works, moving world cereal prices by 6 to 8 percent within four to eight months (F between 8 and 12). In the market panel it is too weak, because country × year effects strip out the annual variation in world prices: first-stage F lies between 0.5 and 9.6 across horizons. Anderson-Rubin confidence sets for pass-through are uninformative at every horizon except two months, where they bound the pass-through of supply-driven world price shocks at 0.11. We report that design in the Online Appendix and use it for no result in the main text. The local weather effect studied here does not depend on it.</w:t>
      </w:r>
    </w:p>
    <w:p>
      <w:pPr>
        <w:pStyle w:val="BodyText"/>
      </w:pPr>
      <w:r>
        <w:t xml:space="preserve">We also considered an index built from rainfall alone, as in much of the price literature. The joint index is preferred because heat and soil moisture capture crop stress that rainfall misses in irrigated and high-evaporation areas. Panel B of Table 2 reports the components separately, so the rainfall-only response can be read directly.</w:t>
      </w:r>
    </w:p>
    <w:bookmarkEnd w:id="28"/>
    <w:bookmarkEnd w:id="29"/>
    <w:bookmarkStart w:id="35" w:name="results"/>
    <w:p>
      <w:pPr>
        <w:pStyle w:val="Heading1"/>
      </w:pPr>
      <w:r>
        <w:t xml:space="preserve">5. Results</w:t>
      </w:r>
    </w:p>
    <w:bookmarkStart w:id="30" w:name="local-weather-raises-local-staple-prices"/>
    <w:p>
      <w:pPr>
        <w:pStyle w:val="Heading2"/>
      </w:pPr>
      <w:r>
        <w:t xml:space="preserve">5.1 Local weather raises local staple prices</w:t>
      </w:r>
    </w:p>
    <w:p>
      <w:pPr>
        <w:pStyle w:val="FirstParagraph"/>
      </w:pPr>
      <w:r>
        <w:t xml:space="preserve">Adverse local weather raises local staple prices after a delay of two to four months, and the effect lasts a year (Table 2, Panel A; Figure 1). Nothing happens in the month of the shock (−0.00 percent, SE 0.10). Prices are 0.42 percent higher per standard deviation of W after two months (SE 0.20), 0.87 percent after four (SE 0.26) and 0.99 percent at the six-month peak (95% CI 0.46 to 1.53; 757,136 market-months). At twelve months the effect is still 0.84 percent, with no sign of reversal. The effects from four to twelve months survive the Holm correction across seven horizons, with adjusted p-values between 0.002 and 0.009. The two-month effect does not (adjusted p = 0.066).</w:t>
      </w:r>
    </w:p>
    <w:p>
      <w:pPr>
        <w:pStyle w:val="BodyText"/>
      </w:pPr>
      <w:r>
        <w:t xml:space="preserve">The magnitudes matter in practice. A drought of two standard deviations, which occurs in 6.1 percent of market-months, implies prices about 2 percent higher within six months from local weather alone; the Zambian 2024 anomaly of +3.05 implies about 3 percent. These are partial effects. Because the country × year effects remove national inflation and the country’s harvest in that year, they measure the local part of a price shock, not the national one.</w:t>
      </w:r>
    </w:p>
    <w:p>
      <w:pPr>
        <w:pStyle w:val="BodyText"/>
      </w:pPr>
      <w:r>
        <w:rPr>
          <w:bCs/>
          <w:b/>
        </w:rPr>
        <w:t xml:space="preserve">Table 2. Response of local prices to adverse local weather (percent per 1 s.d.)</w:t>
      </w:r>
    </w:p>
    <w:tbl>
      <w:tblPr>
        <w:tblStyle w:val="Table"/>
        <w:tblW w:type="pct" w:w="5000"/>
        <w:tblLook w:firstRow="1" w:lastRow="0" w:firstColumn="0" w:lastColumn="0" w:noHBand="0" w:noVBand="0" w:val="0020"/>
        <w:jc w:val="start"/>
      </w:tblPr>
      <w:tblGrid>
        <w:gridCol w:w="1652"/>
        <w:gridCol w:w="895"/>
        <w:gridCol w:w="895"/>
        <w:gridCol w:w="895"/>
        <w:gridCol w:w="895"/>
        <w:gridCol w:w="895"/>
        <w:gridCol w:w="895"/>
        <w:gridCol w:w="895"/>
      </w:tblGrid>
      <w:tr>
        <w:trPr>
          <w:tblHeader w:val="true"/>
        </w:trPr>
        <w:tc>
          <w:tcPr/>
          <w:p>
            <w:pPr>
              <w:pStyle w:val="Compact"/>
            </w:pPr>
          </w:p>
        </w:tc>
        <w:tc>
          <w:tcPr/>
          <w:p>
            <w:pPr>
              <w:pStyle w:val="Compact"/>
              <w:jc w:val="left"/>
            </w:pPr>
            <w:r>
              <w:t xml:space="preserve">h = 0</w:t>
            </w:r>
          </w:p>
        </w:tc>
        <w:tc>
          <w:tcPr/>
          <w:p>
            <w:pPr>
              <w:pStyle w:val="Compact"/>
              <w:jc w:val="left"/>
            </w:pPr>
            <w:r>
              <w:t xml:space="preserve">h = 2</w:t>
            </w:r>
          </w:p>
        </w:tc>
        <w:tc>
          <w:tcPr/>
          <w:p>
            <w:pPr>
              <w:pStyle w:val="Compact"/>
              <w:jc w:val="left"/>
            </w:pPr>
            <w:r>
              <w:t xml:space="preserve">h = 4</w:t>
            </w:r>
          </w:p>
        </w:tc>
        <w:tc>
          <w:tcPr/>
          <w:p>
            <w:pPr>
              <w:pStyle w:val="Compact"/>
              <w:jc w:val="left"/>
            </w:pPr>
            <w:r>
              <w:t xml:space="preserve">h = 6</w:t>
            </w:r>
          </w:p>
        </w:tc>
        <w:tc>
          <w:tcPr/>
          <w:p>
            <w:pPr>
              <w:pStyle w:val="Compact"/>
              <w:jc w:val="left"/>
            </w:pPr>
            <w:r>
              <w:t xml:space="preserve">h = 8</w:t>
            </w:r>
          </w:p>
        </w:tc>
        <w:tc>
          <w:tcPr/>
          <w:p>
            <w:pPr>
              <w:pStyle w:val="Compact"/>
              <w:jc w:val="left"/>
            </w:pPr>
            <w:r>
              <w:t xml:space="preserve">h = 10</w:t>
            </w:r>
          </w:p>
        </w:tc>
        <w:tc>
          <w:tcPr/>
          <w:p>
            <w:pPr>
              <w:pStyle w:val="Compact"/>
              <w:jc w:val="left"/>
            </w:pPr>
            <w:r>
              <w:t xml:space="preserve">h = 12</w:t>
            </w:r>
          </w:p>
        </w:tc>
      </w:tr>
      <w:tr>
        <w:tc>
          <w:tcPr/>
          <w:p>
            <w:pPr>
              <w:pStyle w:val="Compact"/>
              <w:jc w:val="left"/>
            </w:pPr>
            <w:r>
              <w:rPr>
                <w:iCs/>
                <w:i/>
              </w:rPr>
              <w:t xml:space="preserve">Panel A. Baseline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Adverse weather W</w:t>
            </w:r>
          </w:p>
        </w:tc>
        <w:tc>
          <w:tcPr/>
          <w:p>
            <w:pPr>
              <w:pStyle w:val="Compact"/>
              <w:jc w:val="left"/>
            </w:pPr>
            <w:r>
              <w:t xml:space="preserve">-0.00 (0.10)</w:t>
            </w:r>
          </w:p>
        </w:tc>
        <w:tc>
          <w:tcPr/>
          <w:p>
            <w:pPr>
              <w:pStyle w:val="Compact"/>
              <w:jc w:val="left"/>
            </w:pPr>
            <w:r>
              <w:t xml:space="preserve">0.42** (0.20)</w:t>
            </w:r>
          </w:p>
        </w:tc>
        <w:tc>
          <w:tcPr/>
          <w:p>
            <w:pPr>
              <w:pStyle w:val="Compact"/>
              <w:jc w:val="left"/>
            </w:pPr>
            <w:r>
              <w:t xml:space="preserve">0.87*** (0.26)</w:t>
            </w:r>
          </w:p>
        </w:tc>
        <w:tc>
          <w:tcPr/>
          <w:p>
            <w:pPr>
              <w:pStyle w:val="Compact"/>
              <w:jc w:val="left"/>
            </w:pPr>
            <w:r>
              <w:t xml:space="preserve">0.99*** (0.27)</w:t>
            </w:r>
          </w:p>
        </w:tc>
        <w:tc>
          <w:tcPr/>
          <w:p>
            <w:pPr>
              <w:pStyle w:val="Compact"/>
              <w:jc w:val="left"/>
            </w:pPr>
            <w:r>
              <w:t xml:space="preserve">0.76*** (0.24)</w:t>
            </w:r>
          </w:p>
        </w:tc>
        <w:tc>
          <w:tcPr/>
          <w:p>
            <w:pPr>
              <w:pStyle w:val="Compact"/>
              <w:jc w:val="left"/>
            </w:pPr>
            <w:r>
              <w:t xml:space="preserve">0.78*** (0.25)</w:t>
            </w:r>
          </w:p>
        </w:tc>
        <w:tc>
          <w:tcPr/>
          <w:p>
            <w:pPr>
              <w:pStyle w:val="Compact"/>
              <w:jc w:val="left"/>
            </w:pPr>
            <w:r>
              <w:t xml:space="preserve">0.84*** (0.28)</w:t>
            </w:r>
          </w:p>
        </w:tc>
      </w:tr>
      <w:tr>
        <w:tc>
          <w:tcPr/>
          <w:p>
            <w:pPr>
              <w:pStyle w:val="Compact"/>
              <w:jc w:val="left"/>
            </w:pPr>
            <w:r>
              <w:t xml:space="preserve">Observations</w:t>
            </w:r>
          </w:p>
        </w:tc>
        <w:tc>
          <w:tcPr/>
          <w:p>
            <w:pPr>
              <w:pStyle w:val="Compact"/>
              <w:jc w:val="left"/>
            </w:pPr>
            <w:r>
              <w:t xml:space="preserve">884,313</w:t>
            </w:r>
          </w:p>
        </w:tc>
        <w:tc>
          <w:tcPr/>
          <w:p>
            <w:pPr>
              <w:pStyle w:val="Compact"/>
              <w:jc w:val="left"/>
            </w:pPr>
            <w:r>
              <w:t xml:space="preserve">816,928</w:t>
            </w:r>
          </w:p>
        </w:tc>
        <w:tc>
          <w:tcPr/>
          <w:p>
            <w:pPr>
              <w:pStyle w:val="Compact"/>
              <w:jc w:val="left"/>
            </w:pPr>
            <w:r>
              <w:t xml:space="preserve">783,727</w:t>
            </w:r>
          </w:p>
        </w:tc>
        <w:tc>
          <w:tcPr/>
          <w:p>
            <w:pPr>
              <w:pStyle w:val="Compact"/>
              <w:jc w:val="left"/>
            </w:pPr>
            <w:r>
              <w:t xml:space="preserve">757,136</w:t>
            </w:r>
          </w:p>
        </w:tc>
        <w:tc>
          <w:tcPr/>
          <w:p>
            <w:pPr>
              <w:pStyle w:val="Compact"/>
              <w:jc w:val="left"/>
            </w:pPr>
            <w:r>
              <w:t xml:space="preserve">736,861</w:t>
            </w:r>
          </w:p>
        </w:tc>
        <w:tc>
          <w:tcPr/>
          <w:p>
            <w:pPr>
              <w:pStyle w:val="Compact"/>
              <w:jc w:val="left"/>
            </w:pPr>
            <w:r>
              <w:t xml:space="preserve">715,313</w:t>
            </w:r>
          </w:p>
        </w:tc>
        <w:tc>
          <w:tcPr/>
          <w:p>
            <w:pPr>
              <w:pStyle w:val="Compact"/>
              <w:jc w:val="left"/>
            </w:pPr>
            <w:r>
              <w:t xml:space="preserve">691,804</w:t>
            </w:r>
          </w:p>
        </w:tc>
      </w:tr>
      <w:tr>
        <w:tc>
          <w:tcPr/>
          <w:p>
            <w:pPr>
              <w:pStyle w:val="Compact"/>
              <w:jc w:val="left"/>
            </w:pPr>
            <w:r>
              <w:rPr>
                <w:iCs/>
                <w:i/>
              </w:rPr>
              <w:t xml:space="preserve">Panel B. Components (joint)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Rainfall deficit</w:t>
            </w:r>
          </w:p>
        </w:tc>
        <w:tc>
          <w:tcPr/>
          <w:p>
            <w:pPr>
              <w:pStyle w:val="Compact"/>
              <w:jc w:val="left"/>
            </w:pPr>
            <w:r>
              <w:t xml:space="preserve">0.09 (0.11)</w:t>
            </w:r>
          </w:p>
        </w:tc>
        <w:tc>
          <w:tcPr/>
          <w:p>
            <w:pPr>
              <w:pStyle w:val="Compact"/>
              <w:jc w:val="left"/>
            </w:pPr>
            <w:r>
              <w:t xml:space="preserve">0.49** (0.21)</w:t>
            </w:r>
          </w:p>
        </w:tc>
        <w:tc>
          <w:tcPr/>
          <w:p>
            <w:pPr>
              <w:pStyle w:val="Compact"/>
              <w:jc w:val="left"/>
            </w:pPr>
            <w:r>
              <w:t xml:space="preserve">0.79*** (0.25)</w:t>
            </w:r>
          </w:p>
        </w:tc>
        <w:tc>
          <w:tcPr/>
          <w:p>
            <w:pPr>
              <w:pStyle w:val="Compact"/>
              <w:jc w:val="left"/>
            </w:pPr>
            <w:r>
              <w:t xml:space="preserve">0.79*** (0.25)</w:t>
            </w:r>
          </w:p>
        </w:tc>
        <w:tc>
          <w:tcPr/>
          <w:p>
            <w:pPr>
              <w:pStyle w:val="Compact"/>
              <w:jc w:val="left"/>
            </w:pPr>
            <w:r>
              <w:t xml:space="preserve">0.45* (0.25)</w:t>
            </w:r>
          </w:p>
        </w:tc>
        <w:tc>
          <w:tcPr/>
          <w:p>
            <w:pPr>
              <w:pStyle w:val="Compact"/>
              <w:jc w:val="left"/>
            </w:pPr>
            <w:r>
              <w:t xml:space="preserve">0.27 (0.26)</w:t>
            </w:r>
          </w:p>
        </w:tc>
        <w:tc>
          <w:tcPr/>
          <w:p>
            <w:pPr>
              <w:pStyle w:val="Compact"/>
              <w:jc w:val="left"/>
            </w:pPr>
            <w:r>
              <w:t xml:space="preserve">0.35 (0.27)</w:t>
            </w:r>
          </w:p>
        </w:tc>
      </w:tr>
      <w:tr>
        <w:tc>
          <w:tcPr/>
          <w:p>
            <w:pPr>
              <w:pStyle w:val="Compact"/>
              <w:jc w:val="left"/>
            </w:pPr>
            <w:r>
              <w:t xml:space="preserve">Soil dryness</w:t>
            </w:r>
          </w:p>
        </w:tc>
        <w:tc>
          <w:tcPr/>
          <w:p>
            <w:pPr>
              <w:pStyle w:val="Compact"/>
              <w:jc w:val="left"/>
            </w:pPr>
            <w:r>
              <w:t xml:space="preserve">-0.05 (0.10)</w:t>
            </w:r>
          </w:p>
        </w:tc>
        <w:tc>
          <w:tcPr/>
          <w:p>
            <w:pPr>
              <w:pStyle w:val="Compact"/>
              <w:jc w:val="left"/>
            </w:pPr>
            <w:r>
              <w:t xml:space="preserve">0.10 (0.15)</w:t>
            </w:r>
          </w:p>
        </w:tc>
        <w:tc>
          <w:tcPr/>
          <w:p>
            <w:pPr>
              <w:pStyle w:val="Compact"/>
              <w:jc w:val="left"/>
            </w:pPr>
            <w:r>
              <w:t xml:space="preserve">0.24 (0.24)</w:t>
            </w:r>
          </w:p>
        </w:tc>
        <w:tc>
          <w:tcPr/>
          <w:p>
            <w:pPr>
              <w:pStyle w:val="Compact"/>
              <w:jc w:val="left"/>
            </w:pPr>
            <w:r>
              <w:t xml:space="preserve">0.39 (0.30)</w:t>
            </w:r>
          </w:p>
        </w:tc>
        <w:tc>
          <w:tcPr/>
          <w:p>
            <w:pPr>
              <w:pStyle w:val="Compact"/>
              <w:jc w:val="left"/>
            </w:pPr>
            <w:r>
              <w:t xml:space="preserve">0.34 (0.25)</w:t>
            </w:r>
          </w:p>
        </w:tc>
        <w:tc>
          <w:tcPr/>
          <w:p>
            <w:pPr>
              <w:pStyle w:val="Compact"/>
              <w:jc w:val="left"/>
            </w:pPr>
            <w:r>
              <w:t xml:space="preserve">0.26 (0.24)</w:t>
            </w:r>
          </w:p>
        </w:tc>
        <w:tc>
          <w:tcPr/>
          <w:p>
            <w:pPr>
              <w:pStyle w:val="Compact"/>
              <w:jc w:val="left"/>
            </w:pPr>
            <w:r>
              <w:t xml:space="preserve">0.03 (0.26)</w:t>
            </w:r>
          </w:p>
        </w:tc>
      </w:tr>
      <w:tr>
        <w:tc>
          <w:tcPr/>
          <w:p>
            <w:pPr>
              <w:pStyle w:val="Compact"/>
              <w:jc w:val="left"/>
            </w:pPr>
            <w:r>
              <w:t xml:space="preserve">Heat</w:t>
            </w:r>
          </w:p>
        </w:tc>
        <w:tc>
          <w:tcPr/>
          <w:p>
            <w:pPr>
              <w:pStyle w:val="Compact"/>
              <w:jc w:val="left"/>
            </w:pPr>
            <w:r>
              <w:t xml:space="preserve">-0.04 (0.08)</w:t>
            </w:r>
          </w:p>
        </w:tc>
        <w:tc>
          <w:tcPr/>
          <w:p>
            <w:pPr>
              <w:pStyle w:val="Compact"/>
              <w:jc w:val="left"/>
            </w:pPr>
            <w:r>
              <w:t xml:space="preserve">-0.02 (0.16)</w:t>
            </w:r>
          </w:p>
        </w:tc>
        <w:tc>
          <w:tcPr/>
          <w:p>
            <w:pPr>
              <w:pStyle w:val="Compact"/>
              <w:jc w:val="left"/>
            </w:pPr>
            <w:r>
              <w:t xml:space="preserve">0.16 (0.20)</w:t>
            </w:r>
          </w:p>
        </w:tc>
        <w:tc>
          <w:tcPr/>
          <w:p>
            <w:pPr>
              <w:pStyle w:val="Compact"/>
              <w:jc w:val="left"/>
            </w:pPr>
            <w:r>
              <w:t xml:space="preserve">0.20 (0.24)</w:t>
            </w:r>
          </w:p>
        </w:tc>
        <w:tc>
          <w:tcPr/>
          <w:p>
            <w:pPr>
              <w:pStyle w:val="Compact"/>
              <w:jc w:val="left"/>
            </w:pPr>
            <w:r>
              <w:t xml:space="preserve">0.26 (0.29)</w:t>
            </w:r>
          </w:p>
        </w:tc>
        <w:tc>
          <w:tcPr/>
          <w:p>
            <w:pPr>
              <w:pStyle w:val="Compact"/>
              <w:jc w:val="left"/>
            </w:pPr>
            <w:r>
              <w:t xml:space="preserve">0.56* (0.30)</w:t>
            </w:r>
          </w:p>
        </w:tc>
        <w:tc>
          <w:tcPr/>
          <w:p>
            <w:pPr>
              <w:pStyle w:val="Compact"/>
              <w:jc w:val="left"/>
            </w:pPr>
            <w:r>
              <w:t xml:space="preserve">0.80** (0.32)</w:t>
            </w:r>
          </w:p>
        </w:tc>
      </w:tr>
      <w:tr>
        <w:tc>
          <w:tcPr/>
          <w:p>
            <w:pPr>
              <w:pStyle w:val="Compact"/>
              <w:jc w:val="left"/>
            </w:pPr>
            <w:r>
              <w:rPr>
                <w:iCs/>
                <w:i/>
              </w:rPr>
              <w:t xml:space="preserve">Panel C. Bins (ref. −1 &lt; W ≤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Wet, W ≤ −1</w:t>
            </w:r>
          </w:p>
        </w:tc>
        <w:tc>
          <w:tcPr/>
          <w:p>
            <w:pPr>
              <w:pStyle w:val="Compact"/>
              <w:jc w:val="left"/>
            </w:pPr>
            <w:r>
              <w:t xml:space="preserve">-0.05 (0.18)</w:t>
            </w:r>
          </w:p>
        </w:tc>
        <w:tc>
          <w:tcPr/>
          <w:p>
            <w:pPr>
              <w:pStyle w:val="Compact"/>
              <w:jc w:val="left"/>
            </w:pPr>
            <w:r>
              <w:t xml:space="preserve">-0.47 (0.44)</w:t>
            </w:r>
          </w:p>
        </w:tc>
        <w:tc>
          <w:tcPr/>
          <w:p>
            <w:pPr>
              <w:pStyle w:val="Compact"/>
              <w:jc w:val="left"/>
            </w:pPr>
            <w:r>
              <w:t xml:space="preserve">-0.95* (0.54)</w:t>
            </w:r>
          </w:p>
        </w:tc>
        <w:tc>
          <w:tcPr/>
          <w:p>
            <w:pPr>
              <w:pStyle w:val="Compact"/>
              <w:jc w:val="left"/>
            </w:pPr>
            <w:r>
              <w:t xml:space="preserve">-1.47** (0.61)</w:t>
            </w:r>
          </w:p>
        </w:tc>
        <w:tc>
          <w:tcPr/>
          <w:p>
            <w:pPr>
              <w:pStyle w:val="Compact"/>
              <w:jc w:val="left"/>
            </w:pPr>
            <w:r>
              <w:t xml:space="preserve">-1.17** (0.59)</w:t>
            </w:r>
          </w:p>
        </w:tc>
        <w:tc>
          <w:tcPr/>
          <w:p>
            <w:pPr>
              <w:pStyle w:val="Compact"/>
              <w:jc w:val="left"/>
            </w:pPr>
            <w:r>
              <w:t xml:space="preserve">-1.06* (0.62)</w:t>
            </w:r>
          </w:p>
        </w:tc>
        <w:tc>
          <w:tcPr/>
          <w:p>
            <w:pPr>
              <w:pStyle w:val="Compact"/>
              <w:jc w:val="left"/>
            </w:pPr>
            <w:r>
              <w:t xml:space="preserve">-1.11 (0.69)</w:t>
            </w:r>
          </w:p>
        </w:tc>
      </w:tr>
      <w:tr>
        <w:tc>
          <w:tcPr/>
          <w:p>
            <w:pPr>
              <w:pStyle w:val="Compact"/>
              <w:jc w:val="left"/>
            </w:pPr>
            <w:r>
              <w:t xml:space="preserve">Dry, 1 &lt; W ≤ 2</w:t>
            </w:r>
          </w:p>
        </w:tc>
        <w:tc>
          <w:tcPr/>
          <w:p>
            <w:pPr>
              <w:pStyle w:val="Compact"/>
              <w:jc w:val="left"/>
            </w:pPr>
            <w:r>
              <w:t xml:space="preserve">0.11 (0.13)</w:t>
            </w:r>
          </w:p>
        </w:tc>
        <w:tc>
          <w:tcPr/>
          <w:p>
            <w:pPr>
              <w:pStyle w:val="Compact"/>
              <w:jc w:val="left"/>
            </w:pPr>
            <w:r>
              <w:t xml:space="preserve">0.60*** (0.17)</w:t>
            </w:r>
          </w:p>
        </w:tc>
        <w:tc>
          <w:tcPr/>
          <w:p>
            <w:pPr>
              <w:pStyle w:val="Compact"/>
              <w:jc w:val="left"/>
            </w:pPr>
            <w:r>
              <w:t xml:space="preserve">1.06*** (0.25)</w:t>
            </w:r>
          </w:p>
        </w:tc>
        <w:tc>
          <w:tcPr/>
          <w:p>
            <w:pPr>
              <w:pStyle w:val="Compact"/>
              <w:jc w:val="left"/>
            </w:pPr>
            <w:r>
              <w:t xml:space="preserve">0.89*** (0.29)</w:t>
            </w:r>
          </w:p>
        </w:tc>
        <w:tc>
          <w:tcPr/>
          <w:p>
            <w:pPr>
              <w:pStyle w:val="Compact"/>
              <w:jc w:val="left"/>
            </w:pPr>
            <w:r>
              <w:t xml:space="preserve">0.63** (0.27)</w:t>
            </w:r>
          </w:p>
        </w:tc>
        <w:tc>
          <w:tcPr/>
          <w:p>
            <w:pPr>
              <w:pStyle w:val="Compact"/>
              <w:jc w:val="left"/>
            </w:pPr>
            <w:r>
              <w:t xml:space="preserve">0.57 (0.38)</w:t>
            </w:r>
          </w:p>
        </w:tc>
        <w:tc>
          <w:tcPr/>
          <w:p>
            <w:pPr>
              <w:pStyle w:val="Compact"/>
              <w:jc w:val="left"/>
            </w:pPr>
            <w:r>
              <w:t xml:space="preserve">0.61 (0.47)</w:t>
            </w:r>
          </w:p>
        </w:tc>
      </w:tr>
      <w:tr>
        <w:tc>
          <w:tcPr/>
          <w:p>
            <w:pPr>
              <w:pStyle w:val="Compact"/>
              <w:jc w:val="left"/>
            </w:pPr>
            <w:r>
              <w:t xml:space="preserve">Very dry, W &gt; 2</w:t>
            </w:r>
          </w:p>
        </w:tc>
        <w:tc>
          <w:tcPr/>
          <w:p>
            <w:pPr>
              <w:pStyle w:val="Compact"/>
              <w:jc w:val="left"/>
            </w:pPr>
            <w:r>
              <w:t xml:space="preserve">-0.09 (0.35)</w:t>
            </w:r>
          </w:p>
        </w:tc>
        <w:tc>
          <w:tcPr/>
          <w:p>
            <w:pPr>
              <w:pStyle w:val="Compact"/>
              <w:jc w:val="left"/>
            </w:pPr>
            <w:r>
              <w:t xml:space="preserve">0.46 (0.50)</w:t>
            </w:r>
          </w:p>
        </w:tc>
        <w:tc>
          <w:tcPr/>
          <w:p>
            <w:pPr>
              <w:pStyle w:val="Compact"/>
              <w:jc w:val="left"/>
            </w:pPr>
            <w:r>
              <w:t xml:space="preserve">1.11** (0.54)</w:t>
            </w:r>
          </w:p>
        </w:tc>
        <w:tc>
          <w:tcPr/>
          <w:p>
            <w:pPr>
              <w:pStyle w:val="Compact"/>
              <w:jc w:val="left"/>
            </w:pPr>
            <w:r>
              <w:t xml:space="preserve">1.10** (0.55)</w:t>
            </w:r>
          </w:p>
        </w:tc>
        <w:tc>
          <w:tcPr/>
          <w:p>
            <w:pPr>
              <w:pStyle w:val="Compact"/>
              <w:jc w:val="left"/>
            </w:pPr>
            <w:r>
              <w:t xml:space="preserve">0.86 (0.77)</w:t>
            </w:r>
          </w:p>
        </w:tc>
        <w:tc>
          <w:tcPr/>
          <w:p>
            <w:pPr>
              <w:pStyle w:val="Compact"/>
              <w:jc w:val="left"/>
            </w:pPr>
            <w:r>
              <w:t xml:space="preserve">0.86 (0.92)</w:t>
            </w:r>
          </w:p>
        </w:tc>
        <w:tc>
          <w:tcPr/>
          <w:p>
            <w:pPr>
              <w:pStyle w:val="Compact"/>
              <w:jc w:val="left"/>
            </w:pPr>
            <w:r>
              <w:t xml:space="preserve">1.39* (0.84)</w:t>
            </w:r>
          </w:p>
        </w:tc>
      </w:tr>
    </w:tbl>
    <w:p>
      <w:pPr>
        <w:pStyle w:val="BodyText"/>
      </w:pPr>
      <w:r>
        <w:rPr>
          <w:iCs/>
          <w:i/>
        </w:rPr>
        <w:t xml:space="preserve">Notes:</w:t>
      </w:r>
      <w:r>
        <w:t xml:space="preserve"> </w:t>
      </w:r>
      <w:r>
        <w:t xml:space="preserve">Local projections, Eq. (2). Dependent variable:</w:t>
      </w:r>
      <w:r>
        <w:t xml:space="preserve"> </w:t>
      </w:r>
      <m:oMath>
        <m:r>
          <m:t>100</m:t>
        </m:r>
        <m:r>
          <m:rPr>
            <m:sty m:val="p"/>
          </m:rPr>
          <m:t>×</m:t>
        </m:r>
        <m:d>
          <m:dPr>
            <m:begChr m:val="("/>
            <m:endChr m:val=")"/>
            <m:sepChr m:val=""/>
            <m:grow/>
          </m:dPr>
          <m:e>
            <m:r>
              <m:rPr>
                <m:sty m:val="p"/>
              </m:rPr>
              <m:t>ln</m:t>
            </m:r>
            <m:sSub>
              <m:e>
                <m:r>
                  <m:t>p</m:t>
                </m:r>
              </m:e>
              <m:sub>
                <m:r>
                  <m:t>t</m:t>
                </m:r>
                <m:r>
                  <m:rPr>
                    <m:sty m:val="p"/>
                  </m:rPr>
                  <m:t>+</m:t>
                </m:r>
                <m:r>
                  <m:t>h</m:t>
                </m:r>
              </m:sub>
            </m:sSub>
            <m:r>
              <m:rPr>
                <m:sty m:val="p"/>
              </m:rPr>
              <m:t>−</m:t>
            </m:r>
            <m:r>
              <m:rPr>
                <m:sty m:val="p"/>
              </m:rPr>
              <m:t>ln</m:t>
            </m:r>
            <m:sSub>
              <m:e>
                <m:r>
                  <m:t>p</m:t>
                </m:r>
              </m:e>
              <m:sub>
                <m:r>
                  <m:t>t</m:t>
                </m:r>
                <m:r>
                  <m:rPr>
                    <m:sty m:val="p"/>
                  </m:rPr>
                  <m:t>−</m:t>
                </m:r>
                <m:r>
                  <m:t>1</m:t>
                </m:r>
              </m:sub>
            </m:sSub>
          </m:e>
        </m:d>
      </m:oMath>
      <w:r>
        <w:t xml:space="preserve">. Series × calendar-month and country × year fixed effects. Controls: three lags of Δln p, W and ΔG; contemporaneous ΔG; ΔE. Standard errors, two-way clustered by country (85) and month (312), in parentheses. Panel B enters the three weather components jointly; Panel C replaces W with bins. *** p &lt; 0.01, ** p &lt; 0.05, * p &lt; 0.1.</w:t>
      </w:r>
    </w:p>
    <w:p>
      <w:pPr>
        <w:pStyle w:val="BodyText"/>
      </w:pPr>
      <w:r>
        <w:t xml:space="preserve">Rainfall drives the early response (Table 2, Panel B; Figure 3). A one-standard-deviation rainfall deficit raises prices by 0.49 percent at two months and 0.79 percent at four and six months (SE 0.25), the stretch between a failed growing season and the lean season. Heat works later. Its effect is small and imprecise up to eight months, then reaches 0.56 percent at ten months and 0.80 percent at twelve (SE 0.32). Once rainfall is controlled for, soil dryness adds little. The timing fits the crop cycle: a rainfall shortfall shows in the fields and in traders’ expectations during the season, the channel Letta et al. (2022) document in India, while heat damage becomes visible only when a short harvest comes in.</w:t>
      </w:r>
    </w:p>
    <w:p>
      <w:pPr>
        <w:pStyle w:val="BodyText"/>
      </w:pPr>
      <w:r>
        <w:t xml:space="preserve">The response is close to linear and roughly symmetric (Panel C, reference −1 &lt; W ≤ 1). Dry months with 1 &lt; W ≤ 2 raise prices by 1.06 percent at four months (SE 0.25), and very dry months with W &gt; 2 by 1.11 percent (SE 0.54). Wet months with W ≤ −1 lower them by 1.47 percent at six months (SE 0.61). Good seasons push local prices down by about as much as bad seasons push them up, so local markets pass on both kinds of supply shock.</w:t>
      </w:r>
    </w:p>
    <w:bookmarkEnd w:id="30"/>
    <w:bookmarkStart w:id="31" w:name="who-pays-tradability-h2"/>
    <w:p>
      <w:pPr>
        <w:pStyle w:val="Heading2"/>
      </w:pPr>
      <w:r>
        <w:t xml:space="preserve">5.2 Who pays: tradability (H2)</w:t>
      </w:r>
    </w:p>
    <w:p>
      <w:pPr>
        <w:pStyle w:val="FirstParagraph"/>
      </w:pPr>
      <w:r>
        <w:t xml:space="preserve">The response falls almost entirely on staples that rarely cross borders (Table 3; Figure 2). Rice, the reference product, shows a small and insignificant effect at every horizon (0.40 percent at six months, SE 0.27), and wheat cannot be told apart from rice (interaction −0.00 at six months, SE 0.33). Maize behaves very differently. It rises 1.41 pp more than rice at two months (SE 0.30) and 1.67 pp more at four (SE 0.42). Sorghum and millet add 1.40 pp at four months (SE 0.66), and roots and tubers 1.46 pp at six (SE 0.56). Products labelled as imported respond less than other products in the same market (−0.61 pp at four months, SE 0.38), but the difference is not significant, and with a minimum detectable effect of 1.1 pp a moderate gap cannot be ruled out.</w:t>
      </w:r>
    </w:p>
    <w:p>
      <w:pPr>
        <w:pStyle w:val="BodyText"/>
      </w:pPr>
      <w:r>
        <w:rPr>
          <w:bCs/>
          <w:b/>
        </w:rPr>
        <w:t xml:space="preserve">Table 3. Heterogeneity by product and world-market state (percent per 1 s.d.)</w:t>
      </w:r>
    </w:p>
    <w:tbl>
      <w:tblPr>
        <w:tblStyle w:val="Table"/>
        <w:tblW w:type="pct" w:w="5000"/>
        <w:tblLook w:firstRow="1" w:lastRow="0" w:firstColumn="0" w:lastColumn="0" w:noHBand="0" w:noVBand="0" w:val="0020"/>
        <w:jc w:val="start"/>
      </w:tblPr>
      <w:tblGrid>
        <w:gridCol w:w="1652"/>
        <w:gridCol w:w="895"/>
        <w:gridCol w:w="895"/>
        <w:gridCol w:w="895"/>
        <w:gridCol w:w="895"/>
        <w:gridCol w:w="895"/>
        <w:gridCol w:w="895"/>
        <w:gridCol w:w="895"/>
      </w:tblGrid>
      <w:tr>
        <w:trPr>
          <w:tblHeader w:val="true"/>
        </w:trPr>
        <w:tc>
          <w:tcPr/>
          <w:p>
            <w:pPr>
              <w:pStyle w:val="Compact"/>
            </w:pPr>
          </w:p>
        </w:tc>
        <w:tc>
          <w:tcPr/>
          <w:p>
            <w:pPr>
              <w:pStyle w:val="Compact"/>
              <w:jc w:val="left"/>
            </w:pPr>
            <w:r>
              <w:t xml:space="preserve">h = 0</w:t>
            </w:r>
          </w:p>
        </w:tc>
        <w:tc>
          <w:tcPr/>
          <w:p>
            <w:pPr>
              <w:pStyle w:val="Compact"/>
              <w:jc w:val="left"/>
            </w:pPr>
            <w:r>
              <w:t xml:space="preserve">h = 2</w:t>
            </w:r>
          </w:p>
        </w:tc>
        <w:tc>
          <w:tcPr/>
          <w:p>
            <w:pPr>
              <w:pStyle w:val="Compact"/>
              <w:jc w:val="left"/>
            </w:pPr>
            <w:r>
              <w:t xml:space="preserve">h = 4</w:t>
            </w:r>
          </w:p>
        </w:tc>
        <w:tc>
          <w:tcPr/>
          <w:p>
            <w:pPr>
              <w:pStyle w:val="Compact"/>
              <w:jc w:val="left"/>
            </w:pPr>
            <w:r>
              <w:t xml:space="preserve">h = 6</w:t>
            </w:r>
          </w:p>
        </w:tc>
        <w:tc>
          <w:tcPr/>
          <w:p>
            <w:pPr>
              <w:pStyle w:val="Compact"/>
              <w:jc w:val="left"/>
            </w:pPr>
            <w:r>
              <w:t xml:space="preserve">h = 8</w:t>
            </w:r>
          </w:p>
        </w:tc>
        <w:tc>
          <w:tcPr/>
          <w:p>
            <w:pPr>
              <w:pStyle w:val="Compact"/>
              <w:jc w:val="left"/>
            </w:pPr>
            <w:r>
              <w:t xml:space="preserve">h = 10</w:t>
            </w:r>
          </w:p>
        </w:tc>
        <w:tc>
          <w:tcPr/>
          <w:p>
            <w:pPr>
              <w:pStyle w:val="Compact"/>
              <w:jc w:val="left"/>
            </w:pPr>
            <w:r>
              <w:t xml:space="preserve">h = 12</w:t>
            </w:r>
          </w:p>
        </w:tc>
      </w:tr>
      <w:tr>
        <w:tc>
          <w:tcPr/>
          <w:p>
            <w:pPr>
              <w:pStyle w:val="Compact"/>
              <w:jc w:val="left"/>
            </w:pPr>
            <w:r>
              <w:t xml:space="preserve">W (rice, reference)</w:t>
            </w:r>
          </w:p>
        </w:tc>
        <w:tc>
          <w:tcPr/>
          <w:p>
            <w:pPr>
              <w:pStyle w:val="Compact"/>
              <w:jc w:val="left"/>
            </w:pPr>
            <w:r>
              <w:t xml:space="preserve">-0.11 (0.09)</w:t>
            </w:r>
          </w:p>
        </w:tc>
        <w:tc>
          <w:tcPr/>
          <w:p>
            <w:pPr>
              <w:pStyle w:val="Compact"/>
              <w:jc w:val="left"/>
            </w:pPr>
            <w:r>
              <w:t xml:space="preserve">-0.01 (0.15)</w:t>
            </w:r>
          </w:p>
        </w:tc>
        <w:tc>
          <w:tcPr/>
          <w:p>
            <w:pPr>
              <w:pStyle w:val="Compact"/>
              <w:jc w:val="left"/>
            </w:pPr>
            <w:r>
              <w:t xml:space="preserve">0.27 (0.21)</w:t>
            </w:r>
          </w:p>
        </w:tc>
        <w:tc>
          <w:tcPr/>
          <w:p>
            <w:pPr>
              <w:pStyle w:val="Compact"/>
              <w:jc w:val="left"/>
            </w:pPr>
            <w:r>
              <w:t xml:space="preserve">0.40 (0.27)</w:t>
            </w:r>
          </w:p>
        </w:tc>
        <w:tc>
          <w:tcPr/>
          <w:p>
            <w:pPr>
              <w:pStyle w:val="Compact"/>
              <w:jc w:val="left"/>
            </w:pPr>
            <w:r>
              <w:t xml:space="preserve">0.29 (0.35)</w:t>
            </w:r>
          </w:p>
        </w:tc>
        <w:tc>
          <w:tcPr/>
          <w:p>
            <w:pPr>
              <w:pStyle w:val="Compact"/>
              <w:jc w:val="left"/>
            </w:pPr>
            <w:r>
              <w:t xml:space="preserve">0.37 (0.41)</w:t>
            </w:r>
          </w:p>
        </w:tc>
        <w:tc>
          <w:tcPr/>
          <w:p>
            <w:pPr>
              <w:pStyle w:val="Compact"/>
              <w:jc w:val="left"/>
            </w:pPr>
            <w:r>
              <w:t xml:space="preserve">0.61 (0.47)</w:t>
            </w:r>
          </w:p>
        </w:tc>
      </w:tr>
      <w:tr>
        <w:tc>
          <w:tcPr/>
          <w:p>
            <w:pPr>
              <w:pStyle w:val="Compact"/>
              <w:jc w:val="left"/>
            </w:pPr>
            <w:r>
              <w:t xml:space="preserve">W × maize</w:t>
            </w:r>
          </w:p>
        </w:tc>
        <w:tc>
          <w:tcPr/>
          <w:p>
            <w:pPr>
              <w:pStyle w:val="Compact"/>
              <w:jc w:val="left"/>
            </w:pPr>
            <w:r>
              <w:t xml:space="preserve">0.44*** (0.11)</w:t>
            </w:r>
          </w:p>
        </w:tc>
        <w:tc>
          <w:tcPr/>
          <w:p>
            <w:pPr>
              <w:pStyle w:val="Compact"/>
              <w:jc w:val="left"/>
            </w:pPr>
            <w:r>
              <w:t xml:space="preserve">1.40*** (0.29)</w:t>
            </w:r>
          </w:p>
        </w:tc>
        <w:tc>
          <w:tcPr/>
          <w:p>
            <w:pPr>
              <w:pStyle w:val="Compact"/>
              <w:jc w:val="left"/>
            </w:pPr>
            <w:r>
              <w:t xml:space="preserve">1.67*** (0.42)</w:t>
            </w:r>
          </w:p>
        </w:tc>
        <w:tc>
          <w:tcPr/>
          <w:p>
            <w:pPr>
              <w:pStyle w:val="Compact"/>
              <w:jc w:val="left"/>
            </w:pPr>
            <w:r>
              <w:t xml:space="preserve">1.19** (0.52)</w:t>
            </w:r>
          </w:p>
        </w:tc>
        <w:tc>
          <w:tcPr/>
          <w:p>
            <w:pPr>
              <w:pStyle w:val="Compact"/>
              <w:jc w:val="left"/>
            </w:pPr>
            <w:r>
              <w:t xml:space="preserve">0.81 (0.64)</w:t>
            </w:r>
          </w:p>
        </w:tc>
        <w:tc>
          <w:tcPr/>
          <w:p>
            <w:pPr>
              <w:pStyle w:val="Compact"/>
              <w:jc w:val="left"/>
            </w:pPr>
            <w:r>
              <w:t xml:space="preserve">0.52 (0.80)</w:t>
            </w:r>
          </w:p>
        </w:tc>
        <w:tc>
          <w:tcPr/>
          <w:p>
            <w:pPr>
              <w:pStyle w:val="Compact"/>
              <w:jc w:val="left"/>
            </w:pPr>
            <w:r>
              <w:t xml:space="preserve">-0.01 (0.81)</w:t>
            </w:r>
          </w:p>
        </w:tc>
      </w:tr>
      <w:tr>
        <w:tc>
          <w:tcPr/>
          <w:p>
            <w:pPr>
              <w:pStyle w:val="Compact"/>
              <w:jc w:val="left"/>
            </w:pPr>
            <w:r>
              <w:t xml:space="preserve">W × sorghum/millet</w:t>
            </w:r>
          </w:p>
        </w:tc>
        <w:tc>
          <w:tcPr/>
          <w:p>
            <w:pPr>
              <w:pStyle w:val="Compact"/>
              <w:jc w:val="left"/>
            </w:pPr>
            <w:r>
              <w:t xml:space="preserve">0.26 (0.16)</w:t>
            </w:r>
          </w:p>
        </w:tc>
        <w:tc>
          <w:tcPr/>
          <w:p>
            <w:pPr>
              <w:pStyle w:val="Compact"/>
              <w:jc w:val="left"/>
            </w:pPr>
            <w:r>
              <w:t xml:space="preserve">1.01** (0.42)</w:t>
            </w:r>
          </w:p>
        </w:tc>
        <w:tc>
          <w:tcPr/>
          <w:p>
            <w:pPr>
              <w:pStyle w:val="Compact"/>
              <w:jc w:val="left"/>
            </w:pPr>
            <w:r>
              <w:t xml:space="preserve">1.40** (0.66)</w:t>
            </w:r>
          </w:p>
        </w:tc>
        <w:tc>
          <w:tcPr/>
          <w:p>
            <w:pPr>
              <w:pStyle w:val="Compact"/>
              <w:jc w:val="left"/>
            </w:pPr>
            <w:r>
              <w:t xml:space="preserve">1.33* (0.77)</w:t>
            </w:r>
          </w:p>
        </w:tc>
        <w:tc>
          <w:tcPr/>
          <w:p>
            <w:pPr>
              <w:pStyle w:val="Compact"/>
              <w:jc w:val="left"/>
            </w:pPr>
            <w:r>
              <w:t xml:space="preserve">1.35 (0.85)</w:t>
            </w:r>
          </w:p>
        </w:tc>
        <w:tc>
          <w:tcPr/>
          <w:p>
            <w:pPr>
              <w:pStyle w:val="Compact"/>
              <w:jc w:val="left"/>
            </w:pPr>
            <w:r>
              <w:t xml:space="preserve">1.58 (1.01)</w:t>
            </w:r>
          </w:p>
        </w:tc>
        <w:tc>
          <w:tcPr/>
          <w:p>
            <w:pPr>
              <w:pStyle w:val="Compact"/>
              <w:jc w:val="left"/>
            </w:pPr>
            <w:r>
              <w:t xml:space="preserve">0.95 (0.96)</w:t>
            </w:r>
          </w:p>
        </w:tc>
      </w:tr>
      <w:tr>
        <w:tc>
          <w:tcPr/>
          <w:p>
            <w:pPr>
              <w:pStyle w:val="Compact"/>
              <w:jc w:val="left"/>
            </w:pPr>
            <w:r>
              <w:t xml:space="preserve">W × cassava/yam/plantain</w:t>
            </w:r>
          </w:p>
        </w:tc>
        <w:tc>
          <w:tcPr/>
          <w:p>
            <w:pPr>
              <w:pStyle w:val="Compact"/>
              <w:jc w:val="left"/>
            </w:pPr>
            <w:r>
              <w:t xml:space="preserve">0.14 (0.16)</w:t>
            </w:r>
          </w:p>
        </w:tc>
        <w:tc>
          <w:tcPr/>
          <w:p>
            <w:pPr>
              <w:pStyle w:val="Compact"/>
              <w:jc w:val="left"/>
            </w:pPr>
            <w:r>
              <w:t xml:space="preserve">0.71 (0.44)</w:t>
            </w:r>
          </w:p>
        </w:tc>
        <w:tc>
          <w:tcPr/>
          <w:p>
            <w:pPr>
              <w:pStyle w:val="Compact"/>
              <w:jc w:val="left"/>
            </w:pPr>
            <w:r>
              <w:t xml:space="preserve">1.10* (0.63)</w:t>
            </w:r>
          </w:p>
        </w:tc>
        <w:tc>
          <w:tcPr/>
          <w:p>
            <w:pPr>
              <w:pStyle w:val="Compact"/>
              <w:jc w:val="left"/>
            </w:pPr>
            <w:r>
              <w:t xml:space="preserve">1.46*** (0.56)</w:t>
            </w:r>
          </w:p>
        </w:tc>
        <w:tc>
          <w:tcPr/>
          <w:p>
            <w:pPr>
              <w:pStyle w:val="Compact"/>
              <w:jc w:val="left"/>
            </w:pPr>
            <w:r>
              <w:t xml:space="preserve">1.19* (0.62)</w:t>
            </w:r>
          </w:p>
        </w:tc>
        <w:tc>
          <w:tcPr/>
          <w:p>
            <w:pPr>
              <w:pStyle w:val="Compact"/>
              <w:jc w:val="left"/>
            </w:pPr>
            <w:r>
              <w:t xml:space="preserve">1.08* (0.58)</w:t>
            </w:r>
          </w:p>
        </w:tc>
        <w:tc>
          <w:tcPr/>
          <w:p>
            <w:pPr>
              <w:pStyle w:val="Compact"/>
              <w:jc w:val="left"/>
            </w:pPr>
            <w:r>
              <w:t xml:space="preserve">0.90 (0.66)</w:t>
            </w:r>
          </w:p>
        </w:tc>
      </w:tr>
      <w:tr>
        <w:tc>
          <w:tcPr/>
          <w:p>
            <w:pPr>
              <w:pStyle w:val="Compact"/>
              <w:jc w:val="left"/>
            </w:pPr>
            <w:r>
              <w:t xml:space="preserve">W × wheat</w:t>
            </w:r>
          </w:p>
        </w:tc>
        <w:tc>
          <w:tcPr/>
          <w:p>
            <w:pPr>
              <w:pStyle w:val="Compact"/>
              <w:jc w:val="left"/>
            </w:pPr>
            <w:r>
              <w:t xml:space="preserve">-0.14 (0.10)</w:t>
            </w:r>
          </w:p>
        </w:tc>
        <w:tc>
          <w:tcPr/>
          <w:p>
            <w:pPr>
              <w:pStyle w:val="Compact"/>
              <w:jc w:val="left"/>
            </w:pPr>
            <w:r>
              <w:t xml:space="preserve">-0.25 (0.21)</w:t>
            </w:r>
          </w:p>
        </w:tc>
        <w:tc>
          <w:tcPr/>
          <w:p>
            <w:pPr>
              <w:pStyle w:val="Compact"/>
              <w:jc w:val="left"/>
            </w:pPr>
            <w:r>
              <w:t xml:space="preserve">-0.18 (0.25)</w:t>
            </w:r>
          </w:p>
        </w:tc>
        <w:tc>
          <w:tcPr/>
          <w:p>
            <w:pPr>
              <w:pStyle w:val="Compact"/>
              <w:jc w:val="left"/>
            </w:pPr>
            <w:r>
              <w:t xml:space="preserve">-0.00 (0.33)</w:t>
            </w:r>
          </w:p>
        </w:tc>
        <w:tc>
          <w:tcPr/>
          <w:p>
            <w:pPr>
              <w:pStyle w:val="Compact"/>
              <w:jc w:val="left"/>
            </w:pPr>
            <w:r>
              <w:t xml:space="preserve">-0.14 (0.37)</w:t>
            </w:r>
          </w:p>
        </w:tc>
        <w:tc>
          <w:tcPr/>
          <w:p>
            <w:pPr>
              <w:pStyle w:val="Compact"/>
              <w:jc w:val="left"/>
            </w:pPr>
            <w:r>
              <w:t xml:space="preserve">-0.29 (0.45)</w:t>
            </w:r>
          </w:p>
        </w:tc>
        <w:tc>
          <w:tcPr/>
          <w:p>
            <w:pPr>
              <w:pStyle w:val="Compact"/>
              <w:jc w:val="left"/>
            </w:pPr>
            <w:r>
              <w:t xml:space="preserve">-0.13 (0.56)</w:t>
            </w:r>
          </w:p>
        </w:tc>
      </w:tr>
      <w:tr>
        <w:tc>
          <w:tcPr/>
          <w:p>
            <w:pPr>
              <w:pStyle w:val="Compact"/>
              <w:jc w:val="left"/>
            </w:pPr>
            <w:r>
              <w:rPr>
                <w:iCs/>
                <w:i/>
              </w:rPr>
              <w:t xml:space="preserve">Imported label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w:t>
            </w:r>
          </w:p>
        </w:tc>
        <w:tc>
          <w:tcPr/>
          <w:p>
            <w:pPr>
              <w:pStyle w:val="Compact"/>
              <w:jc w:val="left"/>
            </w:pPr>
            <w:r>
              <w:t xml:space="preserve">-0.00 (0.11)</w:t>
            </w:r>
          </w:p>
        </w:tc>
        <w:tc>
          <w:tcPr/>
          <w:p>
            <w:pPr>
              <w:pStyle w:val="Compact"/>
              <w:jc w:val="left"/>
            </w:pPr>
            <w:r>
              <w:t xml:space="preserve">0.44** (0.21)</w:t>
            </w:r>
          </w:p>
        </w:tc>
        <w:tc>
          <w:tcPr/>
          <w:p>
            <w:pPr>
              <w:pStyle w:val="Compact"/>
              <w:jc w:val="left"/>
            </w:pPr>
            <w:r>
              <w:t xml:space="preserve">0.93*** (0.28)</w:t>
            </w:r>
          </w:p>
        </w:tc>
        <w:tc>
          <w:tcPr/>
          <w:p>
            <w:pPr>
              <w:pStyle w:val="Compact"/>
              <w:jc w:val="left"/>
            </w:pPr>
            <w:r>
              <w:t xml:space="preserve">1.03*** (0.30)</w:t>
            </w:r>
          </w:p>
        </w:tc>
        <w:tc>
          <w:tcPr/>
          <w:p>
            <w:pPr>
              <w:pStyle w:val="Compact"/>
              <w:jc w:val="left"/>
            </w:pPr>
            <w:r>
              <w:t xml:space="preserve">0.79*** (0.26)</w:t>
            </w:r>
          </w:p>
        </w:tc>
        <w:tc>
          <w:tcPr/>
          <w:p>
            <w:pPr>
              <w:pStyle w:val="Compact"/>
              <w:jc w:val="left"/>
            </w:pPr>
            <w:r>
              <w:t xml:space="preserve">0.79*** (0.28)</w:t>
            </w:r>
          </w:p>
        </w:tc>
        <w:tc>
          <w:tcPr/>
          <w:p>
            <w:pPr>
              <w:pStyle w:val="Compact"/>
              <w:jc w:val="left"/>
            </w:pPr>
            <w:r>
              <w:t xml:space="preserve">0.81*** (0.29)</w:t>
            </w:r>
          </w:p>
        </w:tc>
      </w:tr>
      <w:tr>
        <w:tc>
          <w:tcPr/>
          <w:p>
            <w:pPr>
              <w:pStyle w:val="Compact"/>
              <w:jc w:val="left"/>
            </w:pPr>
            <w:r>
              <w:t xml:space="preserve">W × imported</w:t>
            </w:r>
          </w:p>
        </w:tc>
        <w:tc>
          <w:tcPr/>
          <w:p>
            <w:pPr>
              <w:pStyle w:val="Compact"/>
              <w:jc w:val="left"/>
            </w:pPr>
            <w:r>
              <w:t xml:space="preserve">-0.05 (0.09)</w:t>
            </w:r>
          </w:p>
        </w:tc>
        <w:tc>
          <w:tcPr/>
          <w:p>
            <w:pPr>
              <w:pStyle w:val="Compact"/>
              <w:jc w:val="left"/>
            </w:pPr>
            <w:r>
              <w:t xml:space="preserve">-0.31 (0.23)</w:t>
            </w:r>
          </w:p>
        </w:tc>
        <w:tc>
          <w:tcPr/>
          <w:p>
            <w:pPr>
              <w:pStyle w:val="Compact"/>
              <w:jc w:val="left"/>
            </w:pPr>
            <w:r>
              <w:t xml:space="preserve">-0.61 (0.38)</w:t>
            </w:r>
          </w:p>
        </w:tc>
        <w:tc>
          <w:tcPr/>
          <w:p>
            <w:pPr>
              <w:pStyle w:val="Compact"/>
              <w:jc w:val="left"/>
            </w:pPr>
            <w:r>
              <w:t xml:space="preserve">-0.47 (0.43)</w:t>
            </w:r>
          </w:p>
        </w:tc>
        <w:tc>
          <w:tcPr/>
          <w:p>
            <w:pPr>
              <w:pStyle w:val="Compact"/>
              <w:jc w:val="left"/>
            </w:pPr>
            <w:r>
              <w:t xml:space="preserve">-0.29 (0.54)</w:t>
            </w:r>
          </w:p>
        </w:tc>
        <w:tc>
          <w:tcPr/>
          <w:p>
            <w:pPr>
              <w:pStyle w:val="Compact"/>
              <w:jc w:val="left"/>
            </w:pPr>
            <w:r>
              <w:t xml:space="preserve">-0.11 (0.71)</w:t>
            </w:r>
          </w:p>
        </w:tc>
        <w:tc>
          <w:tcPr/>
          <w:p>
            <w:pPr>
              <w:pStyle w:val="Compact"/>
              <w:jc w:val="left"/>
            </w:pPr>
            <w:r>
              <w:t xml:space="preserve">0.31 (0.70)</w:t>
            </w:r>
          </w:p>
        </w:tc>
      </w:tr>
      <w:tr>
        <w:tc>
          <w:tcPr/>
          <w:p>
            <w:pPr>
              <w:pStyle w:val="Compact"/>
              <w:jc w:val="left"/>
            </w:pPr>
            <w:r>
              <w:rPr>
                <w:iCs/>
                <w:i/>
              </w:rPr>
              <w:t xml:space="preserve">World-price state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 × world price above 24-m mean</w:t>
            </w:r>
          </w:p>
        </w:tc>
        <w:tc>
          <w:tcPr/>
          <w:p>
            <w:pPr>
              <w:pStyle w:val="Compact"/>
              <w:jc w:val="left"/>
            </w:pPr>
            <w:r>
              <w:t xml:space="preserve">0.04 (0.09)</w:t>
            </w:r>
          </w:p>
        </w:tc>
        <w:tc>
          <w:tcPr/>
          <w:p>
            <w:pPr>
              <w:pStyle w:val="Compact"/>
              <w:jc w:val="left"/>
            </w:pPr>
            <w:r>
              <w:t xml:space="preserve">0.18 (0.21)</w:t>
            </w:r>
          </w:p>
        </w:tc>
        <w:tc>
          <w:tcPr/>
          <w:p>
            <w:pPr>
              <w:pStyle w:val="Compact"/>
              <w:jc w:val="left"/>
            </w:pPr>
            <w:r>
              <w:t xml:space="preserve">0.21 (0.30)</w:t>
            </w:r>
          </w:p>
        </w:tc>
        <w:tc>
          <w:tcPr/>
          <w:p>
            <w:pPr>
              <w:pStyle w:val="Compact"/>
              <w:jc w:val="left"/>
            </w:pPr>
            <w:r>
              <w:t xml:space="preserve">0.32 (0.33)</w:t>
            </w:r>
          </w:p>
        </w:tc>
        <w:tc>
          <w:tcPr/>
          <w:p>
            <w:pPr>
              <w:pStyle w:val="Compact"/>
              <w:jc w:val="left"/>
            </w:pPr>
            <w:r>
              <w:t xml:space="preserve">0.43 (0.42)</w:t>
            </w:r>
          </w:p>
        </w:tc>
        <w:tc>
          <w:tcPr/>
          <w:p>
            <w:pPr>
              <w:pStyle w:val="Compact"/>
              <w:jc w:val="left"/>
            </w:pPr>
            <w:r>
              <w:t xml:space="preserve">0.05 (0.55)</w:t>
            </w:r>
          </w:p>
        </w:tc>
        <w:tc>
          <w:tcPr/>
          <w:p>
            <w:pPr>
              <w:pStyle w:val="Compact"/>
              <w:jc w:val="left"/>
            </w:pPr>
            <w:r>
              <w:t xml:space="preserve">-0.31 (0.56)</w:t>
            </w:r>
          </w:p>
        </w:tc>
      </w:tr>
      <w:tr>
        <w:tc>
          <w:tcPr/>
          <w:p>
            <w:pPr>
              <w:pStyle w:val="Compact"/>
              <w:jc w:val="left"/>
            </w:pPr>
            <w:r>
              <w:t xml:space="preserve">W × ΔG</w:t>
            </w:r>
          </w:p>
        </w:tc>
        <w:tc>
          <w:tcPr/>
          <w:p>
            <w:pPr>
              <w:pStyle w:val="Compact"/>
              <w:jc w:val="left"/>
            </w:pPr>
            <w:r>
              <w:t xml:space="preserve">0.01 (0.72)</w:t>
            </w:r>
          </w:p>
        </w:tc>
        <w:tc>
          <w:tcPr/>
          <w:p>
            <w:pPr>
              <w:pStyle w:val="Compact"/>
              <w:jc w:val="left"/>
            </w:pPr>
            <w:r>
              <w:t xml:space="preserve">-0.54 (1.38)</w:t>
            </w:r>
          </w:p>
        </w:tc>
        <w:tc>
          <w:tcPr/>
          <w:p>
            <w:pPr>
              <w:pStyle w:val="Compact"/>
              <w:jc w:val="left"/>
            </w:pPr>
            <w:r>
              <w:t xml:space="preserve">-0.68 (1.60)</w:t>
            </w:r>
          </w:p>
        </w:tc>
        <w:tc>
          <w:tcPr/>
          <w:p>
            <w:pPr>
              <w:pStyle w:val="Compact"/>
              <w:jc w:val="left"/>
            </w:pPr>
            <w:r>
              <w:t xml:space="preserve">-0.68 (1.88)</w:t>
            </w:r>
          </w:p>
        </w:tc>
        <w:tc>
          <w:tcPr/>
          <w:p>
            <w:pPr>
              <w:pStyle w:val="Compact"/>
              <w:jc w:val="left"/>
            </w:pPr>
            <w:r>
              <w:t xml:space="preserve">0.41 (1.98)</w:t>
            </w:r>
          </w:p>
        </w:tc>
        <w:tc>
          <w:tcPr/>
          <w:p>
            <w:pPr>
              <w:pStyle w:val="Compact"/>
              <w:jc w:val="left"/>
            </w:pPr>
            <w:r>
              <w:t xml:space="preserve">2.39 (1.88)</w:t>
            </w:r>
          </w:p>
        </w:tc>
        <w:tc>
          <w:tcPr/>
          <w:p>
            <w:pPr>
              <w:pStyle w:val="Compact"/>
              <w:jc w:val="left"/>
            </w:pPr>
            <w:r>
              <w:t xml:space="preserve">0.31 (2.12)</w:t>
            </w:r>
          </w:p>
        </w:tc>
      </w:tr>
    </w:tbl>
    <w:p>
      <w:pPr>
        <w:pStyle w:val="BodyText"/>
      </w:pPr>
      <w:r>
        <w:rPr>
          <w:iCs/>
          <w:i/>
        </w:rPr>
        <w:t xml:space="preserve">Notes:</w:t>
      </w:r>
      <w:r>
        <w:t xml:space="preserve"> </w:t>
      </w:r>
      <w:r>
        <w:t xml:space="preserve">As Table 2. Interaction rows report differences from the reference group.</w:t>
      </w:r>
      <w:r>
        <w:t xml:space="preserve"> </w:t>
      </w:r>
      <w:r>
        <w:t xml:space="preserve">“</w:t>
      </w:r>
      <w:r>
        <w:t xml:space="preserve">World price above 24-m mean</w:t>
      </w:r>
      <w:r>
        <w:t xml:space="preserve">”</w:t>
      </w:r>
      <w:r>
        <w:t xml:space="preserve"> </w:t>
      </w:r>
      <w:r>
        <w:t xml:space="preserve">equals one when the matched world price exceeds its 24-month moving average.</w:t>
      </w:r>
    </w:p>
    <w:p>
      <w:pPr>
        <w:pStyle w:val="BodyText"/>
      </w:pPr>
      <w:r>
        <w:t xml:space="preserve">The obvious reading of Table 3 is that import parity caps the price of traded staples, so a local shortfall is met by imports rather than by a higher price. A competing explanation is that rice and wheat in these markets are largely imported and local weather never touches their supply. Table 5 rules this out. An adverse year lowers national production by 7.4 percent per standard deviation across the eight crops (SE 2.3; 7,233 country-crop-years, 86 countries). Rice output falls by 6.3 percent (SE 2.8), and the gap between rice and wheat on one side and local staples on the other is small and insignificant (+3.2 pp, SE 3.4). Maize (−11.3 percent) and sorghum (−16.9 percent) fall most.</w:t>
      </w:r>
    </w:p>
    <w:p>
      <w:pPr>
        <w:pStyle w:val="BodyText"/>
      </w:pPr>
      <w:r>
        <w:t xml:space="preserve">Local weather therefore cuts the supply of traded and non-traded staples alike, yet only the prices of non-traded staples move, which is what spatial arbitrage predicts. Roots and tubers are the exception on the production side: their output does not respond (between −0.6 and −2.7 percent, none significant), while their prices do. Households switching from scarce cereals to roots would produce this pattern, but FAOSTAT imputes root-crop output for many countries, so we do not lean on it.</w:t>
      </w:r>
    </w:p>
    <w:p>
      <w:pPr>
        <w:pStyle w:val="BodyText"/>
      </w:pPr>
      <w:r>
        <w:rPr>
          <w:bCs/>
          <w:b/>
        </w:rPr>
        <w:t xml:space="preserve">Table 5. Production response to adverse weather (FAOSTAT, 2000 to 2024)</w:t>
      </w:r>
    </w:p>
    <w:tbl>
      <w:tblPr>
        <w:tblStyle w:val="Table"/>
        <w:tblW w:type="pct" w:w="5000"/>
        <w:tblLook w:firstRow="1" w:lastRow="0" w:firstColumn="0" w:lastColumn="0" w:noHBand="0" w:noVBand="0" w:val="0020"/>
        <w:jc w:val="start"/>
      </w:tblPr>
      <w:tblGrid>
        <w:gridCol w:w="2501"/>
        <w:gridCol w:w="1354"/>
        <w:gridCol w:w="1354"/>
        <w:gridCol w:w="1354"/>
        <w:gridCol w:w="1354"/>
      </w:tblGrid>
      <w:tr>
        <w:trPr>
          <w:tblHeader w:val="true"/>
        </w:trPr>
        <w:tc>
          <w:tcPr/>
          <w:p>
            <w:pPr>
              <w:pStyle w:val="Compact"/>
              <w:jc w:val="left"/>
            </w:pPr>
            <w:r>
              <w:t xml:space="preserve">Sample</w:t>
            </w:r>
          </w:p>
        </w:tc>
        <w:tc>
          <w:tcPr/>
          <w:p>
            <w:pPr>
              <w:pStyle w:val="Compact"/>
              <w:jc w:val="left"/>
            </w:pPr>
            <w:r>
              <w:t xml:space="preserve">Effect of annual W on ln production (%)</w:t>
            </w:r>
          </w:p>
        </w:tc>
        <w:tc>
          <w:tcPr/>
          <w:p>
            <w:pPr>
              <w:pStyle w:val="Compact"/>
              <w:jc w:val="left"/>
            </w:pPr>
            <w:r>
              <w:t xml:space="preserve">SE</w:t>
            </w:r>
          </w:p>
        </w:tc>
        <w:tc>
          <w:tcPr/>
          <w:p>
            <w:pPr>
              <w:pStyle w:val="Compact"/>
              <w:jc w:val="left"/>
            </w:pPr>
            <w:r>
              <w:t xml:space="preserve">N</w:t>
            </w:r>
          </w:p>
        </w:tc>
        <w:tc>
          <w:tcPr/>
          <w:p>
            <w:pPr>
              <w:pStyle w:val="Compact"/>
              <w:jc w:val="left"/>
            </w:pPr>
            <w:r>
              <w:t xml:space="preserve">Countries</w:t>
            </w:r>
          </w:p>
        </w:tc>
      </w:tr>
      <w:tr>
        <w:tc>
          <w:tcPr/>
          <w:p>
            <w:pPr>
              <w:pStyle w:val="Compact"/>
              <w:jc w:val="left"/>
            </w:pPr>
            <w:r>
              <w:t xml:space="preserve">All crops</w:t>
            </w:r>
          </w:p>
        </w:tc>
        <w:tc>
          <w:tcPr/>
          <w:p>
            <w:pPr>
              <w:pStyle w:val="Compact"/>
              <w:jc w:val="left"/>
            </w:pPr>
            <w:r>
              <w:t xml:space="preserve">-7.41***</w:t>
            </w:r>
          </w:p>
        </w:tc>
        <w:tc>
          <w:tcPr/>
          <w:p>
            <w:pPr>
              <w:pStyle w:val="Compact"/>
              <w:jc w:val="left"/>
            </w:pPr>
            <w:r>
              <w:t xml:space="preserve">2.33</w:t>
            </w:r>
          </w:p>
        </w:tc>
        <w:tc>
          <w:tcPr/>
          <w:p>
            <w:pPr>
              <w:pStyle w:val="Compact"/>
              <w:jc w:val="left"/>
            </w:pPr>
            <w:r>
              <w:t xml:space="preserve">7,233</w:t>
            </w:r>
          </w:p>
        </w:tc>
        <w:tc>
          <w:tcPr/>
          <w:p>
            <w:pPr>
              <w:pStyle w:val="Compact"/>
              <w:jc w:val="left"/>
            </w:pPr>
            <w:r>
              <w:t xml:space="preserve">86</w:t>
            </w:r>
          </w:p>
        </w:tc>
      </w:tr>
      <w:tr>
        <w:tc>
          <w:tcPr/>
          <w:p>
            <w:pPr>
              <w:pStyle w:val="Compact"/>
              <w:jc w:val="left"/>
            </w:pPr>
            <w:r>
              <w:t xml:space="preserve">All crops: W</w:t>
            </w:r>
          </w:p>
        </w:tc>
        <w:tc>
          <w:tcPr/>
          <w:p>
            <w:pPr>
              <w:pStyle w:val="Compact"/>
              <w:jc w:val="left"/>
            </w:pPr>
            <w:r>
              <w:t xml:space="preserve">-8.34***</w:t>
            </w:r>
          </w:p>
        </w:tc>
        <w:tc>
          <w:tcPr/>
          <w:p>
            <w:pPr>
              <w:pStyle w:val="Compact"/>
              <w:jc w:val="left"/>
            </w:pPr>
            <w:r>
              <w:t xml:space="preserve">2.84</w:t>
            </w:r>
          </w:p>
        </w:tc>
        <w:tc>
          <w:tcPr/>
          <w:p>
            <w:pPr>
              <w:pStyle w:val="Compact"/>
              <w:jc w:val="left"/>
            </w:pPr>
            <w:r>
              <w:t xml:space="preserve">7,233</w:t>
            </w:r>
          </w:p>
        </w:tc>
        <w:tc>
          <w:tcPr/>
          <w:p>
            <w:pPr>
              <w:pStyle w:val="Compact"/>
              <w:jc w:val="left"/>
            </w:pPr>
            <w:r>
              <w:t xml:space="preserve">86</w:t>
            </w:r>
          </w:p>
        </w:tc>
      </w:tr>
      <w:tr>
        <w:tc>
          <w:tcPr/>
          <w:p>
            <w:pPr>
              <w:pStyle w:val="Compact"/>
              <w:jc w:val="left"/>
            </w:pPr>
            <w:r>
              <w:t xml:space="preserve">All crops: W × rice/wheat</w:t>
            </w:r>
          </w:p>
        </w:tc>
        <w:tc>
          <w:tcPr/>
          <w:p>
            <w:pPr>
              <w:pStyle w:val="Compact"/>
              <w:jc w:val="left"/>
            </w:pPr>
            <w:r>
              <w:t xml:space="preserve">3.20</w:t>
            </w:r>
          </w:p>
        </w:tc>
        <w:tc>
          <w:tcPr/>
          <w:p>
            <w:pPr>
              <w:pStyle w:val="Compact"/>
              <w:jc w:val="left"/>
            </w:pPr>
            <w:r>
              <w:t xml:space="preserve">3.44</w:t>
            </w:r>
          </w:p>
        </w:tc>
        <w:tc>
          <w:tcPr/>
          <w:p>
            <w:pPr>
              <w:pStyle w:val="Compact"/>
              <w:jc w:val="left"/>
            </w:pPr>
            <w:r>
              <w:t xml:space="preserve">7,233</w:t>
            </w:r>
          </w:p>
        </w:tc>
        <w:tc>
          <w:tcPr/>
          <w:p>
            <w:pPr>
              <w:pStyle w:val="Compact"/>
              <w:jc w:val="left"/>
            </w:pPr>
            <w:r>
              <w:t xml:space="preserve">86</w:t>
            </w:r>
          </w:p>
        </w:tc>
      </w:tr>
      <w:tr>
        <w:tc>
          <w:tcPr/>
          <w:p>
            <w:pPr>
              <w:pStyle w:val="Compact"/>
              <w:jc w:val="left"/>
            </w:pPr>
            <w:r>
              <w:t xml:space="preserve">Maize</w:t>
            </w:r>
          </w:p>
        </w:tc>
        <w:tc>
          <w:tcPr/>
          <w:p>
            <w:pPr>
              <w:pStyle w:val="Compact"/>
              <w:jc w:val="left"/>
            </w:pPr>
            <w:r>
              <w:t xml:space="preserve">-11.31***</w:t>
            </w:r>
          </w:p>
        </w:tc>
        <w:tc>
          <w:tcPr/>
          <w:p>
            <w:pPr>
              <w:pStyle w:val="Compact"/>
              <w:jc w:val="left"/>
            </w:pPr>
            <w:r>
              <w:t xml:space="preserve">3.27</w:t>
            </w:r>
          </w:p>
        </w:tc>
        <w:tc>
          <w:tcPr/>
          <w:p>
            <w:pPr>
              <w:pStyle w:val="Compact"/>
              <w:jc w:val="left"/>
            </w:pPr>
            <w:r>
              <w:t xml:space="preserve">1,310</w:t>
            </w:r>
          </w:p>
        </w:tc>
        <w:tc>
          <w:tcPr/>
          <w:p>
            <w:pPr>
              <w:pStyle w:val="Compact"/>
              <w:jc w:val="left"/>
            </w:pPr>
            <w:r>
              <w:t xml:space="preserve">82</w:t>
            </w:r>
          </w:p>
        </w:tc>
      </w:tr>
      <w:tr>
        <w:tc>
          <w:tcPr/>
          <w:p>
            <w:pPr>
              <w:pStyle w:val="Compact"/>
              <w:jc w:val="left"/>
            </w:pPr>
            <w:r>
              <w:t xml:space="preserve">Rice</w:t>
            </w:r>
          </w:p>
        </w:tc>
        <w:tc>
          <w:tcPr/>
          <w:p>
            <w:pPr>
              <w:pStyle w:val="Compact"/>
              <w:jc w:val="left"/>
            </w:pPr>
            <w:r>
              <w:t xml:space="preserve">-6.31**</w:t>
            </w:r>
          </w:p>
        </w:tc>
        <w:tc>
          <w:tcPr/>
          <w:p>
            <w:pPr>
              <w:pStyle w:val="Compact"/>
              <w:jc w:val="left"/>
            </w:pPr>
            <w:r>
              <w:t xml:space="preserve">2.76</w:t>
            </w:r>
          </w:p>
        </w:tc>
        <w:tc>
          <w:tcPr/>
          <w:p>
            <w:pPr>
              <w:pStyle w:val="Compact"/>
              <w:jc w:val="left"/>
            </w:pPr>
            <w:r>
              <w:t xml:space="preserve">1,167</w:t>
            </w:r>
          </w:p>
        </w:tc>
        <w:tc>
          <w:tcPr/>
          <w:p>
            <w:pPr>
              <w:pStyle w:val="Compact"/>
              <w:jc w:val="left"/>
            </w:pPr>
            <w:r>
              <w:t xml:space="preserve">70</w:t>
            </w:r>
          </w:p>
        </w:tc>
      </w:tr>
      <w:tr>
        <w:tc>
          <w:tcPr/>
          <w:p>
            <w:pPr>
              <w:pStyle w:val="Compact"/>
              <w:jc w:val="left"/>
            </w:pPr>
            <w:r>
              <w:t xml:space="preserve">Wheat</w:t>
            </w:r>
          </w:p>
        </w:tc>
        <w:tc>
          <w:tcPr/>
          <w:p>
            <w:pPr>
              <w:pStyle w:val="Compact"/>
              <w:jc w:val="left"/>
            </w:pPr>
            <w:r>
              <w:t xml:space="preserve">-3.57</w:t>
            </w:r>
          </w:p>
        </w:tc>
        <w:tc>
          <w:tcPr/>
          <w:p>
            <w:pPr>
              <w:pStyle w:val="Compact"/>
              <w:jc w:val="left"/>
            </w:pPr>
            <w:r>
              <w:t xml:space="preserve">5.05</w:t>
            </w:r>
          </w:p>
        </w:tc>
        <w:tc>
          <w:tcPr/>
          <w:p>
            <w:pPr>
              <w:pStyle w:val="Compact"/>
              <w:jc w:val="left"/>
            </w:pPr>
            <w:r>
              <w:t xml:space="preserve">888</w:t>
            </w:r>
          </w:p>
        </w:tc>
        <w:tc>
          <w:tcPr/>
          <w:p>
            <w:pPr>
              <w:pStyle w:val="Compact"/>
              <w:jc w:val="left"/>
            </w:pPr>
            <w:r>
              <w:t xml:space="preserve">57</w:t>
            </w:r>
          </w:p>
        </w:tc>
      </w:tr>
      <w:tr>
        <w:tc>
          <w:tcPr/>
          <w:p>
            <w:pPr>
              <w:pStyle w:val="Compact"/>
              <w:jc w:val="left"/>
            </w:pPr>
            <w:r>
              <w:t xml:space="preserve">Sorghum</w:t>
            </w:r>
          </w:p>
        </w:tc>
        <w:tc>
          <w:tcPr/>
          <w:p>
            <w:pPr>
              <w:pStyle w:val="Compact"/>
              <w:jc w:val="left"/>
            </w:pPr>
            <w:r>
              <w:t xml:space="preserve">-16.87***</w:t>
            </w:r>
          </w:p>
        </w:tc>
        <w:tc>
          <w:tcPr/>
          <w:p>
            <w:pPr>
              <w:pStyle w:val="Compact"/>
              <w:jc w:val="left"/>
            </w:pPr>
            <w:r>
              <w:t xml:space="preserve">5.58</w:t>
            </w:r>
          </w:p>
        </w:tc>
        <w:tc>
          <w:tcPr/>
          <w:p>
            <w:pPr>
              <w:pStyle w:val="Compact"/>
              <w:jc w:val="left"/>
            </w:pPr>
            <w:r>
              <w:t xml:space="preserve">1,102</w:t>
            </w:r>
          </w:p>
        </w:tc>
        <w:tc>
          <w:tcPr/>
          <w:p>
            <w:pPr>
              <w:pStyle w:val="Compact"/>
              <w:jc w:val="left"/>
            </w:pPr>
            <w:r>
              <w:t xml:space="preserve">68</w:t>
            </w:r>
          </w:p>
        </w:tc>
      </w:tr>
      <w:tr>
        <w:tc>
          <w:tcPr/>
          <w:p>
            <w:pPr>
              <w:pStyle w:val="Compact"/>
              <w:jc w:val="left"/>
            </w:pPr>
            <w:r>
              <w:t xml:space="preserve">Millet</w:t>
            </w:r>
          </w:p>
        </w:tc>
        <w:tc>
          <w:tcPr/>
          <w:p>
            <w:pPr>
              <w:pStyle w:val="Compact"/>
              <w:jc w:val="left"/>
            </w:pPr>
            <w:r>
              <w:t xml:space="preserve">-6.63</w:t>
            </w:r>
          </w:p>
        </w:tc>
        <w:tc>
          <w:tcPr/>
          <w:p>
            <w:pPr>
              <w:pStyle w:val="Compact"/>
              <w:jc w:val="left"/>
            </w:pPr>
            <w:r>
              <w:t xml:space="preserve">5.35</w:t>
            </w:r>
          </w:p>
        </w:tc>
        <w:tc>
          <w:tcPr/>
          <w:p>
            <w:pPr>
              <w:pStyle w:val="Compact"/>
              <w:jc w:val="left"/>
            </w:pPr>
            <w:r>
              <w:t xml:space="preserve">947</w:t>
            </w:r>
          </w:p>
        </w:tc>
        <w:tc>
          <w:tcPr/>
          <w:p>
            <w:pPr>
              <w:pStyle w:val="Compact"/>
              <w:jc w:val="left"/>
            </w:pPr>
            <w:r>
              <w:t xml:space="preserve">55</w:t>
            </w:r>
          </w:p>
        </w:tc>
      </w:tr>
      <w:tr>
        <w:tc>
          <w:tcPr/>
          <w:p>
            <w:pPr>
              <w:pStyle w:val="Compact"/>
              <w:jc w:val="left"/>
            </w:pPr>
            <w:r>
              <w:t xml:space="preserve">Cassava</w:t>
            </w:r>
          </w:p>
        </w:tc>
        <w:tc>
          <w:tcPr/>
          <w:p>
            <w:pPr>
              <w:pStyle w:val="Compact"/>
              <w:jc w:val="left"/>
            </w:pPr>
            <w:r>
              <w:t xml:space="preserve">-0.59</w:t>
            </w:r>
          </w:p>
        </w:tc>
        <w:tc>
          <w:tcPr/>
          <w:p>
            <w:pPr>
              <w:pStyle w:val="Compact"/>
              <w:jc w:val="left"/>
            </w:pPr>
            <w:r>
              <w:t xml:space="preserve">4.00</w:t>
            </w:r>
          </w:p>
        </w:tc>
        <w:tc>
          <w:tcPr/>
          <w:p>
            <w:pPr>
              <w:pStyle w:val="Compact"/>
              <w:jc w:val="left"/>
            </w:pPr>
            <w:r>
              <w:t xml:space="preserve">910</w:t>
            </w:r>
          </w:p>
        </w:tc>
        <w:tc>
          <w:tcPr/>
          <w:p>
            <w:pPr>
              <w:pStyle w:val="Compact"/>
              <w:jc w:val="left"/>
            </w:pPr>
            <w:r>
              <w:t xml:space="preserve">54</w:t>
            </w:r>
          </w:p>
        </w:tc>
      </w:tr>
      <w:tr>
        <w:tc>
          <w:tcPr/>
          <w:p>
            <w:pPr>
              <w:pStyle w:val="Compact"/>
              <w:jc w:val="left"/>
            </w:pPr>
            <w:r>
              <w:t xml:space="preserve">Yams</w:t>
            </w:r>
          </w:p>
        </w:tc>
        <w:tc>
          <w:tcPr/>
          <w:p>
            <w:pPr>
              <w:pStyle w:val="Compact"/>
              <w:jc w:val="left"/>
            </w:pPr>
            <w:r>
              <w:t xml:space="preserve">-2.33</w:t>
            </w:r>
          </w:p>
        </w:tc>
        <w:tc>
          <w:tcPr/>
          <w:p>
            <w:pPr>
              <w:pStyle w:val="Compact"/>
              <w:jc w:val="left"/>
            </w:pPr>
            <w:r>
              <w:t xml:space="preserve">5.57</w:t>
            </w:r>
          </w:p>
        </w:tc>
        <w:tc>
          <w:tcPr/>
          <w:p>
            <w:pPr>
              <w:pStyle w:val="Compact"/>
              <w:jc w:val="left"/>
            </w:pPr>
            <w:r>
              <w:t xml:space="preserve">493</w:t>
            </w:r>
          </w:p>
        </w:tc>
        <w:tc>
          <w:tcPr/>
          <w:p>
            <w:pPr>
              <w:pStyle w:val="Compact"/>
              <w:jc w:val="left"/>
            </w:pPr>
            <w:r>
              <w:t xml:space="preserve">33</w:t>
            </w:r>
          </w:p>
        </w:tc>
      </w:tr>
      <w:tr>
        <w:tc>
          <w:tcPr/>
          <w:p>
            <w:pPr>
              <w:pStyle w:val="Compact"/>
              <w:jc w:val="left"/>
            </w:pPr>
            <w:r>
              <w:t xml:space="preserve">Plantains</w:t>
            </w:r>
          </w:p>
        </w:tc>
        <w:tc>
          <w:tcPr/>
          <w:p>
            <w:pPr>
              <w:pStyle w:val="Compact"/>
              <w:jc w:val="left"/>
            </w:pPr>
            <w:r>
              <w:t xml:space="preserve">-2.70</w:t>
            </w:r>
          </w:p>
        </w:tc>
        <w:tc>
          <w:tcPr/>
          <w:p>
            <w:pPr>
              <w:pStyle w:val="Compact"/>
              <w:jc w:val="left"/>
            </w:pPr>
            <w:r>
              <w:t xml:space="preserve">3.32</w:t>
            </w:r>
          </w:p>
        </w:tc>
        <w:tc>
          <w:tcPr/>
          <w:p>
            <w:pPr>
              <w:pStyle w:val="Compact"/>
              <w:jc w:val="left"/>
            </w:pPr>
            <w:r>
              <w:t xml:space="preserve">416</w:t>
            </w:r>
          </w:p>
        </w:tc>
        <w:tc>
          <w:tcPr/>
          <w:p>
            <w:pPr>
              <w:pStyle w:val="Compact"/>
              <w:jc w:val="left"/>
            </w:pPr>
            <w:r>
              <w:t xml:space="preserve">29</w:t>
            </w:r>
          </w:p>
        </w:tc>
      </w:tr>
    </w:tbl>
    <w:p>
      <w:pPr>
        <w:pStyle w:val="BodyText"/>
      </w:pPr>
      <w:r>
        <w:rPr>
          <w:iCs/>
          <w:i/>
        </w:rPr>
        <w:t xml:space="preserve">Notes:</w:t>
      </w:r>
      <w:r>
        <w:t xml:space="preserve"> </w:t>
      </w:r>
      <w:r>
        <w:t xml:space="preserve">Eq. (3). Dependent variable: ln production. Country × crop and crop × year fixed effects; standard errors clustered by country.</w:t>
      </w:r>
    </w:p>
    <w:bookmarkEnd w:id="31"/>
    <w:bookmarkStart w:id="32" w:name="which-markets-respond-most-h3"/>
    <w:p>
      <w:pPr>
        <w:pStyle w:val="Heading2"/>
      </w:pPr>
      <w:r>
        <w:t xml:space="preserve">5.3 Which markets respond most (H3)</w:t>
      </w:r>
    </w:p>
    <w:p>
      <w:pPr>
        <w:pStyle w:val="FirstParagraph"/>
      </w:pPr>
      <w:r>
        <w:t xml:space="preserve">The forest finds large differences across markets, and they hold up out of sample (Table 4, Panel A). In countries it was not trained on, the tercile it ranks highest shows a six-month response of 2.16 percent (SE 0.51). The lowest and middle terciles show 0.47 percent (SE 0.23) and 0.50 percent (SE 0.22). The gap between the top and middle terciles is 1.66 pp (SE 0.44). A third of market-months thus carry roughly four times the average burden.</w:t>
      </w:r>
    </w:p>
    <w:p>
      <w:pPr>
        <w:pStyle w:val="BodyText"/>
      </w:pPr>
      <w:r>
        <w:rPr>
          <w:bCs/>
          <w:b/>
        </w:rPr>
        <w:t xml:space="preserve">Table 4. Heterogeneity in the six-month response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Panel A. Out-of-sample calibration</w:t>
            </w:r>
          </w:p>
        </w:tc>
        <w:tc>
          <w:tcPr/>
          <w:p>
            <w:pPr>
              <w:pStyle w:val="Compact"/>
              <w:jc w:val="left"/>
            </w:pPr>
            <w:r>
              <w:t xml:space="preserve">δ (h = 6, %)</w:t>
            </w:r>
          </w:p>
        </w:tc>
        <w:tc>
          <w:tcPr/>
          <w:p>
            <w:pPr>
              <w:pStyle w:val="Compact"/>
              <w:jc w:val="left"/>
            </w:pPr>
            <w:r>
              <w:t xml:space="preserve">SE</w:t>
            </w:r>
          </w:p>
        </w:tc>
        <w:tc>
          <w:tcPr/>
          <w:p>
            <w:pPr>
              <w:pStyle w:val="Compact"/>
              <w:jc w:val="left"/>
            </w:pPr>
            <w:r>
              <w:t xml:space="preserve">N</w:t>
            </w:r>
          </w:p>
        </w:tc>
      </w:tr>
      <w:tr>
        <w:tc>
          <w:tcPr/>
          <w:p>
            <w:pPr>
              <w:pStyle w:val="Compact"/>
              <w:jc w:val="left"/>
            </w:pPr>
            <w:r>
              <w:t xml:space="preserve">Low predicted-effect tercile</w:t>
            </w:r>
          </w:p>
        </w:tc>
        <w:tc>
          <w:tcPr/>
          <w:p>
            <w:pPr>
              <w:pStyle w:val="Compact"/>
              <w:jc w:val="left"/>
            </w:pPr>
            <w:r>
              <w:t xml:space="preserve">0.47**</w:t>
            </w:r>
          </w:p>
        </w:tc>
        <w:tc>
          <w:tcPr/>
          <w:p>
            <w:pPr>
              <w:pStyle w:val="Compact"/>
              <w:jc w:val="left"/>
            </w:pPr>
            <w:r>
              <w:t xml:space="preserve">0.23</w:t>
            </w:r>
          </w:p>
        </w:tc>
        <w:tc>
          <w:tcPr/>
          <w:p>
            <w:pPr>
              <w:pStyle w:val="Compact"/>
              <w:jc w:val="left"/>
            </w:pPr>
            <w:r>
              <w:t xml:space="preserve">252,379</w:t>
            </w:r>
          </w:p>
        </w:tc>
      </w:tr>
      <w:tr>
        <w:tc>
          <w:tcPr/>
          <w:p>
            <w:pPr>
              <w:pStyle w:val="Compact"/>
              <w:jc w:val="left"/>
            </w:pPr>
            <w:r>
              <w:t xml:space="preserve">Middle tercile</w:t>
            </w:r>
          </w:p>
        </w:tc>
        <w:tc>
          <w:tcPr/>
          <w:p>
            <w:pPr>
              <w:pStyle w:val="Compact"/>
              <w:jc w:val="left"/>
            </w:pPr>
            <w:r>
              <w:t xml:space="preserve">0.50**</w:t>
            </w:r>
          </w:p>
        </w:tc>
        <w:tc>
          <w:tcPr/>
          <w:p>
            <w:pPr>
              <w:pStyle w:val="Compact"/>
              <w:jc w:val="left"/>
            </w:pPr>
            <w:r>
              <w:t xml:space="preserve">0.22</w:t>
            </w:r>
          </w:p>
        </w:tc>
        <w:tc>
          <w:tcPr/>
          <w:p>
            <w:pPr>
              <w:pStyle w:val="Compact"/>
              <w:jc w:val="left"/>
            </w:pPr>
            <w:r>
              <w:t xml:space="preserve">252,378</w:t>
            </w:r>
          </w:p>
        </w:tc>
      </w:tr>
      <w:tr>
        <w:tc>
          <w:tcPr/>
          <w:p>
            <w:pPr>
              <w:pStyle w:val="Compact"/>
              <w:jc w:val="left"/>
            </w:pPr>
            <w:r>
              <w:t xml:space="preserve">High tercile</w:t>
            </w:r>
          </w:p>
        </w:tc>
        <w:tc>
          <w:tcPr/>
          <w:p>
            <w:pPr>
              <w:pStyle w:val="Compact"/>
              <w:jc w:val="left"/>
            </w:pPr>
            <w:r>
              <w:t xml:space="preserve">2.16***</w:t>
            </w:r>
          </w:p>
        </w:tc>
        <w:tc>
          <w:tcPr/>
          <w:p>
            <w:pPr>
              <w:pStyle w:val="Compact"/>
              <w:jc w:val="left"/>
            </w:pPr>
            <w:r>
              <w:t xml:space="preserve">0.51</w:t>
            </w:r>
          </w:p>
        </w:tc>
        <w:tc>
          <w:tcPr/>
          <w:p>
            <w:pPr>
              <w:pStyle w:val="Compact"/>
              <w:jc w:val="left"/>
            </w:pPr>
            <w:r>
              <w:t xml:space="preserve">252,379</w:t>
            </w:r>
          </w:p>
        </w:tc>
      </w:tr>
      <w:tr>
        <w:tc>
          <w:tcPr/>
          <w:p>
            <w:pPr>
              <w:pStyle w:val="Compact"/>
              <w:jc w:val="left"/>
            </w:pPr>
            <w:r>
              <w:t xml:space="preserve">High − middle</w:t>
            </w:r>
          </w:p>
        </w:tc>
        <w:tc>
          <w:tcPr/>
          <w:p>
            <w:pPr>
              <w:pStyle w:val="Compact"/>
              <w:jc w:val="left"/>
            </w:pPr>
            <w:r>
              <w:t xml:space="preserve">1.66***</w:t>
            </w:r>
          </w:p>
        </w:tc>
        <w:tc>
          <w:tcPr/>
          <w:p>
            <w:pPr>
              <w:pStyle w:val="Compact"/>
              <w:jc w:val="left"/>
            </w:pPr>
            <w:r>
              <w:t xml:space="preserve">0.44</w:t>
            </w:r>
          </w:p>
        </w:tc>
        <w:tc>
          <w:tcPr/>
          <w:p>
            <w:pPr>
              <w:pStyle w:val="Compact"/>
              <w:jc w:val="left"/>
            </w:pPr>
            <w:r>
              <w:t xml:space="preserve">757,136</w:t>
            </w:r>
          </w:p>
        </w:tc>
      </w:tr>
      <w:tr>
        <w:tc>
          <w:tcPr/>
          <w:p>
            <w:pPr>
              <w:pStyle w:val="Compact"/>
              <w:jc w:val="left"/>
            </w:pPr>
            <w:r>
              <w:t xml:space="preserve">Low − middle</w:t>
            </w:r>
          </w:p>
        </w:tc>
        <w:tc>
          <w:tcPr/>
          <w:p>
            <w:pPr>
              <w:pStyle w:val="Compact"/>
              <w:jc w:val="left"/>
            </w:pPr>
            <w:r>
              <w:t xml:space="preserve">-0.03</w:t>
            </w:r>
          </w:p>
        </w:tc>
        <w:tc>
          <w:tcPr/>
          <w:p>
            <w:pPr>
              <w:pStyle w:val="Compact"/>
              <w:jc w:val="left"/>
            </w:pPr>
            <w:r>
              <w:t xml:space="preserve">0.19</w:t>
            </w:r>
          </w:p>
        </w:tc>
        <w:tc>
          <w:tcPr/>
          <w:p>
            <w:pPr>
              <w:pStyle w:val="Compact"/>
              <w:jc w:val="left"/>
            </w:pPr>
            <w:r>
              <w:t xml:space="preserve">757,136</w:t>
            </w:r>
          </w:p>
        </w:tc>
      </w:tr>
    </w:tbl>
    <w:p/>
    <w:tbl>
      <w:tblPr>
        <w:tblStyle w:val="Table"/>
        <w:tblW w:type="pct" w:w="5000"/>
        <w:tblLook w:firstRow="1" w:lastRow="0" w:firstColumn="0" w:lastColumn="0" w:noHBand="0" w:noVBand="0" w:val="0020"/>
        <w:jc w:val="start"/>
      </w:tblPr>
      <w:tblGrid>
        <w:gridCol w:w="3017"/>
        <w:gridCol w:w="1634"/>
        <w:gridCol w:w="1634"/>
        <w:gridCol w:w="1634"/>
      </w:tblGrid>
      <w:tr>
        <w:trPr>
          <w:tblHeader w:val="true"/>
        </w:trPr>
        <w:tc>
          <w:tcPr/>
          <w:p>
            <w:pPr>
              <w:pStyle w:val="Compact"/>
              <w:jc w:val="left"/>
            </w:pPr>
            <w:r>
              <w:t xml:space="preserve">Panel B. Linear heterogeneity (W × moderator)</w:t>
            </w:r>
          </w:p>
        </w:tc>
        <w:tc>
          <w:tcPr/>
          <w:p>
            <w:pPr>
              <w:pStyle w:val="Compact"/>
              <w:jc w:val="left"/>
            </w:pPr>
            <w:r>
              <w:t xml:space="preserve">Coefficient (pp)</w:t>
            </w:r>
          </w:p>
        </w:tc>
        <w:tc>
          <w:tcPr/>
          <w:p>
            <w:pPr>
              <w:pStyle w:val="Compact"/>
              <w:jc w:val="left"/>
            </w:pPr>
            <w:r>
              <w:t xml:space="preserve">SE</w:t>
            </w:r>
          </w:p>
        </w:tc>
        <w:tc>
          <w:tcPr/>
          <w:p>
            <w:pPr>
              <w:pStyle w:val="Compact"/>
            </w:pPr>
          </w:p>
        </w:tc>
      </w:tr>
      <w:tr>
        <w:tc>
          <w:tcPr/>
          <w:p>
            <w:pPr>
              <w:pStyle w:val="Compact"/>
              <w:jc w:val="left"/>
            </w:pPr>
            <w:r>
              <w:t xml:space="preserve">W (rice, moderators at mean)</w:t>
            </w:r>
          </w:p>
        </w:tc>
        <w:tc>
          <w:tcPr/>
          <w:p>
            <w:pPr>
              <w:pStyle w:val="Compact"/>
              <w:jc w:val="left"/>
            </w:pPr>
            <w:r>
              <w:t xml:space="preserve">0.56**</w:t>
            </w:r>
          </w:p>
        </w:tc>
        <w:tc>
          <w:tcPr/>
          <w:p>
            <w:pPr>
              <w:pStyle w:val="Compact"/>
              <w:jc w:val="left"/>
            </w:pPr>
            <w:r>
              <w:t xml:space="preserve">0.26</w:t>
            </w:r>
          </w:p>
        </w:tc>
        <w:tc>
          <w:tcPr/>
          <w:p>
            <w:pPr>
              <w:pStyle w:val="Compact"/>
            </w:pPr>
          </w:p>
        </w:tc>
      </w:tr>
      <w:tr>
        <w:tc>
          <w:tcPr/>
          <w:p>
            <w:pPr>
              <w:pStyle w:val="Compact"/>
              <w:jc w:val="left"/>
            </w:pPr>
            <w:r>
              <w:t xml:space="preserve">× distance to coast (1 s.d.)</w:t>
            </w:r>
          </w:p>
        </w:tc>
        <w:tc>
          <w:tcPr/>
          <w:p>
            <w:pPr>
              <w:pStyle w:val="Compact"/>
              <w:jc w:val="left"/>
            </w:pPr>
            <w:r>
              <w:t xml:space="preserve">-0.11</w:t>
            </w:r>
          </w:p>
        </w:tc>
        <w:tc>
          <w:tcPr/>
          <w:p>
            <w:pPr>
              <w:pStyle w:val="Compact"/>
              <w:jc w:val="left"/>
            </w:pPr>
            <w:r>
              <w:t xml:space="preserve">0.15</w:t>
            </w:r>
          </w:p>
        </w:tc>
        <w:tc>
          <w:tcPr/>
          <w:p>
            <w:pPr>
              <w:pStyle w:val="Compact"/>
            </w:pPr>
          </w:p>
        </w:tc>
      </w:tr>
      <w:tr>
        <w:tc>
          <w:tcPr/>
          <w:p>
            <w:pPr>
              <w:pStyle w:val="Compact"/>
              <w:jc w:val="left"/>
            </w:pPr>
            <w:r>
              <w:t xml:space="preserve">× log mean rainfall (1 s.d.)</w:t>
            </w:r>
          </w:p>
        </w:tc>
        <w:tc>
          <w:tcPr/>
          <w:p>
            <w:pPr>
              <w:pStyle w:val="Compact"/>
              <w:jc w:val="left"/>
            </w:pPr>
            <w:r>
              <w:t xml:space="preserve">-0.44***</w:t>
            </w:r>
          </w:p>
        </w:tc>
        <w:tc>
          <w:tcPr/>
          <w:p>
            <w:pPr>
              <w:pStyle w:val="Compact"/>
              <w:jc w:val="left"/>
            </w:pPr>
            <w:r>
              <w:t xml:space="preserve">0.15</w:t>
            </w:r>
          </w:p>
        </w:tc>
        <w:tc>
          <w:tcPr/>
          <w:p>
            <w:pPr>
              <w:pStyle w:val="Compact"/>
            </w:pPr>
          </w:p>
        </w:tc>
      </w:tr>
      <w:tr>
        <w:tc>
          <w:tcPr/>
          <w:p>
            <w:pPr>
              <w:pStyle w:val="Compact"/>
              <w:jc w:val="left"/>
            </w:pPr>
            <w:r>
              <w:t xml:space="preserve">× heat climatology (1 s.d.)</w:t>
            </w:r>
          </w:p>
        </w:tc>
        <w:tc>
          <w:tcPr/>
          <w:p>
            <w:pPr>
              <w:pStyle w:val="Compact"/>
              <w:jc w:val="left"/>
            </w:pPr>
            <w:r>
              <w:t xml:space="preserve">-0.26</w:t>
            </w:r>
          </w:p>
        </w:tc>
        <w:tc>
          <w:tcPr/>
          <w:p>
            <w:pPr>
              <w:pStyle w:val="Compact"/>
              <w:jc w:val="left"/>
            </w:pPr>
            <w:r>
              <w:t xml:space="preserve">0.24</w:t>
            </w:r>
          </w:p>
        </w:tc>
        <w:tc>
          <w:tcPr/>
          <w:p>
            <w:pPr>
              <w:pStyle w:val="Compact"/>
            </w:pPr>
          </w:p>
        </w:tc>
      </w:tr>
      <w:tr>
        <w:tc>
          <w:tcPr/>
          <w:p>
            <w:pPr>
              <w:pStyle w:val="Compact"/>
              <w:jc w:val="left"/>
            </w:pPr>
            <w:r>
              <w:t xml:space="preserve">×</w:t>
            </w:r>
          </w:p>
        </w:tc>
        <w:tc>
          <w:tcPr/>
          <w:p>
            <w:pPr>
              <w:pStyle w:val="Compact"/>
              <w:jc w:val="left"/>
            </w:pPr>
            <w:r>
              <w:t xml:space="preserve">latitude</w:t>
            </w:r>
          </w:p>
        </w:tc>
        <w:tc>
          <w:tcPr/>
          <w:p>
            <w:pPr>
              <w:pStyle w:val="Compact"/>
              <w:jc w:val="left"/>
            </w:pPr>
            <w:r>
              <w:t xml:space="preserve">(1 s.d.)</w:t>
            </w:r>
          </w:p>
        </w:tc>
        <w:tc>
          <w:tcPr/>
          <w:p>
            <w:pPr>
              <w:pStyle w:val="Compact"/>
              <w:jc w:val="left"/>
            </w:pPr>
            <w:r>
              <w:t xml:space="preserve">-0.41*</w:t>
            </w:r>
          </w:p>
        </w:tc>
      </w:tr>
      <w:tr>
        <w:tc>
          <w:tcPr/>
          <w:p>
            <w:pPr>
              <w:pStyle w:val="Compact"/>
              <w:jc w:val="left"/>
            </w:pPr>
            <w:r>
              <w:t xml:space="preserve">× imported label</w:t>
            </w:r>
          </w:p>
        </w:tc>
        <w:tc>
          <w:tcPr/>
          <w:p>
            <w:pPr>
              <w:pStyle w:val="Compact"/>
              <w:jc w:val="left"/>
            </w:pPr>
            <w:r>
              <w:t xml:space="preserve">-0.15</w:t>
            </w:r>
          </w:p>
        </w:tc>
        <w:tc>
          <w:tcPr/>
          <w:p>
            <w:pPr>
              <w:pStyle w:val="Compact"/>
              <w:jc w:val="left"/>
            </w:pPr>
            <w:r>
              <w:t xml:space="preserve">0.29</w:t>
            </w:r>
          </w:p>
        </w:tc>
        <w:tc>
          <w:tcPr/>
          <w:p>
            <w:pPr>
              <w:pStyle w:val="Compact"/>
            </w:pPr>
          </w:p>
        </w:tc>
      </w:tr>
      <w:tr>
        <w:tc>
          <w:tcPr/>
          <w:p>
            <w:pPr>
              <w:pStyle w:val="Compact"/>
              <w:jc w:val="left"/>
            </w:pPr>
            <w:r>
              <w:t xml:space="preserve">× wheat</w:t>
            </w:r>
          </w:p>
        </w:tc>
        <w:tc>
          <w:tcPr/>
          <w:p>
            <w:pPr>
              <w:pStyle w:val="Compact"/>
              <w:jc w:val="left"/>
            </w:pPr>
            <w:r>
              <w:t xml:space="preserve">-0.13</w:t>
            </w:r>
          </w:p>
        </w:tc>
        <w:tc>
          <w:tcPr/>
          <w:p>
            <w:pPr>
              <w:pStyle w:val="Compact"/>
              <w:jc w:val="left"/>
            </w:pPr>
            <w:r>
              <w:t xml:space="preserve">0.23</w:t>
            </w:r>
          </w:p>
        </w:tc>
        <w:tc>
          <w:tcPr/>
          <w:p>
            <w:pPr>
              <w:pStyle w:val="Compact"/>
            </w:pPr>
          </w:p>
        </w:tc>
      </w:tr>
      <w:tr>
        <w:tc>
          <w:tcPr/>
          <w:p>
            <w:pPr>
              <w:pStyle w:val="Compact"/>
              <w:jc w:val="left"/>
            </w:pPr>
            <w:r>
              <w:t xml:space="preserve">× maize</w:t>
            </w:r>
          </w:p>
        </w:tc>
        <w:tc>
          <w:tcPr/>
          <w:p>
            <w:pPr>
              <w:pStyle w:val="Compact"/>
              <w:jc w:val="left"/>
            </w:pPr>
            <w:r>
              <w:t xml:space="preserve">1.32**</w:t>
            </w:r>
          </w:p>
        </w:tc>
        <w:tc>
          <w:tcPr/>
          <w:p>
            <w:pPr>
              <w:pStyle w:val="Compact"/>
              <w:jc w:val="left"/>
            </w:pPr>
            <w:r>
              <w:t xml:space="preserve">0.53</w:t>
            </w:r>
          </w:p>
        </w:tc>
        <w:tc>
          <w:tcPr/>
          <w:p>
            <w:pPr>
              <w:pStyle w:val="Compact"/>
            </w:pPr>
          </w:p>
        </w:tc>
      </w:tr>
      <w:tr>
        <w:tc>
          <w:tcPr/>
          <w:p>
            <w:pPr>
              <w:pStyle w:val="Compact"/>
              <w:jc w:val="left"/>
            </w:pPr>
            <w:r>
              <w:t xml:space="preserve">× sorghum/millet</w:t>
            </w:r>
          </w:p>
        </w:tc>
        <w:tc>
          <w:tcPr/>
          <w:p>
            <w:pPr>
              <w:pStyle w:val="Compact"/>
              <w:jc w:val="left"/>
            </w:pPr>
            <w:r>
              <w:t xml:space="preserve">1.26**</w:t>
            </w:r>
          </w:p>
        </w:tc>
        <w:tc>
          <w:tcPr/>
          <w:p>
            <w:pPr>
              <w:pStyle w:val="Compact"/>
              <w:jc w:val="left"/>
            </w:pPr>
            <w:r>
              <w:t xml:space="preserve">0.64</w:t>
            </w:r>
          </w:p>
        </w:tc>
        <w:tc>
          <w:tcPr/>
          <w:p>
            <w:pPr>
              <w:pStyle w:val="Compact"/>
            </w:pPr>
          </w:p>
        </w:tc>
      </w:tr>
      <w:tr>
        <w:tc>
          <w:tcPr/>
          <w:p>
            <w:pPr>
              <w:pStyle w:val="Compact"/>
              <w:jc w:val="left"/>
            </w:pPr>
            <w:r>
              <w:t xml:space="preserve">× cassava/yam/plantain</w:t>
            </w:r>
          </w:p>
        </w:tc>
        <w:tc>
          <w:tcPr/>
          <w:p>
            <w:pPr>
              <w:pStyle w:val="Compact"/>
              <w:jc w:val="left"/>
            </w:pPr>
            <w:r>
              <w:t xml:space="preserve">0.67</w:t>
            </w:r>
          </w:p>
        </w:tc>
        <w:tc>
          <w:tcPr/>
          <w:p>
            <w:pPr>
              <w:pStyle w:val="Compact"/>
              <w:jc w:val="left"/>
            </w:pPr>
            <w:r>
              <w:t xml:space="preserve">0.55</w:t>
            </w:r>
          </w:p>
        </w:tc>
        <w:tc>
          <w:tcPr/>
          <w:p>
            <w:pPr>
              <w:pStyle w:val="Compact"/>
            </w:pPr>
          </w:p>
        </w:tc>
      </w:tr>
    </w:tbl>
    <w:p>
      <w:pPr>
        <w:pStyle w:val="BodyText"/>
      </w:pPr>
      <w:r>
        <w:rPr>
          <w:iCs/>
          <w:i/>
        </w:rPr>
        <w:t xml:space="preserve">Notes:</w:t>
      </w:r>
      <w:r>
        <w:t xml:space="preserve"> </w:t>
      </w:r>
      <w:r>
        <w:t xml:space="preserve">Panel A: terciles of out-of-sample predicted effects from a causal forest cross-fitted by country halves; δ re-estimated within each tercile with two-way clustered errors. Panel B: linear projection with standardized continuous moderators; product groups relative to rice.</w:t>
      </w:r>
    </w:p>
    <w:p>
      <w:pPr>
        <w:pStyle w:val="BodyText"/>
      </w:pPr>
      <w:r>
        <w:t xml:space="preserve">Aridity is the clearest continuous driver (Panel B). One standard deviation less mean rainfall raises the response by 0.44 pp (SE 0.15). Markets in dry climates have thin local supply, carry little storage from year to year and have fewer surplus neighbors to draw on, so a bad season moves their prices more. The product contrasts of Table 3 appear again (maize +1.32 pp and sorghum and millet +1.26 pp relative to rice). Distance to the coast, heat climatology and the imported label do not predict the response, and absolute latitude is borderline (−0.41 pp, SE 0.24). The forest’s variable importances differ between the two country halves (latitude scores 0.95 in one and 0.23 in the other), so we treat them as descriptive and base inference on the calibration test and the linear projection.</w:t>
      </w:r>
    </w:p>
    <w:bookmarkEnd w:id="32"/>
    <w:bookmarkStart w:id="33" w:name="policy-moderators-and-world-market-state"/>
    <w:p>
      <w:pPr>
        <w:pStyle w:val="Heading2"/>
      </w:pPr>
      <w:r>
        <w:t xml:space="preserve">5.4 Policy moderators and world-market state</w:t>
      </w:r>
    </w:p>
    <w:p>
      <w:pPr>
        <w:pStyle w:val="FirstParagraph"/>
      </w:pPr>
      <w:r>
        <w:t xml:space="preserve">The three policy moderators lean the way the arbitrage mechanism predicts, but none reaches significance (Table 6; h = 6, 547,980 market-months in 73 countries). In the joint model, a one-standard-deviation increase in cereal import dependence lowers the response by 0.28 pp (SE 0.16, MDE 0.46 pp), and one standard deviation more remoteness raises it by 0.19 pp (SE 0.11, MDE 0.30 pp). Both sit close to their detection thresholds. Conflict exposure changes nothing (+0.15 pp, SE 0.23), and its MDE of 0.66 pp lets us rule out amplification larger than about 70 percent of the average effect.</w:t>
      </w:r>
    </w:p>
    <w:p>
      <w:pPr>
        <w:pStyle w:val="BodyText"/>
      </w:pPr>
      <w:r>
        <w:rPr>
          <w:bCs/>
          <w:b/>
        </w:rPr>
        <w:t xml:space="preserve">Table 6. Policy moderators of the six-month response (exploratory)</w:t>
      </w:r>
    </w:p>
    <w:tbl>
      <w:tblPr>
        <w:tblStyle w:val="Table"/>
        <w:tblW w:type="pct" w:w="5000"/>
        <w:tblLook w:firstRow="1" w:lastRow="0" w:firstColumn="0" w:lastColumn="0" w:noHBand="0" w:noVBand="0" w:val="0020"/>
        <w:jc w:val="start"/>
      </w:tblPr>
      <w:tblGrid>
        <w:gridCol w:w="2501"/>
        <w:gridCol w:w="1354"/>
        <w:gridCol w:w="1354"/>
        <w:gridCol w:w="1354"/>
        <w:gridCol w:w="1354"/>
      </w:tblGrid>
      <w:tr>
        <w:trPr>
          <w:tblHeader w:val="true"/>
        </w:trPr>
        <w:tc>
          <w:tcPr/>
          <w:p>
            <w:pPr>
              <w:pStyle w:val="Compact"/>
              <w:jc w:val="left"/>
            </w:pPr>
            <w:r>
              <w:t xml:space="preserve">Specification</w:t>
            </w:r>
          </w:p>
        </w:tc>
        <w:tc>
          <w:tcPr/>
          <w:p>
            <w:pPr>
              <w:pStyle w:val="Compact"/>
              <w:jc w:val="left"/>
            </w:pPr>
            <w:r>
              <w:t xml:space="preserve">Term</w:t>
            </w:r>
          </w:p>
        </w:tc>
        <w:tc>
          <w:tcPr/>
          <w:p>
            <w:pPr>
              <w:pStyle w:val="Compact"/>
              <w:jc w:val="left"/>
            </w:pPr>
            <w:r>
              <w:t xml:space="preserve">Coefficient (pp)</w:t>
            </w:r>
          </w:p>
        </w:tc>
        <w:tc>
          <w:tcPr/>
          <w:p>
            <w:pPr>
              <w:pStyle w:val="Compact"/>
              <w:jc w:val="left"/>
            </w:pPr>
            <w:r>
              <w:t xml:space="preserve">SE</w:t>
            </w:r>
          </w:p>
        </w:tc>
        <w:tc>
          <w:tcPr/>
          <w:p>
            <w:pPr>
              <w:pStyle w:val="Compact"/>
              <w:jc w:val="left"/>
            </w:pPr>
            <w:r>
              <w:t xml:space="preserve">MDE (pp)</w:t>
            </w:r>
          </w:p>
        </w:tc>
      </w:tr>
      <w:tr>
        <w:tc>
          <w:tcPr/>
          <w:p>
            <w:pPr>
              <w:pStyle w:val="Compact"/>
              <w:jc w:val="left"/>
            </w:pPr>
            <w:r>
              <w:t xml:space="preserve">Import dependence</w:t>
            </w:r>
          </w:p>
        </w:tc>
        <w:tc>
          <w:tcPr/>
          <w:p>
            <w:pPr>
              <w:pStyle w:val="Compact"/>
              <w:jc w:val="left"/>
            </w:pPr>
            <w:r>
              <w:t xml:space="preserve">W</w:t>
            </w:r>
          </w:p>
        </w:tc>
        <w:tc>
          <w:tcPr/>
          <w:p>
            <w:pPr>
              <w:pStyle w:val="Compact"/>
              <w:jc w:val="left"/>
            </w:pPr>
            <w:r>
              <w:t xml:space="preserve">0.92***</w:t>
            </w:r>
          </w:p>
        </w:tc>
        <w:tc>
          <w:tcPr/>
          <w:p>
            <w:pPr>
              <w:pStyle w:val="Compact"/>
              <w:jc w:val="left"/>
            </w:pPr>
            <w:r>
              <w:t xml:space="preserve">0.29</w:t>
            </w:r>
          </w:p>
        </w:tc>
        <w:tc>
          <w:tcPr/>
          <w:p>
            <w:pPr>
              <w:pStyle w:val="Compact"/>
              <w:jc w:val="left"/>
            </w:pPr>
            <w:r>
              <w:t xml:space="preserve">0.80</w:t>
            </w:r>
          </w:p>
        </w:tc>
      </w:tr>
      <w:tr>
        <w:tc>
          <w:tcPr/>
          <w:p>
            <w:pPr>
              <w:pStyle w:val="Compact"/>
              <w:jc w:val="left"/>
            </w:pPr>
            <w:r>
              <w:t xml:space="preserve">Import dependence</w:t>
            </w:r>
          </w:p>
        </w:tc>
        <w:tc>
          <w:tcPr/>
          <w:p>
            <w:pPr>
              <w:pStyle w:val="Compact"/>
              <w:jc w:val="left"/>
            </w:pPr>
            <w:r>
              <w:t xml:space="preserve">W × import dependence</w:t>
            </w:r>
          </w:p>
        </w:tc>
        <w:tc>
          <w:tcPr/>
          <w:p>
            <w:pPr>
              <w:pStyle w:val="Compact"/>
              <w:jc w:val="left"/>
            </w:pPr>
            <w:r>
              <w:t xml:space="preserve">-0.25</w:t>
            </w:r>
          </w:p>
        </w:tc>
        <w:tc>
          <w:tcPr/>
          <w:p>
            <w:pPr>
              <w:pStyle w:val="Compact"/>
              <w:jc w:val="left"/>
            </w:pPr>
            <w:r>
              <w:t xml:space="preserve">0.17</w:t>
            </w:r>
          </w:p>
        </w:tc>
        <w:tc>
          <w:tcPr/>
          <w:p>
            <w:pPr>
              <w:pStyle w:val="Compact"/>
              <w:jc w:val="left"/>
            </w:pPr>
            <w:r>
              <w:t xml:space="preserve">0.48</w:t>
            </w:r>
          </w:p>
        </w:tc>
      </w:tr>
      <w:tr>
        <w:tc>
          <w:tcPr/>
          <w:p>
            <w:pPr>
              <w:pStyle w:val="Compact"/>
              <w:jc w:val="left"/>
            </w:pPr>
            <w:r>
              <w:t xml:space="preserve">Conflict exposure</w:t>
            </w:r>
          </w:p>
        </w:tc>
        <w:tc>
          <w:tcPr/>
          <w:p>
            <w:pPr>
              <w:pStyle w:val="Compact"/>
              <w:jc w:val="left"/>
            </w:pPr>
            <w:r>
              <w:t xml:space="preserve">W</w:t>
            </w:r>
          </w:p>
        </w:tc>
        <w:tc>
          <w:tcPr/>
          <w:p>
            <w:pPr>
              <w:pStyle w:val="Compact"/>
              <w:jc w:val="left"/>
            </w:pPr>
            <w:r>
              <w:t xml:space="preserve">0.94***</w:t>
            </w:r>
          </w:p>
        </w:tc>
        <w:tc>
          <w:tcPr/>
          <w:p>
            <w:pPr>
              <w:pStyle w:val="Compact"/>
              <w:jc w:val="left"/>
            </w:pPr>
            <w:r>
              <w:t xml:space="preserve">0.29</w:t>
            </w:r>
          </w:p>
        </w:tc>
        <w:tc>
          <w:tcPr/>
          <w:p>
            <w:pPr>
              <w:pStyle w:val="Compact"/>
              <w:jc w:val="left"/>
            </w:pPr>
            <w:r>
              <w:t xml:space="preserve">0.82</w:t>
            </w:r>
          </w:p>
        </w:tc>
      </w:tr>
      <w:tr>
        <w:tc>
          <w:tcPr/>
          <w:p>
            <w:pPr>
              <w:pStyle w:val="Compact"/>
              <w:jc w:val="left"/>
            </w:pPr>
            <w:r>
              <w:t xml:space="preserve">Conflict exposure</w:t>
            </w:r>
          </w:p>
        </w:tc>
        <w:tc>
          <w:tcPr/>
          <w:p>
            <w:pPr>
              <w:pStyle w:val="Compact"/>
              <w:jc w:val="left"/>
            </w:pPr>
            <w:r>
              <w:t xml:space="preserve">Conflict (level)</w:t>
            </w:r>
          </w:p>
        </w:tc>
        <w:tc>
          <w:tcPr/>
          <w:p>
            <w:pPr>
              <w:pStyle w:val="Compact"/>
              <w:jc w:val="left"/>
            </w:pPr>
            <w:r>
              <w:t xml:space="preserve">0.19</w:t>
            </w:r>
          </w:p>
        </w:tc>
        <w:tc>
          <w:tcPr/>
          <w:p>
            <w:pPr>
              <w:pStyle w:val="Compact"/>
              <w:jc w:val="left"/>
            </w:pPr>
            <w:r>
              <w:t xml:space="preserve">0.41</w:t>
            </w:r>
          </w:p>
        </w:tc>
        <w:tc>
          <w:tcPr/>
          <w:p>
            <w:pPr>
              <w:pStyle w:val="Compact"/>
              <w:jc w:val="left"/>
            </w:pPr>
            <w:r>
              <w:t xml:space="preserve">1.15</w:t>
            </w:r>
          </w:p>
        </w:tc>
      </w:tr>
      <w:tr>
        <w:tc>
          <w:tcPr/>
          <w:p>
            <w:pPr>
              <w:pStyle w:val="Compact"/>
              <w:jc w:val="left"/>
            </w:pPr>
            <w:r>
              <w:t xml:space="preserve">Conflict exposure</w:t>
            </w:r>
          </w:p>
        </w:tc>
        <w:tc>
          <w:tcPr/>
          <w:p>
            <w:pPr>
              <w:pStyle w:val="Compact"/>
              <w:jc w:val="left"/>
            </w:pPr>
            <w:r>
              <w:t xml:space="preserve">W × conflict</w:t>
            </w:r>
          </w:p>
        </w:tc>
        <w:tc>
          <w:tcPr/>
          <w:p>
            <w:pPr>
              <w:pStyle w:val="Compact"/>
              <w:jc w:val="left"/>
            </w:pPr>
            <w:r>
              <w:t xml:space="preserve">0.11</w:t>
            </w:r>
          </w:p>
        </w:tc>
        <w:tc>
          <w:tcPr/>
          <w:p>
            <w:pPr>
              <w:pStyle w:val="Compact"/>
              <w:jc w:val="left"/>
            </w:pPr>
            <w:r>
              <w:t xml:space="preserve">0.24</w:t>
            </w:r>
          </w:p>
        </w:tc>
        <w:tc>
          <w:tcPr/>
          <w:p>
            <w:pPr>
              <w:pStyle w:val="Compact"/>
              <w:jc w:val="left"/>
            </w:pPr>
            <w:r>
              <w:t xml:space="preserve">0.68</w:t>
            </w:r>
          </w:p>
        </w:tc>
      </w:tr>
      <w:tr>
        <w:tc>
          <w:tcPr/>
          <w:p>
            <w:pPr>
              <w:pStyle w:val="Compact"/>
              <w:jc w:val="left"/>
            </w:pPr>
            <w:r>
              <w:t xml:space="preserve">Remoteness</w:t>
            </w:r>
          </w:p>
        </w:tc>
        <w:tc>
          <w:tcPr/>
          <w:p>
            <w:pPr>
              <w:pStyle w:val="Compact"/>
              <w:jc w:val="left"/>
            </w:pPr>
            <w:r>
              <w:t xml:space="preserve">W</w:t>
            </w:r>
          </w:p>
        </w:tc>
        <w:tc>
          <w:tcPr/>
          <w:p>
            <w:pPr>
              <w:pStyle w:val="Compact"/>
              <w:jc w:val="left"/>
            </w:pPr>
            <w:r>
              <w:t xml:space="preserve">0.94***</w:t>
            </w:r>
          </w:p>
        </w:tc>
        <w:tc>
          <w:tcPr/>
          <w:p>
            <w:pPr>
              <w:pStyle w:val="Compact"/>
              <w:jc w:val="left"/>
            </w:pPr>
            <w:r>
              <w:t xml:space="preserve">0.29</w:t>
            </w:r>
          </w:p>
        </w:tc>
        <w:tc>
          <w:tcPr/>
          <w:p>
            <w:pPr>
              <w:pStyle w:val="Compact"/>
              <w:jc w:val="left"/>
            </w:pPr>
            <w:r>
              <w:t xml:space="preserve">0.81</w:t>
            </w:r>
          </w:p>
        </w:tc>
      </w:tr>
      <w:tr>
        <w:tc>
          <w:tcPr/>
          <w:p>
            <w:pPr>
              <w:pStyle w:val="Compact"/>
              <w:jc w:val="left"/>
            </w:pPr>
            <w:r>
              <w:t xml:space="preserve">Remoteness</w:t>
            </w:r>
          </w:p>
        </w:tc>
        <w:tc>
          <w:tcPr/>
          <w:p>
            <w:pPr>
              <w:pStyle w:val="Compact"/>
              <w:jc w:val="left"/>
            </w:pPr>
            <w:r>
              <w:t xml:space="preserve">W × remoteness</w:t>
            </w:r>
          </w:p>
        </w:tc>
        <w:tc>
          <w:tcPr/>
          <w:p>
            <w:pPr>
              <w:pStyle w:val="Compact"/>
              <w:jc w:val="left"/>
            </w:pPr>
            <w:r>
              <w:t xml:space="preserve">0.13</w:t>
            </w:r>
          </w:p>
        </w:tc>
        <w:tc>
          <w:tcPr/>
          <w:p>
            <w:pPr>
              <w:pStyle w:val="Compact"/>
              <w:jc w:val="left"/>
            </w:pPr>
            <w:r>
              <w:t xml:space="preserve">0.10</w:t>
            </w:r>
          </w:p>
        </w:tc>
        <w:tc>
          <w:tcPr/>
          <w:p>
            <w:pPr>
              <w:pStyle w:val="Compact"/>
              <w:jc w:val="left"/>
            </w:pPr>
            <w:r>
              <w:t xml:space="preserve">0.29</w:t>
            </w:r>
          </w:p>
        </w:tc>
      </w:tr>
      <w:tr>
        <w:tc>
          <w:tcPr/>
          <w:p>
            <w:pPr>
              <w:pStyle w:val="Compact"/>
              <w:jc w:val="left"/>
            </w:pPr>
            <w:r>
              <w:t xml:space="preserve">Joint</w:t>
            </w:r>
          </w:p>
        </w:tc>
        <w:tc>
          <w:tcPr/>
          <w:p>
            <w:pPr>
              <w:pStyle w:val="Compact"/>
              <w:jc w:val="left"/>
            </w:pPr>
            <w:r>
              <w:t xml:space="preserve">W</w:t>
            </w:r>
          </w:p>
        </w:tc>
        <w:tc>
          <w:tcPr/>
          <w:p>
            <w:pPr>
              <w:pStyle w:val="Compact"/>
              <w:jc w:val="left"/>
            </w:pPr>
            <w:r>
              <w:t xml:space="preserve">0.92***</w:t>
            </w:r>
          </w:p>
        </w:tc>
        <w:tc>
          <w:tcPr/>
          <w:p>
            <w:pPr>
              <w:pStyle w:val="Compact"/>
              <w:jc w:val="left"/>
            </w:pPr>
            <w:r>
              <w:t xml:space="preserve">0.28</w:t>
            </w:r>
          </w:p>
        </w:tc>
        <w:tc>
          <w:tcPr/>
          <w:p>
            <w:pPr>
              <w:pStyle w:val="Compact"/>
              <w:jc w:val="left"/>
            </w:pPr>
            <w:r>
              <w:t xml:space="preserve">0.79</w:t>
            </w:r>
          </w:p>
        </w:tc>
      </w:tr>
      <w:tr>
        <w:tc>
          <w:tcPr/>
          <w:p>
            <w:pPr>
              <w:pStyle w:val="Compact"/>
              <w:jc w:val="left"/>
            </w:pPr>
            <w:r>
              <w:t xml:space="preserve">Joint</w:t>
            </w:r>
          </w:p>
        </w:tc>
        <w:tc>
          <w:tcPr/>
          <w:p>
            <w:pPr>
              <w:pStyle w:val="Compact"/>
              <w:jc w:val="left"/>
            </w:pPr>
            <w:r>
              <w:t xml:space="preserve">Conflict (level)</w:t>
            </w:r>
          </w:p>
        </w:tc>
        <w:tc>
          <w:tcPr/>
          <w:p>
            <w:pPr>
              <w:pStyle w:val="Compact"/>
              <w:jc w:val="left"/>
            </w:pPr>
            <w:r>
              <w:t xml:space="preserve">0.17</w:t>
            </w:r>
          </w:p>
        </w:tc>
        <w:tc>
          <w:tcPr/>
          <w:p>
            <w:pPr>
              <w:pStyle w:val="Compact"/>
              <w:jc w:val="left"/>
            </w:pPr>
            <w:r>
              <w:t xml:space="preserve">0.41</w:t>
            </w:r>
          </w:p>
        </w:tc>
        <w:tc>
          <w:tcPr/>
          <w:p>
            <w:pPr>
              <w:pStyle w:val="Compact"/>
              <w:jc w:val="left"/>
            </w:pPr>
            <w:r>
              <w:t xml:space="preserve">1.14</w:t>
            </w:r>
          </w:p>
        </w:tc>
      </w:tr>
      <w:tr>
        <w:tc>
          <w:tcPr/>
          <w:p>
            <w:pPr>
              <w:pStyle w:val="Compact"/>
              <w:jc w:val="left"/>
            </w:pPr>
            <w:r>
              <w:t xml:space="preserve">Joint</w:t>
            </w:r>
          </w:p>
        </w:tc>
        <w:tc>
          <w:tcPr/>
          <w:p>
            <w:pPr>
              <w:pStyle w:val="Compact"/>
              <w:jc w:val="left"/>
            </w:pPr>
            <w:r>
              <w:t xml:space="preserve">W × import dependence</w:t>
            </w:r>
          </w:p>
        </w:tc>
        <w:tc>
          <w:tcPr/>
          <w:p>
            <w:pPr>
              <w:pStyle w:val="Compact"/>
              <w:jc w:val="left"/>
            </w:pPr>
            <w:r>
              <w:t xml:space="preserve">-0.28*</w:t>
            </w:r>
          </w:p>
        </w:tc>
        <w:tc>
          <w:tcPr/>
          <w:p>
            <w:pPr>
              <w:pStyle w:val="Compact"/>
              <w:jc w:val="left"/>
            </w:pPr>
            <w:r>
              <w:t xml:space="preserve">0.16</w:t>
            </w:r>
          </w:p>
        </w:tc>
        <w:tc>
          <w:tcPr/>
          <w:p>
            <w:pPr>
              <w:pStyle w:val="Compact"/>
              <w:jc w:val="left"/>
            </w:pPr>
            <w:r>
              <w:t xml:space="preserve">0.46</w:t>
            </w:r>
          </w:p>
        </w:tc>
      </w:tr>
      <w:tr>
        <w:tc>
          <w:tcPr/>
          <w:p>
            <w:pPr>
              <w:pStyle w:val="Compact"/>
              <w:jc w:val="left"/>
            </w:pPr>
            <w:r>
              <w:t xml:space="preserve">Joint</w:t>
            </w:r>
          </w:p>
        </w:tc>
        <w:tc>
          <w:tcPr/>
          <w:p>
            <w:pPr>
              <w:pStyle w:val="Compact"/>
              <w:jc w:val="left"/>
            </w:pPr>
            <w:r>
              <w:t xml:space="preserve">W × conflict</w:t>
            </w:r>
          </w:p>
        </w:tc>
        <w:tc>
          <w:tcPr/>
          <w:p>
            <w:pPr>
              <w:pStyle w:val="Compact"/>
              <w:jc w:val="left"/>
            </w:pPr>
            <w:r>
              <w:t xml:space="preserve">0.15</w:t>
            </w:r>
          </w:p>
        </w:tc>
        <w:tc>
          <w:tcPr/>
          <w:p>
            <w:pPr>
              <w:pStyle w:val="Compact"/>
              <w:jc w:val="left"/>
            </w:pPr>
            <w:r>
              <w:t xml:space="preserve">0.23</w:t>
            </w:r>
          </w:p>
        </w:tc>
        <w:tc>
          <w:tcPr/>
          <w:p>
            <w:pPr>
              <w:pStyle w:val="Compact"/>
              <w:jc w:val="left"/>
            </w:pPr>
            <w:r>
              <w:t xml:space="preserve">0.66</w:t>
            </w:r>
          </w:p>
        </w:tc>
      </w:tr>
      <w:tr>
        <w:tc>
          <w:tcPr/>
          <w:p>
            <w:pPr>
              <w:pStyle w:val="Compact"/>
              <w:jc w:val="left"/>
            </w:pPr>
            <w:r>
              <w:t xml:space="preserve">Joint</w:t>
            </w:r>
          </w:p>
        </w:tc>
        <w:tc>
          <w:tcPr/>
          <w:p>
            <w:pPr>
              <w:pStyle w:val="Compact"/>
              <w:jc w:val="left"/>
            </w:pPr>
            <w:r>
              <w:t xml:space="preserve">W × remoteness</w:t>
            </w:r>
          </w:p>
        </w:tc>
        <w:tc>
          <w:tcPr/>
          <w:p>
            <w:pPr>
              <w:pStyle w:val="Compact"/>
              <w:jc w:val="left"/>
            </w:pPr>
            <w:r>
              <w:t xml:space="preserve">0.19*</w:t>
            </w:r>
          </w:p>
        </w:tc>
        <w:tc>
          <w:tcPr/>
          <w:p>
            <w:pPr>
              <w:pStyle w:val="Compact"/>
              <w:jc w:val="left"/>
            </w:pPr>
            <w:r>
              <w:t xml:space="preserve">0.11</w:t>
            </w:r>
          </w:p>
        </w:tc>
        <w:tc>
          <w:tcPr/>
          <w:p>
            <w:pPr>
              <w:pStyle w:val="Compact"/>
              <w:jc w:val="left"/>
            </w:pPr>
            <w:r>
              <w:t xml:space="preserve">0.30</w:t>
            </w:r>
          </w:p>
        </w:tc>
      </w:tr>
    </w:tbl>
    <w:p>
      <w:pPr>
        <w:pStyle w:val="BodyText"/>
      </w:pPr>
      <w:r>
        <w:rPr>
          <w:iCs/>
          <w:i/>
        </w:rPr>
        <w:t xml:space="preserve">Notes:</w:t>
      </w:r>
      <w:r>
        <w:t xml:space="preserve"> </w:t>
      </w:r>
      <w:r>
        <w:t xml:space="preserve">Main specification at h = 6 with W interacted with standardized moderators. MDE = 2.8 × SE (80% power, 5% two-sided test).</w:t>
      </w:r>
    </w:p>
    <w:p>
      <w:pPr>
        <w:pStyle w:val="BodyText"/>
      </w:pPr>
      <w:r>
        <w:t xml:space="preserve">The local weather effect does not depend on world-market conditions either (H4). When the world price sits above its 24-month average, the interaction at six months is 0.32 pp (SE 0.33, MDE 0.94 pp). The interaction with the concurrent world price change is −0.04 pp per standard deviation of ΔG (MDE 0.31 pp). A world price spike therefore does not double the local weather effect. This matches, from the other direction, the null we found when testing whether local drought amplifies world price pass-through.</w:t>
      </w:r>
    </w:p>
    <w:bookmarkEnd w:id="33"/>
    <w:bookmarkStart w:id="34" w:name="exposure-of-national-diets"/>
    <w:p>
      <w:pPr>
        <w:pStyle w:val="Heading2"/>
      </w:pPr>
      <w:r>
        <w:t xml:space="preserve">5.5 Exposure of national diets</w:t>
      </w:r>
    </w:p>
    <w:p>
      <w:pPr>
        <w:pStyle w:val="FirstParagraph"/>
      </w:pPr>
      <w:r>
        <w:t xml:space="preserve">Weighting the product-specific effects at six months by each country’s staple calorie shares gives the price rise of a typical staple basket after a one-standard-deviation local drought. It is 0.79 percent in the median country (interquartile range 0.52 to 1.19) and highest in DR Congo (1.73), Uganda (1.58), Niger (1.57), Malawi (1.56), Zambia (1.55) and Ghana (1.55). These countries draw 80 to 93 percent of staple calories from maize, sorghum and millet, and roots and tubers. Because the measure is built from those shares, its correlation with them (0.996) holds by construction; it shows where the estimated effects land and is not separate evidence.</w:t>
      </w:r>
    </w:p>
    <w:bookmarkEnd w:id="34"/>
    <w:bookmarkEnd w:id="35"/>
    <w:bookmarkStart w:id="36" w:name="robustness"/>
    <w:p>
      <w:pPr>
        <w:pStyle w:val="Heading1"/>
      </w:pPr>
      <w:r>
        <w:t xml:space="preserve">6. Robustness</w:t>
      </w:r>
    </w:p>
    <w:p>
      <w:pPr>
        <w:pStyle w:val="FirstParagraph"/>
      </w:pPr>
      <w:r>
        <w:t xml:space="preserve">Table 7 reports the six-month effect under alternative choices, grouped by the threat each one addresses. All were added after the main estimates and are labelled exploratory.</w:t>
      </w:r>
    </w:p>
    <w:p>
      <w:pPr>
        <w:pStyle w:val="BodyText"/>
      </w:pPr>
      <w:r>
        <w:rPr>
          <w:bCs/>
          <w:b/>
        </w:rPr>
        <w:t xml:space="preserve">Table 7. Robustness of the six-month effect</w:t>
      </w:r>
    </w:p>
    <w:tbl>
      <w:tblPr>
        <w:tblStyle w:val="Table"/>
        <w:tblW w:type="pct" w:w="5000"/>
        <w:tblLook w:firstRow="1" w:lastRow="0" w:firstColumn="0" w:lastColumn="0" w:noHBand="0" w:noVBand="0" w:val="0020"/>
        <w:jc w:val="start"/>
      </w:tblPr>
      <w:tblGrid>
        <w:gridCol w:w="2135"/>
        <w:gridCol w:w="1156"/>
        <w:gridCol w:w="1156"/>
        <w:gridCol w:w="1156"/>
        <w:gridCol w:w="1156"/>
        <w:gridCol w:w="1156"/>
      </w:tblGrid>
      <w:tr>
        <w:trPr>
          <w:tblHeader w:val="true"/>
        </w:trPr>
        <w:tc>
          <w:tcPr/>
          <w:p>
            <w:pPr>
              <w:pStyle w:val="Compact"/>
              <w:jc w:val="left"/>
            </w:pPr>
            <w:r>
              <w:t xml:space="preserve">Threat</w:t>
            </w:r>
          </w:p>
        </w:tc>
        <w:tc>
          <w:tcPr/>
          <w:p>
            <w:pPr>
              <w:pStyle w:val="Compact"/>
              <w:jc w:val="left"/>
            </w:pPr>
            <w:r>
              <w:t xml:space="preserve">Variant</w:t>
            </w:r>
          </w:p>
        </w:tc>
        <w:tc>
          <w:tcPr/>
          <w:p>
            <w:pPr>
              <w:pStyle w:val="Compact"/>
              <w:jc w:val="left"/>
            </w:pPr>
            <w:r>
              <w:t xml:space="preserve">δ₆ (%)</w:t>
            </w:r>
          </w:p>
        </w:tc>
        <w:tc>
          <w:tcPr/>
          <w:p>
            <w:pPr>
              <w:pStyle w:val="Compact"/>
              <w:jc w:val="left"/>
            </w:pPr>
            <w:r>
              <w:t xml:space="preserve">SE</w:t>
            </w:r>
          </w:p>
        </w:tc>
        <w:tc>
          <w:tcPr/>
          <w:p>
            <w:pPr>
              <w:pStyle w:val="Compact"/>
              <w:jc w:val="left"/>
            </w:pPr>
            <w:r>
              <w:t xml:space="preserve">t</w:t>
            </w:r>
          </w:p>
        </w:tc>
        <w:tc>
          <w:tcPr/>
          <w:p>
            <w:pPr>
              <w:pStyle w:val="Compact"/>
              <w:jc w:val="left"/>
            </w:pPr>
            <w:r>
              <w:t xml:space="preserve">N</w:t>
            </w:r>
          </w:p>
        </w:tc>
      </w:tr>
      <w:tr>
        <w:tc>
          <w:tcPr/>
          <w:p>
            <w:pPr>
              <w:pStyle w:val="Compact"/>
              <w:jc w:val="left"/>
            </w:pPr>
            <w:r>
              <w:t xml:space="preserve">Baseline</w:t>
            </w:r>
          </w:p>
        </w:tc>
        <w:tc>
          <w:tcPr/>
          <w:p>
            <w:pPr>
              <w:pStyle w:val="Compact"/>
              <w:jc w:val="left"/>
            </w:pPr>
            <w:r>
              <w:t xml:space="preserve">Table 2, h = 6</w:t>
            </w:r>
          </w:p>
        </w:tc>
        <w:tc>
          <w:tcPr/>
          <w:p>
            <w:pPr>
              <w:pStyle w:val="Compact"/>
              <w:jc w:val="left"/>
            </w:pPr>
            <w:r>
              <w:t xml:space="preserve">0.99***</w:t>
            </w:r>
          </w:p>
        </w:tc>
        <w:tc>
          <w:tcPr/>
          <w:p>
            <w:pPr>
              <w:pStyle w:val="Compact"/>
              <w:jc w:val="left"/>
            </w:pPr>
            <w:r>
              <w:t xml:space="preserve">0.27</w:t>
            </w:r>
          </w:p>
        </w:tc>
        <w:tc>
          <w:tcPr/>
          <w:p>
            <w:pPr>
              <w:pStyle w:val="Compact"/>
              <w:jc w:val="left"/>
            </w:pPr>
            <w:r>
              <w:t xml:space="preserve">3.63</w:t>
            </w:r>
          </w:p>
        </w:tc>
        <w:tc>
          <w:tcPr/>
          <w:p>
            <w:pPr>
              <w:pStyle w:val="Compact"/>
              <w:jc w:val="left"/>
            </w:pPr>
            <w:r>
              <w:t xml:space="preserve">757,136</w:t>
            </w:r>
          </w:p>
        </w:tc>
      </w:tr>
      <w:tr>
        <w:tc>
          <w:tcPr/>
          <w:p>
            <w:pPr>
              <w:pStyle w:val="Compact"/>
              <w:jc w:val="left"/>
            </w:pPr>
            <w:r>
              <w:t xml:space="preserve">Sample</w:t>
            </w:r>
          </w:p>
        </w:tc>
        <w:tc>
          <w:tcPr/>
          <w:p>
            <w:pPr>
              <w:pStyle w:val="Compact"/>
              <w:jc w:val="left"/>
            </w:pPr>
            <w:r>
              <w:t xml:space="preserve">Drop 10 crisis/hyperinflation economies</w:t>
            </w:r>
          </w:p>
        </w:tc>
        <w:tc>
          <w:tcPr/>
          <w:p>
            <w:pPr>
              <w:pStyle w:val="Compact"/>
              <w:jc w:val="left"/>
            </w:pPr>
            <w:r>
              <w:t xml:space="preserve">1.03***</w:t>
            </w:r>
          </w:p>
        </w:tc>
        <w:tc>
          <w:tcPr/>
          <w:p>
            <w:pPr>
              <w:pStyle w:val="Compact"/>
              <w:jc w:val="left"/>
            </w:pPr>
            <w:r>
              <w:t xml:space="preserve">0.30</w:t>
            </w:r>
          </w:p>
        </w:tc>
        <w:tc>
          <w:tcPr/>
          <w:p>
            <w:pPr>
              <w:pStyle w:val="Compact"/>
              <w:jc w:val="left"/>
            </w:pPr>
            <w:r>
              <w:t xml:space="preserve">3.47</w:t>
            </w:r>
          </w:p>
        </w:tc>
        <w:tc>
          <w:tcPr/>
          <w:p>
            <w:pPr>
              <w:pStyle w:val="Compact"/>
              <w:jc w:val="left"/>
            </w:pPr>
            <w:r>
              <w:t xml:space="preserve">680,367</w:t>
            </w:r>
          </w:p>
        </w:tc>
      </w:tr>
      <w:tr>
        <w:tc>
          <w:tcPr/>
          <w:p>
            <w:pPr>
              <w:pStyle w:val="Compact"/>
              <w:jc w:val="left"/>
            </w:pPr>
            <w:r>
              <w:t xml:space="preserve">Sample</w:t>
            </w:r>
          </w:p>
        </w:tc>
        <w:tc>
          <w:tcPr/>
          <w:p>
            <w:pPr>
              <w:pStyle w:val="Compact"/>
              <w:jc w:val="left"/>
            </w:pPr>
            <w:r>
              <w:t xml:space="preserve">Sample ends December 2019</w:t>
            </w:r>
          </w:p>
        </w:tc>
        <w:tc>
          <w:tcPr/>
          <w:p>
            <w:pPr>
              <w:pStyle w:val="Compact"/>
              <w:jc w:val="left"/>
            </w:pPr>
            <w:r>
              <w:t xml:space="preserve">1.08**</w:t>
            </w:r>
          </w:p>
        </w:tc>
        <w:tc>
          <w:tcPr/>
          <w:p>
            <w:pPr>
              <w:pStyle w:val="Compact"/>
              <w:jc w:val="left"/>
            </w:pPr>
            <w:r>
              <w:t xml:space="preserve">0.46</w:t>
            </w:r>
          </w:p>
        </w:tc>
        <w:tc>
          <w:tcPr/>
          <w:p>
            <w:pPr>
              <w:pStyle w:val="Compact"/>
              <w:jc w:val="left"/>
            </w:pPr>
            <w:r>
              <w:t xml:space="preserve">2.37</w:t>
            </w:r>
          </w:p>
        </w:tc>
        <w:tc>
          <w:tcPr/>
          <w:p>
            <w:pPr>
              <w:pStyle w:val="Compact"/>
              <w:jc w:val="left"/>
            </w:pPr>
            <w:r>
              <w:t xml:space="preserve">338,165</w:t>
            </w:r>
          </w:p>
        </w:tc>
      </w:tr>
      <w:tr>
        <w:tc>
          <w:tcPr/>
          <w:p>
            <w:pPr>
              <w:pStyle w:val="Compact"/>
              <w:jc w:val="left"/>
            </w:pPr>
            <w:r>
              <w:t xml:space="preserve">Sample</w:t>
            </w:r>
          </w:p>
        </w:tc>
        <w:tc>
          <w:tcPr/>
          <w:p>
            <w:pPr>
              <w:pStyle w:val="Compact"/>
              <w:jc w:val="left"/>
            </w:pPr>
            <w:r>
              <w:t xml:space="preserve">Cereals only</w:t>
            </w:r>
          </w:p>
        </w:tc>
        <w:tc>
          <w:tcPr/>
          <w:p>
            <w:pPr>
              <w:pStyle w:val="Compact"/>
              <w:jc w:val="left"/>
            </w:pPr>
            <w:r>
              <w:t xml:space="preserve">0.96***</w:t>
            </w:r>
          </w:p>
        </w:tc>
        <w:tc>
          <w:tcPr/>
          <w:p>
            <w:pPr>
              <w:pStyle w:val="Compact"/>
              <w:jc w:val="left"/>
            </w:pPr>
            <w:r>
              <w:t xml:space="preserve">0.27</w:t>
            </w:r>
          </w:p>
        </w:tc>
        <w:tc>
          <w:tcPr/>
          <w:p>
            <w:pPr>
              <w:pStyle w:val="Compact"/>
              <w:jc w:val="left"/>
            </w:pPr>
            <w:r>
              <w:t xml:space="preserve">3.52</w:t>
            </w:r>
          </w:p>
        </w:tc>
        <w:tc>
          <w:tcPr/>
          <w:p>
            <w:pPr>
              <w:pStyle w:val="Compact"/>
              <w:jc w:val="left"/>
            </w:pPr>
            <w:r>
              <w:t xml:space="preserve">674,710</w:t>
            </w:r>
          </w:p>
        </w:tc>
      </w:tr>
      <w:tr>
        <w:tc>
          <w:tcPr/>
          <w:p>
            <w:pPr>
              <w:pStyle w:val="Compact"/>
              <w:jc w:val="left"/>
            </w:pPr>
            <w:r>
              <w:t xml:space="preserve">Sample</w:t>
            </w:r>
          </w:p>
        </w:tc>
        <w:tc>
          <w:tcPr/>
          <w:p>
            <w:pPr>
              <w:pStyle w:val="Compact"/>
              <w:jc w:val="left"/>
            </w:pPr>
            <w:r>
              <w:t xml:space="preserve">Series monitored before 2010</w:t>
            </w:r>
          </w:p>
        </w:tc>
        <w:tc>
          <w:tcPr/>
          <w:p>
            <w:pPr>
              <w:pStyle w:val="Compact"/>
              <w:jc w:val="left"/>
            </w:pPr>
            <w:r>
              <w:t xml:space="preserve">1.66***</w:t>
            </w:r>
          </w:p>
        </w:tc>
        <w:tc>
          <w:tcPr/>
          <w:p>
            <w:pPr>
              <w:pStyle w:val="Compact"/>
              <w:jc w:val="left"/>
            </w:pPr>
            <w:r>
              <w:t xml:space="preserve">0.43</w:t>
            </w:r>
          </w:p>
        </w:tc>
        <w:tc>
          <w:tcPr/>
          <w:p>
            <w:pPr>
              <w:pStyle w:val="Compact"/>
              <w:jc w:val="left"/>
            </w:pPr>
            <w:r>
              <w:t xml:space="preserve">3.83</w:t>
            </w:r>
          </w:p>
        </w:tc>
        <w:tc>
          <w:tcPr/>
          <w:p>
            <w:pPr>
              <w:pStyle w:val="Compact"/>
              <w:jc w:val="left"/>
            </w:pPr>
            <w:r>
              <w:t xml:space="preserve">240,582</w:t>
            </w:r>
          </w:p>
        </w:tc>
      </w:tr>
      <w:tr>
        <w:tc>
          <w:tcPr/>
          <w:p>
            <w:pPr>
              <w:pStyle w:val="Compact"/>
              <w:jc w:val="left"/>
            </w:pPr>
            <w:r>
              <w:t xml:space="preserve">Measurement</w:t>
            </w:r>
          </w:p>
        </w:tc>
        <w:tc>
          <w:tcPr/>
          <w:p>
            <w:pPr>
              <w:pStyle w:val="Compact"/>
              <w:jc w:val="left"/>
            </w:pPr>
            <w:r>
              <w:t xml:space="preserve">W aggregated over 1 month</w:t>
            </w:r>
          </w:p>
        </w:tc>
        <w:tc>
          <w:tcPr/>
          <w:p>
            <w:pPr>
              <w:pStyle w:val="Compact"/>
              <w:jc w:val="left"/>
            </w:pPr>
            <w:r>
              <w:t xml:space="preserve">0.56***</w:t>
            </w:r>
          </w:p>
        </w:tc>
        <w:tc>
          <w:tcPr/>
          <w:p>
            <w:pPr>
              <w:pStyle w:val="Compact"/>
              <w:jc w:val="left"/>
            </w:pPr>
            <w:r>
              <w:t xml:space="preserve">0.16</w:t>
            </w:r>
          </w:p>
        </w:tc>
        <w:tc>
          <w:tcPr/>
          <w:p>
            <w:pPr>
              <w:pStyle w:val="Compact"/>
              <w:jc w:val="left"/>
            </w:pPr>
            <w:r>
              <w:t xml:space="preserve">3.40</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W aggregated over 2 months</w:t>
            </w:r>
          </w:p>
        </w:tc>
        <w:tc>
          <w:tcPr/>
          <w:p>
            <w:pPr>
              <w:pStyle w:val="Compact"/>
              <w:jc w:val="left"/>
            </w:pPr>
            <w:r>
              <w:t xml:space="preserve">0.81***</w:t>
            </w:r>
          </w:p>
        </w:tc>
        <w:tc>
          <w:tcPr/>
          <w:p>
            <w:pPr>
              <w:pStyle w:val="Compact"/>
              <w:jc w:val="left"/>
            </w:pPr>
            <w:r>
              <w:t xml:space="preserve">0.23</w:t>
            </w:r>
          </w:p>
        </w:tc>
        <w:tc>
          <w:tcPr/>
          <w:p>
            <w:pPr>
              <w:pStyle w:val="Compact"/>
              <w:jc w:val="left"/>
            </w:pPr>
            <w:r>
              <w:t xml:space="preserve">3.53</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W aggregated over 6 months</w:t>
            </w:r>
          </w:p>
        </w:tc>
        <w:tc>
          <w:tcPr/>
          <w:p>
            <w:pPr>
              <w:pStyle w:val="Compact"/>
              <w:jc w:val="left"/>
            </w:pPr>
            <w:r>
              <w:t xml:space="preserve">1.40***</w:t>
            </w:r>
          </w:p>
        </w:tc>
        <w:tc>
          <w:tcPr/>
          <w:p>
            <w:pPr>
              <w:pStyle w:val="Compact"/>
              <w:jc w:val="left"/>
            </w:pPr>
            <w:r>
              <w:t xml:space="preserve">0.33</w:t>
            </w:r>
          </w:p>
        </w:tc>
        <w:tc>
          <w:tcPr/>
          <w:p>
            <w:pPr>
              <w:pStyle w:val="Compact"/>
              <w:jc w:val="left"/>
            </w:pPr>
            <w:r>
              <w:t xml:space="preserve">4.24</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z-scores capped at ±3</w:t>
            </w:r>
          </w:p>
        </w:tc>
        <w:tc>
          <w:tcPr/>
          <w:p>
            <w:pPr>
              <w:pStyle w:val="Compact"/>
              <w:jc w:val="left"/>
            </w:pPr>
            <w:r>
              <w:t xml:space="preserve">1.02***</w:t>
            </w:r>
          </w:p>
        </w:tc>
        <w:tc>
          <w:tcPr/>
          <w:p>
            <w:pPr>
              <w:pStyle w:val="Compact"/>
              <w:jc w:val="left"/>
            </w:pPr>
            <w:r>
              <w:t xml:space="preserve">0.28</w:t>
            </w:r>
          </w:p>
        </w:tc>
        <w:tc>
          <w:tcPr/>
          <w:p>
            <w:pPr>
              <w:pStyle w:val="Compact"/>
              <w:jc w:val="left"/>
            </w:pPr>
            <w:r>
              <w:t xml:space="preserve">3.71</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z-scores capped at ±5</w:t>
            </w:r>
          </w:p>
        </w:tc>
        <w:tc>
          <w:tcPr/>
          <w:p>
            <w:pPr>
              <w:pStyle w:val="Compact"/>
              <w:jc w:val="left"/>
            </w:pPr>
            <w:r>
              <w:t xml:space="preserve">0.98***</w:t>
            </w:r>
          </w:p>
        </w:tc>
        <w:tc>
          <w:tcPr/>
          <w:p>
            <w:pPr>
              <w:pStyle w:val="Compact"/>
              <w:jc w:val="left"/>
            </w:pPr>
            <w:r>
              <w:t xml:space="preserve">0.27</w:t>
            </w:r>
          </w:p>
        </w:tc>
        <w:tc>
          <w:tcPr/>
          <w:p>
            <w:pPr>
              <w:pStyle w:val="Compact"/>
              <w:jc w:val="left"/>
            </w:pPr>
            <w:r>
              <w:t xml:space="preserve">3.59</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No cap on z-scores</w:t>
            </w:r>
          </w:p>
        </w:tc>
        <w:tc>
          <w:tcPr/>
          <w:p>
            <w:pPr>
              <w:pStyle w:val="Compact"/>
              <w:jc w:val="left"/>
            </w:pPr>
            <w:r>
              <w:t xml:space="preserve">0.94***</w:t>
            </w:r>
          </w:p>
        </w:tc>
        <w:tc>
          <w:tcPr/>
          <w:p>
            <w:pPr>
              <w:pStyle w:val="Compact"/>
              <w:jc w:val="left"/>
            </w:pPr>
            <w:r>
              <w:t xml:space="preserve">0.27</w:t>
            </w:r>
          </w:p>
        </w:tc>
        <w:tc>
          <w:tcPr/>
          <w:p>
            <w:pPr>
              <w:pStyle w:val="Compact"/>
              <w:jc w:val="left"/>
            </w:pPr>
            <w:r>
              <w:t xml:space="preserve">3.52</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Market-specific detrending of W</w:t>
            </w:r>
          </w:p>
        </w:tc>
        <w:tc>
          <w:tcPr/>
          <w:p>
            <w:pPr>
              <w:pStyle w:val="Compact"/>
              <w:jc w:val="left"/>
            </w:pPr>
            <w:r>
              <w:t xml:space="preserve">0.96***</w:t>
            </w:r>
          </w:p>
        </w:tc>
        <w:tc>
          <w:tcPr/>
          <w:p>
            <w:pPr>
              <w:pStyle w:val="Compact"/>
              <w:jc w:val="left"/>
            </w:pPr>
            <w:r>
              <w:t xml:space="preserve">0.26</w:t>
            </w:r>
          </w:p>
        </w:tc>
        <w:tc>
          <w:tcPr/>
          <w:p>
            <w:pPr>
              <w:pStyle w:val="Compact"/>
              <w:jc w:val="left"/>
            </w:pPr>
            <w:r>
              <w:t xml:space="preserve">3.63</w:t>
            </w:r>
          </w:p>
        </w:tc>
        <w:tc>
          <w:tcPr/>
          <w:p>
            <w:pPr>
              <w:pStyle w:val="Compact"/>
              <w:jc w:val="left"/>
            </w:pPr>
            <w:r>
              <w:t xml:space="preserve">757,136</w:t>
            </w:r>
          </w:p>
        </w:tc>
      </w:tr>
      <w:tr>
        <w:tc>
          <w:tcPr/>
          <w:p>
            <w:pPr>
              <w:pStyle w:val="Compact"/>
              <w:jc w:val="left"/>
            </w:pPr>
            <w:r>
              <w:t xml:space="preserve">Measurement</w:t>
            </w:r>
          </w:p>
        </w:tc>
        <w:tc>
          <w:tcPr/>
          <w:p>
            <w:pPr>
              <w:pStyle w:val="Compact"/>
              <w:jc w:val="left"/>
            </w:pPr>
            <w:r>
              <w:t xml:space="preserve">Prices in US dollars</w:t>
            </w:r>
          </w:p>
        </w:tc>
        <w:tc>
          <w:tcPr/>
          <w:p>
            <w:pPr>
              <w:pStyle w:val="Compact"/>
              <w:jc w:val="left"/>
            </w:pPr>
            <w:r>
              <w:t xml:space="preserve">0.76***</w:t>
            </w:r>
          </w:p>
        </w:tc>
        <w:tc>
          <w:tcPr/>
          <w:p>
            <w:pPr>
              <w:pStyle w:val="Compact"/>
              <w:jc w:val="left"/>
            </w:pPr>
            <w:r>
              <w:t xml:space="preserve">0.29</w:t>
            </w:r>
          </w:p>
        </w:tc>
        <w:tc>
          <w:tcPr/>
          <w:p>
            <w:pPr>
              <w:pStyle w:val="Compact"/>
              <w:jc w:val="left"/>
            </w:pPr>
            <w:r>
              <w:t xml:space="preserve">2.64</w:t>
            </w:r>
          </w:p>
        </w:tc>
        <w:tc>
          <w:tcPr/>
          <w:p>
            <w:pPr>
              <w:pStyle w:val="Compact"/>
              <w:jc w:val="left"/>
            </w:pPr>
            <w:r>
              <w:t xml:space="preserve">783,868</w:t>
            </w:r>
          </w:p>
        </w:tc>
      </w:tr>
      <w:tr>
        <w:tc>
          <w:tcPr/>
          <w:p>
            <w:pPr>
              <w:pStyle w:val="Compact"/>
              <w:jc w:val="left"/>
            </w:pPr>
            <w:r>
              <w:t xml:space="preserve">Measurement</w:t>
            </w:r>
          </w:p>
        </w:tc>
        <w:tc>
          <w:tcPr/>
          <w:p>
            <w:pPr>
              <w:pStyle w:val="Compact"/>
              <w:jc w:val="left"/>
            </w:pPr>
            <w:r>
              <w:t xml:space="preserve">Monthly innovation of W instead of level</w:t>
            </w:r>
          </w:p>
        </w:tc>
        <w:tc>
          <w:tcPr/>
          <w:p>
            <w:pPr>
              <w:pStyle w:val="Compact"/>
              <w:jc w:val="left"/>
            </w:pPr>
            <w:r>
              <w:t xml:space="preserve">0.13</w:t>
            </w:r>
          </w:p>
        </w:tc>
        <w:tc>
          <w:tcPr/>
          <w:p>
            <w:pPr>
              <w:pStyle w:val="Compact"/>
              <w:jc w:val="left"/>
            </w:pPr>
            <w:r>
              <w:t xml:space="preserve">0.12</w:t>
            </w:r>
          </w:p>
        </w:tc>
        <w:tc>
          <w:tcPr/>
          <w:p>
            <w:pPr>
              <w:pStyle w:val="Compact"/>
              <w:jc w:val="left"/>
            </w:pPr>
            <w:r>
              <w:t xml:space="preserve">1.05</w:t>
            </w:r>
          </w:p>
        </w:tc>
        <w:tc>
          <w:tcPr/>
          <w:p>
            <w:pPr>
              <w:pStyle w:val="Compact"/>
              <w:jc w:val="left"/>
            </w:pPr>
            <w:r>
              <w:t xml:space="preserve">757,136</w:t>
            </w:r>
          </w:p>
        </w:tc>
      </w:tr>
      <w:tr>
        <w:tc>
          <w:tcPr/>
          <w:p>
            <w:pPr>
              <w:pStyle w:val="Compact"/>
              <w:jc w:val="left"/>
            </w:pPr>
            <w:r>
              <w:t xml:space="preserve">Specification</w:t>
            </w:r>
          </w:p>
        </w:tc>
        <w:tc>
          <w:tcPr/>
          <w:p>
            <w:pPr>
              <w:pStyle w:val="Compact"/>
              <w:jc w:val="left"/>
            </w:pPr>
            <w:r>
              <w:t xml:space="preserve">Outcome winsorized at 0.01 and 0.99</w:t>
            </w:r>
          </w:p>
        </w:tc>
        <w:tc>
          <w:tcPr/>
          <w:p>
            <w:pPr>
              <w:pStyle w:val="Compact"/>
              <w:jc w:val="left"/>
            </w:pPr>
            <w:r>
              <w:t xml:space="preserve">0.93***</w:t>
            </w:r>
          </w:p>
        </w:tc>
        <w:tc>
          <w:tcPr/>
          <w:p>
            <w:pPr>
              <w:pStyle w:val="Compact"/>
              <w:jc w:val="left"/>
            </w:pPr>
            <w:r>
              <w:t xml:space="preserve">0.27</w:t>
            </w:r>
          </w:p>
        </w:tc>
        <w:tc>
          <w:tcPr/>
          <w:p>
            <w:pPr>
              <w:pStyle w:val="Compact"/>
              <w:jc w:val="left"/>
            </w:pPr>
            <w:r>
              <w:t xml:space="preserve">3.47</w:t>
            </w:r>
          </w:p>
        </w:tc>
        <w:tc>
          <w:tcPr/>
          <w:p>
            <w:pPr>
              <w:pStyle w:val="Compact"/>
              <w:jc w:val="left"/>
            </w:pPr>
            <w:r>
              <w:t xml:space="preserve">757,136</w:t>
            </w:r>
          </w:p>
        </w:tc>
      </w:tr>
      <w:tr>
        <w:tc>
          <w:tcPr/>
          <w:p>
            <w:pPr>
              <w:pStyle w:val="Compact"/>
              <w:jc w:val="left"/>
            </w:pPr>
            <w:r>
              <w:t xml:space="preserve">Specification</w:t>
            </w:r>
          </w:p>
        </w:tc>
        <w:tc>
          <w:tcPr/>
          <w:p>
            <w:pPr>
              <w:pStyle w:val="Compact"/>
              <w:jc w:val="left"/>
            </w:pPr>
            <w:r>
              <w:t xml:space="preserve">Outcome winsorized at 0.005 and 0.995</w:t>
            </w:r>
          </w:p>
        </w:tc>
        <w:tc>
          <w:tcPr/>
          <w:p>
            <w:pPr>
              <w:pStyle w:val="Compact"/>
              <w:jc w:val="left"/>
            </w:pPr>
            <w:r>
              <w:t xml:space="preserve">0.96***</w:t>
            </w:r>
          </w:p>
        </w:tc>
        <w:tc>
          <w:tcPr/>
          <w:p>
            <w:pPr>
              <w:pStyle w:val="Compact"/>
              <w:jc w:val="left"/>
            </w:pPr>
            <w:r>
              <w:t xml:space="preserve">0.27</w:t>
            </w:r>
          </w:p>
        </w:tc>
        <w:tc>
          <w:tcPr/>
          <w:p>
            <w:pPr>
              <w:pStyle w:val="Compact"/>
              <w:jc w:val="left"/>
            </w:pPr>
            <w:r>
              <w:t xml:space="preserve">3.54</w:t>
            </w:r>
          </w:p>
        </w:tc>
        <w:tc>
          <w:tcPr/>
          <w:p>
            <w:pPr>
              <w:pStyle w:val="Compact"/>
              <w:jc w:val="left"/>
            </w:pPr>
            <w:r>
              <w:t xml:space="preserve">757,136</w:t>
            </w:r>
          </w:p>
        </w:tc>
      </w:tr>
      <w:tr>
        <w:tc>
          <w:tcPr/>
          <w:p>
            <w:pPr>
              <w:pStyle w:val="Compact"/>
              <w:jc w:val="left"/>
            </w:pPr>
            <w:r>
              <w:t xml:space="preserve">Inference</w:t>
            </w:r>
          </w:p>
        </w:tc>
        <w:tc>
          <w:tcPr/>
          <w:p>
            <w:pPr>
              <w:pStyle w:val="Compact"/>
              <w:jc w:val="left"/>
            </w:pPr>
            <w:r>
              <w:t xml:space="preserve">Clustered by country only</w:t>
            </w:r>
          </w:p>
        </w:tc>
        <w:tc>
          <w:tcPr/>
          <w:p>
            <w:pPr>
              <w:pStyle w:val="Compact"/>
              <w:jc w:val="left"/>
            </w:pPr>
            <w:r>
              <w:t xml:space="preserve">0.99***</w:t>
            </w:r>
          </w:p>
        </w:tc>
        <w:tc>
          <w:tcPr/>
          <w:p>
            <w:pPr>
              <w:pStyle w:val="Compact"/>
              <w:jc w:val="left"/>
            </w:pPr>
            <w:r>
              <w:t xml:space="preserve">0.25</w:t>
            </w:r>
          </w:p>
        </w:tc>
        <w:tc>
          <w:tcPr/>
          <w:p>
            <w:pPr>
              <w:pStyle w:val="Compact"/>
              <w:jc w:val="left"/>
            </w:pPr>
            <w:r>
              <w:t xml:space="preserve">3.95</w:t>
            </w:r>
          </w:p>
        </w:tc>
        <w:tc>
          <w:tcPr/>
          <w:p>
            <w:pPr>
              <w:pStyle w:val="Compact"/>
              <w:jc w:val="left"/>
            </w:pPr>
            <w:r>
              <w:t xml:space="preserve">757,136</w:t>
            </w:r>
          </w:p>
        </w:tc>
      </w:tr>
      <w:tr>
        <w:tc>
          <w:tcPr/>
          <w:p>
            <w:pPr>
              <w:pStyle w:val="Compact"/>
              <w:jc w:val="left"/>
            </w:pPr>
            <w:r>
              <w:t xml:space="preserve">Inference</w:t>
            </w:r>
          </w:p>
        </w:tc>
        <w:tc>
          <w:tcPr/>
          <w:p>
            <w:pPr>
              <w:pStyle w:val="Compact"/>
              <w:jc w:val="left"/>
            </w:pPr>
            <w:r>
              <w:t xml:space="preserve">Clustered by 2° cell × month</w:t>
            </w:r>
          </w:p>
        </w:tc>
        <w:tc>
          <w:tcPr/>
          <w:p>
            <w:pPr>
              <w:pStyle w:val="Compact"/>
              <w:jc w:val="left"/>
            </w:pPr>
            <w:r>
              <w:t xml:space="preserve">0.99***</w:t>
            </w:r>
          </w:p>
        </w:tc>
        <w:tc>
          <w:tcPr/>
          <w:p>
            <w:pPr>
              <w:pStyle w:val="Compact"/>
              <w:jc w:val="left"/>
            </w:pPr>
            <w:r>
              <w:t xml:space="preserve">0.22</w:t>
            </w:r>
          </w:p>
        </w:tc>
        <w:tc>
          <w:tcPr/>
          <w:p>
            <w:pPr>
              <w:pStyle w:val="Compact"/>
              <w:jc w:val="left"/>
            </w:pPr>
            <w:r>
              <w:t xml:space="preserve">4.48</w:t>
            </w:r>
          </w:p>
        </w:tc>
        <w:tc>
          <w:tcPr/>
          <w:p>
            <w:pPr>
              <w:pStyle w:val="Compact"/>
              <w:jc w:val="left"/>
            </w:pPr>
            <w:r>
              <w:t xml:space="preserve">757,136</w:t>
            </w:r>
          </w:p>
        </w:tc>
      </w:tr>
      <w:tr>
        <w:tc>
          <w:tcPr/>
          <w:p>
            <w:pPr>
              <w:pStyle w:val="Compact"/>
              <w:jc w:val="left"/>
            </w:pPr>
            <w:r>
              <w:t xml:space="preserve">Inference</w:t>
            </w:r>
          </w:p>
        </w:tc>
        <w:tc>
          <w:tcPr/>
          <w:p>
            <w:pPr>
              <w:pStyle w:val="Compact"/>
              <w:jc w:val="left"/>
            </w:pPr>
            <w:r>
              <w:t xml:space="preserve">Clustered by 5° cell × month</w:t>
            </w:r>
          </w:p>
        </w:tc>
        <w:tc>
          <w:tcPr/>
          <w:p>
            <w:pPr>
              <w:pStyle w:val="Compact"/>
              <w:jc w:val="left"/>
            </w:pPr>
            <w:r>
              <w:t xml:space="preserve">0.99***</w:t>
            </w:r>
          </w:p>
        </w:tc>
        <w:tc>
          <w:tcPr/>
          <w:p>
            <w:pPr>
              <w:pStyle w:val="Compact"/>
              <w:jc w:val="left"/>
            </w:pPr>
            <w:r>
              <w:t xml:space="preserve">0.26</w:t>
            </w:r>
          </w:p>
        </w:tc>
        <w:tc>
          <w:tcPr/>
          <w:p>
            <w:pPr>
              <w:pStyle w:val="Compact"/>
              <w:jc w:val="left"/>
            </w:pPr>
            <w:r>
              <w:t xml:space="preserve">3.76</w:t>
            </w:r>
          </w:p>
        </w:tc>
        <w:tc>
          <w:tcPr/>
          <w:p>
            <w:pPr>
              <w:pStyle w:val="Compact"/>
              <w:jc w:val="left"/>
            </w:pPr>
            <w:r>
              <w:t xml:space="preserve">757,136</w:t>
            </w:r>
          </w:p>
        </w:tc>
      </w:tr>
    </w:tbl>
    <w:p>
      <w:pPr>
        <w:pStyle w:val="BodyText"/>
      </w:pPr>
      <w:r>
        <w:rPr>
          <w:iCs/>
          <w:i/>
        </w:rPr>
        <w:t xml:space="preserve">Notes:</w:t>
      </w:r>
      <w:r>
        <w:t xml:space="preserve"> </w:t>
      </w:r>
      <w:r>
        <w:t xml:space="preserve">Each row changes one element of the baseline in the first row. Standard errors two-way clustered by country and month unless stated.</w:t>
      </w:r>
    </w:p>
    <w:p>
      <w:pPr>
        <w:pStyle w:val="BodyText"/>
      </w:pPr>
      <w:r>
        <w:t xml:space="preserve">Two falsification tests support the causal reading. Weather six months in the future, added to Eq. (2), has no effect on current price changes (−0.05 pp at h = 0, SE 0.07; −0.12 pp at h = 2, SE 0.19). Weather at month</w:t>
      </w:r>
      <w:r>
        <w:t xml:space="preserve"> </w:t>
      </w:r>
      <w:r>
        <w:rPr>
          <w:iCs/>
          <w:i/>
        </w:rPr>
        <w:t xml:space="preserve">t</w:t>
      </w:r>
      <w:r>
        <w:t xml:space="preserve"> </w:t>
      </w:r>
      <w:r>
        <w:t xml:space="preserve">does not predict price changes from t−4 to t−1 (−0.15 pp, SE 0.16). Under the decision rule in the pre-analysis plan, the causal interpretation stands.</w:t>
      </w:r>
    </w:p>
    <w:p>
      <w:pPr>
        <w:pStyle w:val="BodyText"/>
      </w:pPr>
      <w:r>
        <w:t xml:space="preserve">WFP decides which markets to monitor, often in response to crises, so we tested for selection in two ways. First, the month a market enters the panel is unrelated to mean W in the three preceding months (−0.05 pp against a mean monthly entry rate of 0.46 percent, SE 0.03; country × year and market fixed effects). Second, among series already monitored before 2010 the effect is larger, at 1.66 percent (SE 0.43), so the expansion of coverage after 2020 dilutes the estimate rather than producing it. Dropping ten crisis and hyperinflation economies gives 1.03 percent, and ending the sample in 2019 gives 1.08 percent.</w:t>
      </w:r>
    </w:p>
    <w:p>
      <w:pPr>
        <w:pStyle w:val="BodyText"/>
      </w:pPr>
      <w:r>
        <w:t xml:space="preserve">How W is built matters in one predictable way. The estimate rises with the aggregation window, from 0.56 percent for one month to 0.81, 0.99 and 1.40 percent for two, three and six months. Prices respond to accumulated seasonal anomalies, not to monthly weather, which makes our three-month baseline conservative. For the same reason the monthly innovation of the three-month index has no detectable effect (0.13 percent, SE 0.12). Capping z-scores at ±3 or ±5, removing the cap, or detrending W by market leaves the estimate between 0.94 and 1.02 percent. In US dollars the effect is 0.76 percent (SE 0.29); it is slightly smaller because dollar prices also carry exchange-rate noise. Winsorizing the outcome at the 1st and 99th percentiles gives 0.93 percent (SE 0.27).</w:t>
      </w:r>
    </w:p>
    <w:p>
      <w:pPr>
        <w:pStyle w:val="BodyText"/>
      </w:pPr>
      <w:r>
        <w:t xml:space="preserve">Clustering on 2° or 5° grid cells crossed with month raises the t-statistic to 4.48 and 3.76, and clustering by country alone gives 3.95. The baseline two-way clustering by country and month is the most conservative of these.</w:t>
      </w:r>
    </w:p>
    <w:bookmarkEnd w:id="36"/>
    <w:bookmarkStart w:id="41" w:name="discussion"/>
    <w:p>
      <w:pPr>
        <w:pStyle w:val="Heading1"/>
      </w:pPr>
      <w:r>
        <w:t xml:space="preserve">7. Discussion</w:t>
      </w:r>
    </w:p>
    <w:bookmarkStart w:id="37" w:name="relation-to-the-literature"/>
    <w:p>
      <w:pPr>
        <w:pStyle w:val="Heading2"/>
      </w:pPr>
      <w:r>
        <w:t xml:space="preserve">7.1 Relation to the literature</w:t>
      </w:r>
    </w:p>
    <w:p>
      <w:pPr>
        <w:pStyle w:val="FirstParagraph"/>
      </w:pPr>
      <w:r>
        <w:t xml:space="preserve">Table 8 compares our estimates with the closest studies.</w:t>
      </w:r>
    </w:p>
    <w:p>
      <w:pPr>
        <w:pStyle w:val="BodyText"/>
      </w:pPr>
      <w:r>
        <w:rPr>
          <w:bCs/>
          <w:b/>
        </w:rPr>
        <w:t xml:space="preserve">Table 8. Comparison with closest studies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Sample</w:t>
            </w:r>
          </w:p>
        </w:tc>
        <w:tc>
          <w:tcPr/>
          <w:p>
            <w:pPr>
              <w:pStyle w:val="Compact"/>
              <w:jc w:val="left"/>
            </w:pPr>
            <w:r>
              <w:t xml:space="preserve">Shock and method</w:t>
            </w:r>
          </w:p>
        </w:tc>
        <w:tc>
          <w:tcPr/>
          <w:p>
            <w:pPr>
              <w:pStyle w:val="Compact"/>
              <w:jc w:val="left"/>
            </w:pPr>
            <w:r>
              <w:t xml:space="preserve">Estimate</w:t>
            </w:r>
          </w:p>
        </w:tc>
        <w:tc>
          <w:tcPr/>
          <w:p>
            <w:pPr>
              <w:pStyle w:val="Compact"/>
              <w:jc w:val="left"/>
            </w:pPr>
            <w:r>
              <w:t xml:space="preserve">This paper</w:t>
            </w:r>
          </w:p>
        </w:tc>
      </w:tr>
      <w:tr>
        <w:tc>
          <w:tcPr/>
          <w:p>
            <w:pPr>
              <w:pStyle w:val="Compact"/>
              <w:jc w:val="left"/>
            </w:pPr>
            <w:r>
              <w:t xml:space="preserve">Brown and Kshirsagar (2015)</w:t>
            </w:r>
          </w:p>
        </w:tc>
        <w:tc>
          <w:tcPr/>
          <w:p>
            <w:pPr>
              <w:pStyle w:val="Compact"/>
              <w:jc w:val="left"/>
            </w:pPr>
            <w:r>
              <w:t xml:space="preserve">554 markets, 51 countries, 2008–12</w:t>
            </w:r>
          </w:p>
        </w:tc>
        <w:tc>
          <w:tcPr/>
          <w:p>
            <w:pPr>
              <w:pStyle w:val="Compact"/>
              <w:jc w:val="left"/>
            </w:pPr>
            <w:r>
              <w:t xml:space="preserve">Vegetation-based weather and international prices; market-by-market regressions</w:t>
            </w:r>
          </w:p>
        </w:tc>
        <w:tc>
          <w:tcPr/>
          <w:p>
            <w:pPr>
              <w:pStyle w:val="Compact"/>
              <w:jc w:val="left"/>
            </w:pPr>
            <w:r>
              <w:t xml:space="preserve">Weather affects about 20% of markets</w:t>
            </w:r>
          </w:p>
        </w:tc>
        <w:tc>
          <w:tcPr/>
          <w:p>
            <w:pPr>
              <w:pStyle w:val="Compact"/>
              <w:jc w:val="left"/>
            </w:pPr>
            <w:r>
              <w:t xml:space="preserve">Extends: pooled causal estimate over 26 years and 85 countries; tradability gradient</w:t>
            </w:r>
          </w:p>
        </w:tc>
      </w:tr>
      <w:tr>
        <w:tc>
          <w:tcPr/>
          <w:p>
            <w:pPr>
              <w:pStyle w:val="Compact"/>
              <w:jc w:val="left"/>
            </w:pPr>
            <w:r>
              <w:t xml:space="preserve">Okou et al. (2022)</w:t>
            </w:r>
          </w:p>
        </w:tc>
        <w:tc>
          <w:tcPr/>
          <w:p>
            <w:pPr>
              <w:pStyle w:val="Compact"/>
              <w:jc w:val="left"/>
            </w:pPr>
            <w:r>
              <w:t xml:space="preserve">15 SSA countries, 5 staples</w:t>
            </w:r>
          </w:p>
        </w:tc>
        <w:tc>
          <w:tcPr/>
          <w:p>
            <w:pPr>
              <w:pStyle w:val="Compact"/>
              <w:jc w:val="left"/>
            </w:pPr>
            <w:r>
              <w:t xml:space="preserve">Global prices; disaster and war dummies</w:t>
            </w:r>
          </w:p>
        </w:tc>
        <w:tc>
          <w:tcPr/>
          <w:p>
            <w:pPr>
              <w:pStyle w:val="Compact"/>
              <w:jc w:val="left"/>
            </w:pPr>
            <w:r>
              <w:t xml:space="preserve">Pass-through ≈ 1 for imported staples; disasters +1.8%</w:t>
            </w:r>
          </w:p>
        </w:tc>
        <w:tc>
          <w:tcPr/>
          <w:p>
            <w:pPr>
              <w:pStyle w:val="Compact"/>
              <w:jc w:val="left"/>
            </w:pPr>
            <w:r>
              <w:t xml:space="preserve">Mirror image: local staples follow local weather; continuous gridded shocks</w:t>
            </w:r>
          </w:p>
        </w:tc>
      </w:tr>
      <w:tr>
        <w:tc>
          <w:tcPr/>
          <w:p>
            <w:pPr>
              <w:pStyle w:val="Compact"/>
              <w:jc w:val="left"/>
            </w:pPr>
            <w:r>
              <w:t xml:space="preserve">Kotz et al. (2024)</w:t>
            </w:r>
          </w:p>
        </w:tc>
        <w:tc>
          <w:tcPr/>
          <w:p>
            <w:pPr>
              <w:pStyle w:val="Compact"/>
              <w:jc w:val="left"/>
            </w:pPr>
            <w:r>
              <w:t xml:space="preserve">National food CPIs, 121 countries</w:t>
            </w:r>
          </w:p>
        </w:tc>
        <w:tc>
          <w:tcPr/>
          <w:p>
            <w:pPr>
              <w:pStyle w:val="Compact"/>
              <w:jc w:val="left"/>
            </w:pPr>
            <w:r>
              <w:t xml:space="preserve">Monthly temperature, fixed effects</w:t>
            </w:r>
          </w:p>
        </w:tc>
        <w:tc>
          <w:tcPr/>
          <w:p>
            <w:pPr>
              <w:pStyle w:val="Compact"/>
              <w:jc w:val="left"/>
            </w:pPr>
            <w:r>
              <w:t xml:space="preserve">Heat raises food inflation for 12 months</w:t>
            </w:r>
          </w:p>
        </w:tc>
        <w:tc>
          <w:tcPr/>
          <w:p>
            <w:pPr>
              <w:pStyle w:val="Compact"/>
              <w:jc w:val="left"/>
            </w:pPr>
            <w:r>
              <w:t xml:space="preserve">Confirms persistence at market level; rainfall dominates early, heat late</w:t>
            </w:r>
          </w:p>
        </w:tc>
      </w:tr>
      <w:tr>
        <w:tc>
          <w:tcPr/>
          <w:p>
            <w:pPr>
              <w:pStyle w:val="Compact"/>
              <w:jc w:val="left"/>
            </w:pPr>
            <w:r>
              <w:t xml:space="preserve">Chen and Villoria (2019)</w:t>
            </w:r>
          </w:p>
        </w:tc>
        <w:tc>
          <w:tcPr/>
          <w:p>
            <w:pPr>
              <w:pStyle w:val="Compact"/>
              <w:jc w:val="left"/>
            </w:pPr>
            <w:r>
              <w:t xml:space="preserve">76 maize markets, 27 net importers, 2000–15</w:t>
            </w:r>
          </w:p>
        </w:tc>
        <w:tc>
          <w:tcPr/>
          <w:p>
            <w:pPr>
              <w:pStyle w:val="Compact"/>
              <w:jc w:val="left"/>
            </w:pPr>
            <w:r>
              <w:t xml:space="preserve">Imports, stocks, climate-induced production shocks</w:t>
            </w:r>
          </w:p>
        </w:tc>
        <w:tc>
          <w:tcPr/>
          <w:p>
            <w:pPr>
              <w:pStyle w:val="Compact"/>
              <w:jc w:val="left"/>
            </w:pPr>
            <w:r>
              <w:t xml:space="preserve">Imports lower intra-annual price variation</w:t>
            </w:r>
          </w:p>
        </w:tc>
        <w:tc>
          <w:tcPr/>
          <w:p>
            <w:pPr>
              <w:pStyle w:val="Compact"/>
              <w:jc w:val="left"/>
            </w:pPr>
            <w:r>
              <w:t xml:space="preserve">Confirms with price levels and all staples: tradability insulates</w:t>
            </w:r>
          </w:p>
        </w:tc>
      </w:tr>
      <w:tr>
        <w:tc>
          <w:tcPr/>
          <w:p>
            <w:pPr>
              <w:pStyle w:val="Compact"/>
              <w:jc w:val="left"/>
            </w:pPr>
            <w:r>
              <w:t xml:space="preserve">Baffes et al. (2019)</w:t>
            </w:r>
          </w:p>
        </w:tc>
        <w:tc>
          <w:tcPr/>
          <w:p>
            <w:pPr>
              <w:pStyle w:val="Compact"/>
              <w:jc w:val="left"/>
            </w:pPr>
            <w:r>
              <w:t xml:space="preserve">18 Tanzanian maize markets</w:t>
            </w:r>
          </w:p>
        </w:tc>
        <w:tc>
          <w:tcPr/>
          <w:p>
            <w:pPr>
              <w:pStyle w:val="Compact"/>
              <w:jc w:val="left"/>
            </w:pPr>
            <w:r>
              <w:t xml:space="preserve">Domestic vs. regional and international drivers</w:t>
            </w:r>
          </w:p>
        </w:tc>
        <w:tc>
          <w:tcPr/>
          <w:p>
            <w:pPr>
              <w:pStyle w:val="Compact"/>
              <w:jc w:val="left"/>
            </w:pPr>
            <w:r>
              <w:t xml:space="preserve">Domestic factors explain two-thirds of explained variation</w:t>
            </w:r>
          </w:p>
        </w:tc>
        <w:tc>
          <w:tcPr/>
          <w:p>
            <w:pPr>
              <w:pStyle w:val="Compact"/>
              <w:jc w:val="left"/>
            </w:pPr>
            <w:r>
              <w:t xml:space="preserve">Extends to 85 countries; remoteness amplifies only weakly</w:t>
            </w:r>
          </w:p>
        </w:tc>
      </w:tr>
      <w:tr>
        <w:tc>
          <w:tcPr/>
          <w:p>
            <w:pPr>
              <w:pStyle w:val="Compact"/>
              <w:jc w:val="left"/>
            </w:pPr>
            <w:r>
              <w:t xml:space="preserve">Kakpo et al. (2022); Letta et al. (2022)</w:t>
            </w:r>
          </w:p>
        </w:tc>
        <w:tc>
          <w:tcPr/>
          <w:p>
            <w:pPr>
              <w:pStyle w:val="Compact"/>
              <w:jc w:val="left"/>
            </w:pPr>
            <w:r>
              <w:t xml:space="preserve">Niger; India</w:t>
            </w:r>
          </w:p>
        </w:tc>
        <w:tc>
          <w:tcPr/>
          <w:p>
            <w:pPr>
              <w:pStyle w:val="Compact"/>
              <w:jc w:val="left"/>
            </w:pPr>
            <w:r>
              <w:t xml:space="preserve">Rainfall shocks; drought news</w:t>
            </w:r>
          </w:p>
        </w:tc>
        <w:tc>
          <w:tcPr/>
          <w:p>
            <w:pPr>
              <w:pStyle w:val="Compact"/>
              <w:jc w:val="left"/>
            </w:pPr>
            <w:r>
              <w:t xml:space="preserve">Drought amplifies seasonality; pre-harvest price rises</w:t>
            </w:r>
          </w:p>
        </w:tc>
        <w:tc>
          <w:tcPr/>
          <w:p>
            <w:pPr>
              <w:pStyle w:val="Compact"/>
              <w:jc w:val="left"/>
            </w:pPr>
            <w:r>
              <w:t xml:space="preserve">Confirms timing: the rainfall effect peaks 4–6 months after the anomaly</w:t>
            </w:r>
          </w:p>
        </w:tc>
      </w:tr>
      <w:tr>
        <w:tc>
          <w:tcPr/>
          <w:p>
            <w:pPr>
              <w:pStyle w:val="Compact"/>
              <w:jc w:val="left"/>
            </w:pPr>
            <w:r>
              <w:t xml:space="preserve">Nino (2026)</w:t>
            </w:r>
          </w:p>
        </w:tc>
        <w:tc>
          <w:tcPr/>
          <w:p>
            <w:pPr>
              <w:pStyle w:val="Compact"/>
              <w:jc w:val="left"/>
            </w:pPr>
            <w:r>
              <w:t xml:space="preserve">Colombia, weekly</w:t>
            </w:r>
          </w:p>
        </w:tc>
        <w:tc>
          <w:tcPr/>
          <w:p>
            <w:pPr>
              <w:pStyle w:val="Compact"/>
              <w:jc w:val="left"/>
            </w:pPr>
            <w:r>
              <w:t xml:space="preserve">Landslide road closures (IV); causal forest</w:t>
            </w:r>
          </w:p>
        </w:tc>
        <w:tc>
          <w:tcPr/>
          <w:p>
            <w:pPr>
              <w:pStyle w:val="Compact"/>
              <w:jc w:val="left"/>
            </w:pPr>
            <w:r>
              <w:t xml:space="preserve">+0.5–0.9% in one week; peripheral markets most affected</w:t>
            </w:r>
          </w:p>
        </w:tc>
        <w:tc>
          <w:tcPr/>
          <w:p>
            <w:pPr>
              <w:pStyle w:val="Compact"/>
              <w:jc w:val="left"/>
            </w:pPr>
            <w:r>
              <w:t xml:space="preserve">First cross-country causal forest on weather shocks, validated out of sample</w:t>
            </w:r>
          </w:p>
        </w:tc>
      </w:tr>
    </w:tbl>
    <w:p>
      <w:pPr>
        <w:pStyle w:val="BodyText"/>
      </w:pPr>
      <w:r>
        <w:t xml:space="preserve">Brown and Kshirsagar (2015) estimated weather effects market by market and found them in about a fifth of markets. Our pooled estimate is consistent with that share once heterogeneity is allowed for, since the top tercile carries most of the effect. Okou et al. (2022) show that imported staples follow world prices almost one for one. We find the reverse side of the same market: local staples follow local weather, and imported staples do not. Put together, the two results describe a split market in which households that eat traded staples carry world price risk and households that eat local staples carry local weather risk. Kotz et al. (2024) find that heat raises national food inflation for a year. Our market-level estimates confirm that persistence but trace it to rainfall at short horizons and heat at long ones; national indices average over products and hide the difference between traded and local staples.</w:t>
      </w:r>
    </w:p>
    <w:bookmarkEnd w:id="37"/>
    <w:bookmarkStart w:id="38" w:name="competing-explanations"/>
    <w:p>
      <w:pPr>
        <w:pStyle w:val="Heading2"/>
      </w:pPr>
      <w:r>
        <w:t xml:space="preserve">7.2 Competing explanations</w:t>
      </w:r>
    </w:p>
    <w:p>
      <w:pPr>
        <w:pStyle w:val="FirstParagraph"/>
      </w:pPr>
      <w:r>
        <w:t xml:space="preserve">A drought lowers rural incomes and could reduce local demand, which would push prices down. If this happens, our estimates are net of it and understate the supply effect; it cannot explain a positive sign.</w:t>
      </w:r>
    </w:p>
    <w:p>
      <w:pPr>
        <w:pStyle w:val="BodyText"/>
      </w:pPr>
      <w:r>
        <w:t xml:space="preserve">Weather could also raise prices by damaging roads rather than harvests, the channel Nino (2026) documents for landslides in Colombia. Two results argue against this as the main channel. Wet anomalies, which carry most of the flood and road risk, lower prices (−1.47 percent at six months), and distance to cities amplifies the effect only weakly (+0.19 pp per standard deviation).</w:t>
      </w:r>
    </w:p>
    <w:p>
      <w:pPr>
        <w:pStyle w:val="BodyText"/>
      </w:pPr>
      <w:r>
        <w:t xml:space="preserve">Weather might instead set off conflict, which then raises prices, the feedback Raleigh et al. (2015) describe for African markets. Conflict exposure does not change the effect (+0.15 pp, MDE 0.66 pp), and the estimate is unchanged when the ten crisis economies are dropped. Finally, WFP could start monitoring markets after bad seasons, so that the sample over-represents shocks; the entry test rules this out.</w:t>
      </w:r>
    </w:p>
    <w:p>
      <w:pPr>
        <w:pStyle w:val="BodyText"/>
      </w:pPr>
      <w:r>
        <w:t xml:space="preserve">What remains is a local supply shortfall passed through markets that are integrated for traded staples and segmented for local ones. The production results, with output falling for every major cereal, support that reading.</w:t>
      </w:r>
    </w:p>
    <w:bookmarkEnd w:id="38"/>
    <w:bookmarkStart w:id="39" w:name="implications"/>
    <w:p>
      <w:pPr>
        <w:pStyle w:val="Heading2"/>
      </w:pPr>
      <w:r>
        <w:t xml:space="preserve">7.3 Implications</w:t>
      </w:r>
    </w:p>
    <w:p>
      <w:pPr>
        <w:pStyle w:val="FirstParagraph"/>
      </w:pPr>
      <w:r>
        <w:t xml:space="preserve">Weather-driven price risk concentrates in non-traded staples in arid markets, and that is where price monitoring and seasonal food assistance should go. The out-of-sample calibration shows that market characteristics known in advance can identify these places. In the most exposed tercile, a two-standard-deviation drought implies staple prices about 4 percent higher within six months. For a household spending half its budget on staples, that is a real income loss of about 2 percent from local weather alone.</w:t>
      </w:r>
    </w:p>
    <w:p>
      <w:pPr>
        <w:pStyle w:val="BodyText"/>
      </w:pPr>
      <w:r>
        <w:t xml:space="preserve">Openness protects the staples that are traded. Lowering border frictions for maize, the one local staple that moves across regional borders, should narrow the gap, in line with Villoria (2026). World price spikes do not make local weather shocks worse, so policies aimed at the two risks can be designed separately.</w:t>
      </w:r>
    </w:p>
    <w:bookmarkEnd w:id="39"/>
    <w:bookmarkStart w:id="40" w:name="limitations"/>
    <w:p>
      <w:pPr>
        <w:pStyle w:val="Heading2"/>
      </w:pPr>
      <w:r>
        <w:t xml:space="preserve">7.4 Limitations</w:t>
      </w:r>
    </w:p>
    <w:p>
      <w:pPr>
        <w:pStyle w:val="FirstParagraph"/>
      </w:pPr>
      <w:r>
        <w:t xml:space="preserve">W is measured at the market rather than over the area that supplies it. Where that area lies far away, the estimate of</w:t>
      </w:r>
      <w:r>
        <w:t xml:space="preserve"> </w:t>
      </w:r>
      <m:oMath>
        <m:sSub>
          <m:e>
            <m:r>
              <m:t>δ</m:t>
            </m:r>
          </m:e>
          <m:sub>
            <m:r>
              <m:t>h</m:t>
            </m:r>
          </m:sub>
        </m:sSub>
      </m:oMath>
      <w:r>
        <w:t xml:space="preserve"> </w:t>
      </w:r>
      <w:r>
        <w:t xml:space="preserve">is attenuated toward zero.</w:t>
      </w:r>
    </w:p>
    <w:p>
      <w:pPr>
        <w:pStyle w:val="BodyText"/>
      </w:pPr>
      <w:r>
        <w:t xml:space="preserve">WFP coverage is selected. The entry test and the pre-2010 subsample suggest that any bias works against our findings, but neither rules out selection on unobserved fragility.</w:t>
      </w:r>
    </w:p>
    <w:p>
      <w:pPr>
        <w:pStyle w:val="BodyText"/>
      </w:pPr>
      <w:r>
        <w:t xml:space="preserve">The policy moderators are measured with error (import shares are national and conflict is counted within a fixed radius), which biases their interactions toward zero. FAOSTAT root-crop production is partly imputed, which weakens the mechanism evidence for roots and tubers.</w:t>
      </w:r>
    </w:p>
    <w:p>
      <w:pPr>
        <w:pStyle w:val="BodyText"/>
      </w:pPr>
      <w:r>
        <w:t xml:space="preserve">Finally, the estimates describe the markets WFP monitors, which are poorer and more exposed to crises than the average market in the same countries.</w:t>
      </w:r>
    </w:p>
    <w:bookmarkEnd w:id="40"/>
    <w:bookmarkEnd w:id="41"/>
    <w:bookmarkStart w:id="51" w:name="figures"/>
    <w:p>
      <w:pPr>
        <w:pStyle w:val="Heading1"/>
      </w:pPr>
      <w:r>
        <w:t xml:space="preserve">Figures</w:t>
      </w:r>
    </w:p>
    <w:p>
      <w:pPr>
        <w:pStyle w:val="CaptionedFigure"/>
      </w:pPr>
      <w:r>
        <w:drawing>
          <wp:inline>
            <wp:extent cx="5067300" cy="2942303"/>
            <wp:effectExtent b="0" l="0" r="0" t="0"/>
            <wp:docPr descr="Figure 1. Cumulative response of local staple prices to a one-standard-deviation adverse local weather shock. Shaded area: 95 percent confidence interval, two-way clustered by country and month." title="" id="43" name="Picture"/>
            <a:graphic>
              <a:graphicData uri="http://schemas.openxmlformats.org/drawingml/2006/picture">
                <pic:pic>
                  <pic:nvPicPr>
                    <pic:cNvPr descr="../empirics/output/figures/fig1_main_irf.png" id="44" name="Picture"/>
                    <pic:cNvPicPr>
                      <a:picLocks noChangeArrowheads="1" noChangeAspect="1"/>
                    </pic:cNvPicPr>
                  </pic:nvPicPr>
                  <pic:blipFill>
                    <a:blip r:embed="rId42"/>
                    <a:stretch>
                      <a:fillRect/>
                    </a:stretch>
                  </pic:blipFill>
                  <pic:spPr bwMode="auto">
                    <a:xfrm>
                      <a:off x="0" y="0"/>
                      <a:ext cx="5067300" cy="2942303"/>
                    </a:xfrm>
                    <a:prstGeom prst="rect">
                      <a:avLst/>
                    </a:prstGeom>
                    <a:noFill/>
                    <a:ln w="9525">
                      <a:noFill/>
                      <a:headEnd/>
                      <a:tailEnd/>
                    </a:ln>
                  </pic:spPr>
                </pic:pic>
              </a:graphicData>
            </a:graphic>
          </wp:inline>
        </w:drawing>
      </w:r>
    </w:p>
    <w:p>
      <w:pPr>
        <w:pStyle w:val="ImageCaption"/>
      </w:pPr>
      <w:r>
        <w:t xml:space="preserve">Figure 1. Cumulative response of local staple prices to a one-standard-deviation adverse local weather shock. Shaded area: 95 percent confidence interval, two-way clustered by country and month.</w:t>
      </w:r>
    </w:p>
    <w:p>
      <w:pPr>
        <w:pStyle w:val="CaptionedFigure"/>
      </w:pPr>
      <w:r>
        <w:drawing>
          <wp:inline>
            <wp:extent cx="5334000" cy="4333875"/>
            <wp:effectExtent b="0" l="0" r="0" t="0"/>
            <wp:docPr descr="Figure 2. Differential response by staple group relative to rice (percentage points). Shaded areas: 95 percent confidence intervals." title="" id="46" name="Picture"/>
            <a:graphic>
              <a:graphicData uri="http://schemas.openxmlformats.org/drawingml/2006/picture">
                <pic:pic>
                  <pic:nvPicPr>
                    <pic:cNvPr descr="../empirics/output/figures/fig2_tradability.png" id="47" name="Picture"/>
                    <pic:cNvPicPr>
                      <a:picLocks noChangeArrowheads="1" noChangeAspect="1"/>
                    </pic:cNvPicPr>
                  </pic:nvPicPr>
                  <pic:blipFill>
                    <a:blip r:embed="rId45"/>
                    <a:stretch>
                      <a:fillRect/>
                    </a:stretch>
                  </pic:blipFill>
                  <pic:spPr bwMode="auto">
                    <a:xfrm>
                      <a:off x="0" y="0"/>
                      <a:ext cx="5334000" cy="4333875"/>
                    </a:xfrm>
                    <a:prstGeom prst="rect">
                      <a:avLst/>
                    </a:prstGeom>
                    <a:noFill/>
                    <a:ln w="9525">
                      <a:noFill/>
                      <a:headEnd/>
                      <a:tailEnd/>
                    </a:ln>
                  </pic:spPr>
                </pic:pic>
              </a:graphicData>
            </a:graphic>
          </wp:inline>
        </w:drawing>
      </w:r>
    </w:p>
    <w:p>
      <w:pPr>
        <w:pStyle w:val="ImageCaption"/>
      </w:pPr>
      <w:r>
        <w:t xml:space="preserve">Figure 2. Differential response by staple group relative to rice (percentage points). Shaded areas: 95 percent confidence intervals.</w:t>
      </w:r>
    </w:p>
    <w:p>
      <w:pPr>
        <w:pStyle w:val="CaptionedFigure"/>
      </w:pPr>
      <w:r>
        <w:drawing>
          <wp:inline>
            <wp:extent cx="5334000" cy="1444625"/>
            <wp:effectExtent b="0" l="0" r="0" t="0"/>
            <wp:docPr descr="Figure 3. Response to each weather component, entered jointly (percent per one standard deviation). Shaded areas: 95 percent confidence intervals." title="" id="49" name="Picture"/>
            <a:graphic>
              <a:graphicData uri="http://schemas.openxmlformats.org/drawingml/2006/picture">
                <pic:pic>
                  <pic:nvPicPr>
                    <pic:cNvPr descr="../empirics/output/figures/fig3_components.png" id="50" name="Picture"/>
                    <pic:cNvPicPr>
                      <a:picLocks noChangeArrowheads="1" noChangeAspect="1"/>
                    </pic:cNvPicPr>
                  </pic:nvPicPr>
                  <pic:blipFill>
                    <a:blip r:embed="rId48"/>
                    <a:stretch>
                      <a:fillRect/>
                    </a:stretch>
                  </pic:blipFill>
                  <pic:spPr bwMode="auto">
                    <a:xfrm>
                      <a:off x="0" y="0"/>
                      <a:ext cx="5334000" cy="1444625"/>
                    </a:xfrm>
                    <a:prstGeom prst="rect">
                      <a:avLst/>
                    </a:prstGeom>
                    <a:noFill/>
                    <a:ln w="9525">
                      <a:noFill/>
                      <a:headEnd/>
                      <a:tailEnd/>
                    </a:ln>
                  </pic:spPr>
                </pic:pic>
              </a:graphicData>
            </a:graphic>
          </wp:inline>
        </w:drawing>
      </w:r>
    </w:p>
    <w:p>
      <w:pPr>
        <w:pStyle w:val="ImageCaption"/>
      </w:pPr>
      <w:r>
        <w:t xml:space="preserve">Figure 3. Response to each weather component, entered jointly (percent per one standard deviation). Shaded areas: 95 percent confidence intervals.</w:t>
      </w:r>
    </w:p>
    <w:bookmarkEnd w:id="51"/>
    <w:bookmarkStart w:id="52" w:name="references"/>
    <w:p>
      <w:pPr>
        <w:pStyle w:val="Heading1"/>
      </w:pPr>
      <w:r>
        <w:t xml:space="preserve">References</w:t>
      </w:r>
    </w:p>
    <w:p>
      <w:pPr>
        <w:pStyle w:val="FirstParagraph"/>
      </w:pPr>
      <w:r>
        <w:t xml:space="preserve">Adler, R.F., et al., 2018. The Global Precipitation Climatology Project (GPCP) monthly analysis (new version 2.3) and a review of 2017 global precipitation. Atmosphere 9(4), 138.</w:t>
      </w:r>
    </w:p>
    <w:p>
      <w:pPr>
        <w:pStyle w:val="BodyText"/>
      </w:pPr>
      <w:r>
        <w:t xml:space="preserve">Athey, S., Tibshirani, J., Wager, S., 2019. Generalized random forests. Annals of Statistics 47(2), 1148–1178. https://doi.org/10.1214/18-AOS1709</w:t>
      </w:r>
    </w:p>
    <w:p>
      <w:pPr>
        <w:pStyle w:val="BodyText"/>
      </w:pPr>
      <w:r>
        <w:t xml:space="preserve">Baffes, J., Kshirsagar, V., Mitchell, D., 2019. What drives local food prices? Evidence from the Tanzanian maize market. World Bank Economic Review 33(1), 160–184. https://doi.org/10.1093/wber/lhx008</w:t>
      </w:r>
    </w:p>
    <w:p>
      <w:pPr>
        <w:pStyle w:val="BodyText"/>
      </w:pPr>
      <w:r>
        <w:t xml:space="preserve">Brown, M.E., Kshirsagar, V., 2015. Weather and international price shocks on food prices in the developing world. Global Environmental Change 35, 31–40. https://doi.org/10.1016/j.gloenvcha.2015.08.003</w:t>
      </w:r>
    </w:p>
    <w:p>
      <w:pPr>
        <w:pStyle w:val="BodyText"/>
      </w:pPr>
      <w:r>
        <w:t xml:space="preserve">Cameron, A.C., Gelbach, J.B., Miller, D.L., 2011. Robust inference with multiway clustering. Journal of Business &amp; Economic Statistics 29(2), 238–249. https://doi.org/10.1198/jbes.2010.07136</w:t>
      </w:r>
    </w:p>
    <w:p>
      <w:pPr>
        <w:pStyle w:val="BodyText"/>
      </w:pPr>
      <w:r>
        <w:t xml:space="preserve">Chen, B., Villoria, N.B., 2019. Climate shocks, food price stability and international trade: Evidence from 76 maize markets in 27 net-importing countries. Environmental Research Letters 14(1), 014007. https://doi.org/10.1088/1748-9326/aaf07f</w:t>
      </w:r>
    </w:p>
    <w:p>
      <w:pPr>
        <w:pStyle w:val="BodyText"/>
      </w:pPr>
      <w:r>
        <w:t xml:space="preserve">Hersbach, H., Bell, B., Berrisford, P., et al., 2020. The ERA5 global reanalysis. Quarterly Journal of the Royal Meteorological Society 146(730), 1999–2049. https://doi.org/10.1002/qj.3803</w:t>
      </w:r>
    </w:p>
    <w:p>
      <w:pPr>
        <w:pStyle w:val="BodyText"/>
      </w:pPr>
      <w:r>
        <w:t xml:space="preserve">Holm, S., 1979. A simple sequentially rejective multiple test procedure. Scandinavian Journal of Statistics 6(2), 65–70.</w:t>
      </w:r>
    </w:p>
    <w:p>
      <w:pPr>
        <w:pStyle w:val="BodyText"/>
      </w:pPr>
      <w:r>
        <w:t xml:space="preserve">Jordà, Ò., 2005. Estimation and inference of impulse responses by local projections. American Economic Review 95(1), 161–182. https://doi.org/10.1257/0002828053828518</w:t>
      </w:r>
    </w:p>
    <w:p>
      <w:pPr>
        <w:pStyle w:val="BodyText"/>
      </w:pPr>
      <w:r>
        <w:t xml:space="preserve">Kakpo, A., Mills, B.F., Brunelin, S., 2022. Weather shocks and food price seasonality in Sub-Saharan Africa: Evidence from Niger. Food Policy 112, 102347. https://doi.org/10.1016/j.foodpol.2022.102347</w:t>
      </w:r>
    </w:p>
    <w:p>
      <w:pPr>
        <w:pStyle w:val="BodyText"/>
      </w:pPr>
      <w:r>
        <w:t xml:space="preserve">Kotz, M., Kuik, F., Lis, E., Nickel, C., 2024. Global warming and heat extremes to enhance inflationary pressures. Communications Earth &amp; Environment 5, [VERIFY article number]. https://doi.org/10.1038/s43247-023-01173-x</w:t>
      </w:r>
    </w:p>
    <w:p>
      <w:pPr>
        <w:pStyle w:val="BodyText"/>
      </w:pPr>
      <w:r>
        <w:t xml:space="preserve">Letta, M., Montalbano, P., Pierre, G., 2022. Weather shocks, traders’ expectations, and food prices. American Journal of Agricultural Economics 104(3), 1100–1119. https://doi.org/10.1111/ajae.12258</w:t>
      </w:r>
    </w:p>
    <w:p>
      <w:pPr>
        <w:pStyle w:val="BodyText"/>
      </w:pPr>
      <w:r>
        <w:t xml:space="preserve">Nino, G., 2026. Disruption in ground transportation: Natural disasters and disintegration of local food markets. Food Policy 140, 103051. https://doi.org/10.1016/j.foodpol.2026.103051</w:t>
      </w:r>
    </w:p>
    <w:p>
      <w:pPr>
        <w:pStyle w:val="BodyText"/>
      </w:pPr>
      <w:r>
        <w:t xml:space="preserve">Okou, C., Spray, J., Unsal, D.F., 2022. Staple food prices in Sub-Saharan Africa: An empirical assessment. IMF Working Paper 22/135. International Monetary Fund, Washington, DC.</w:t>
      </w:r>
    </w:p>
    <w:p>
      <w:pPr>
        <w:pStyle w:val="BodyText"/>
      </w:pPr>
      <w:r>
        <w:t xml:space="preserve">Raleigh, C., Choi, H.J., Kniveton, D., 2015. The devil is in the details: An investigation of the relationships between conflict, food price and climate across Africa. Global Environmental Change 32, 187–199. https://doi.org/10.1016/j.gloenvcha.2015.03.005</w:t>
      </w:r>
    </w:p>
    <w:p>
      <w:pPr>
        <w:pStyle w:val="BodyText"/>
      </w:pPr>
      <w:r>
        <w:t xml:space="preserve">Villoria, N.B., 2026. Trade frictions and domestic food price stability in the presence of large-scale climate shocks. American Journal of Agricultural Economics 108(1), 285–308. https://doi.org/10.1111/ajae.12531</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local droughts? Weather shocks and staple prices in 3,200 local markets</dc:title>
  <dc:creator/>
  <cp:keywords/>
  <dcterms:created xsi:type="dcterms:W3CDTF">2026-10-07T14:58:41Z</dcterms:created>
  <dcterms:modified xsi:type="dcterms:W3CDTF">2026-10-07T14:58:41Z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Empirical sections (draft for Food Policy)</vt:lpwstr>
  </property>
</Properties>
</file>