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Notes</w:t>
      </w:r>
      <w:r>
        <w:t xml:space="preserve"> </w:t>
      </w:r>
      <w:r>
        <w:t xml:space="preserve">for</w:t>
      </w:r>
      <w:r>
        <w:t xml:space="preserve"> </w:t>
      </w:r>
      <w:r>
        <w:t xml:space="preserve">authors:</w:t>
      </w:r>
      <w:r>
        <w:t xml:space="preserve"> </w:t>
      </w:r>
      <w:r>
        <w:t xml:space="preserve">audit,</w:t>
      </w:r>
      <w:r>
        <w:t xml:space="preserve"> </w:t>
      </w:r>
      <w:r>
        <w:t xml:space="preserve">literature</w:t>
      </w:r>
      <w:r>
        <w:t xml:space="preserve"> </w:t>
      </w:r>
      <w:r>
        <w:t xml:space="preserve">screen</w:t>
      </w:r>
      <w:r>
        <w:t xml:space="preserve"> </w:t>
      </w:r>
      <w:r>
        <w:t xml:space="preserve">and</w:t>
      </w:r>
      <w:r>
        <w:t xml:space="preserve"> </w:t>
      </w:r>
      <w:r>
        <w:t xml:space="preserve">referee</w:t>
      </w:r>
      <w:r>
        <w:t xml:space="preserve"> </w:t>
      </w:r>
      <w:r>
        <w:t xml:space="preserve">memo</w:t>
      </w:r>
    </w:p>
    <w:p>
      <w:pPr>
        <w:pStyle w:val="Subtitle"/>
      </w:pPr>
      <w:r>
        <w:t xml:space="preserve">Companion</w:t>
      </w:r>
      <w:r>
        <w:t xml:space="preserve"> </w:t>
      </w:r>
      <w:r>
        <w:t xml:space="preserve">to</w:t>
      </w:r>
      <w:r>
        <w:t xml:space="preserve"> </w:t>
      </w:r>
      <w:r>
        <w:t xml:space="preserve">Empirical_section_Food_Policy_draft.docx</w:t>
      </w:r>
    </w:p>
    <w:bookmarkStart w:id="20" w:name="pre-writing-audit"/>
    <w:p>
      <w:pPr>
        <w:pStyle w:val="Heading1"/>
      </w:pPr>
      <w:r>
        <w:t xml:space="preserve">1. Pre-writing 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Within-series deviations of market weather from its calendar-month norm, net of country × year shocks. Key assumption: local anomalies are unrelated to other local demand or supply shocks. Main threat: weather → conflict/migration → prices. Leads and pre-trend tests pass; conflict does not moderate the effect.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δ_h is the percent change in local retail price h months after a 1 s.d. adverse anomaly. This matches the research question.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Two-way clustering by country (85) and month (312). Spatial alternatives (2° and 5° cells) and country-only clustering give larger t-statistics, so the baseline is the conservative choice.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null reports an MDE (2.8 × SE). W × world-price state: estimate 0.32, MDE 0.94 pp. W × ΔG: −0.04, MDE 0.31 pp per s.d. Conflict: +0.15, MDE 0.66 pp. Imported label: −0.61, MDE 1.1 pp. Import dependence and remoteness sit near their MDEs, so they are underpowered rather than null.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horizons with Holm correction: h = 4 to 12 survive (p ≤ 0.009) and h = 2 does not. Heterogeneity tests were pre-specified; moderators and robustness checks are labelled exploratory.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alternatives across sample, measurement, specification and inference (Table 7). Only the monthly-innovation version of W is null, which the text explains.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 targets:</w:t>
            </w:r>
            <w:r>
              <w:t xml:space="preserve"> </w:t>
            </w:r>
            <w:r>
              <w:rPr>
                <w:iCs/>
                <w:i/>
              </w:rPr>
              <w:t xml:space="preserve">Food Policy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World Development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Global Food Security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Environmental and Resource Economics</w:t>
            </w:r>
            <w:r>
              <w:t xml:space="preserve">. Not top-5 or</w:t>
            </w:r>
            <w:r>
              <w:t xml:space="preserve"> </w:t>
            </w:r>
            <w:r>
              <w:rPr>
                <w:iCs/>
                <w:i/>
              </w:rPr>
              <w:t xml:space="preserve">JDE</w:t>
            </w:r>
            <w:r>
              <w:t xml:space="preserve">: identification is selection-on-observables with weather anomalies, a standard design, and the novelty is scale, the tradability gradient and validated heterogeneity, not a new identification strategy.</w:t>
            </w:r>
          </w:p>
        </w:tc>
      </w:tr>
    </w:tbl>
    <w:bookmarkEnd w:id="20"/>
    <w:bookmarkStart w:id="21" w:name="word-count-and-budget"/>
    <w:p>
      <w:pPr>
        <w:pStyle w:val="Heading1"/>
      </w:pPr>
      <w:r>
        <w:t xml:space="preserve">2. Word count and budget</w:t>
      </w:r>
    </w:p>
    <w:p>
      <w:pPr>
        <w:pStyle w:val="FirstParagraph"/>
      </w:pPr>
      <w:r>
        <w:t xml:space="preserve">Food Policy (guide saved in FoodPolicy_author_guidelines.md) expects 6,000–10,000 words for the whole submission, including abstract, tables, references and appendices.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(L = 8,000)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700–850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Empirical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1,000–1,200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1,510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1,500–1,700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500–650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750–900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(prose, excluding tables and equations)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4,245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4,450–5,300</w:t>
            </w:r>
          </w:p>
        </w:tc>
      </w:tr>
    </w:tbl>
    <w:p>
      <w:pPr>
        <w:pStyle w:val="BodyText"/>
      </w:pPr>
      <w:r>
        <w:t xml:space="preserve">The draft sits slightly under budget. That leaves room for the introduction and conceptual framework, or for expanding the Discussion if the editor asks for more on policy.</w:t>
      </w:r>
    </w:p>
    <w:bookmarkEnd w:id="21"/>
    <w:bookmarkStart w:id="22" w:name="X85e16819ec3e820b3ba75ce968ffadf67db2dd2"/>
    <w:p>
      <w:pPr>
        <w:pStyle w:val="Heading1"/>
      </w:pPr>
      <w:r>
        <w:t xml:space="preserve">3. Literature screen (Scopus, three queries, 1,556 records)</w:t>
      </w:r>
    </w:p>
    <w:p>
      <w:pPr>
        <w:pStyle w:val="FirstParagraph"/>
      </w:pPr>
      <w:r>
        <w:t xml:space="preserve">The screen covered the three exports you supplied: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Q1</w:t>
      </w:r>
      <w:r>
        <w:t xml:space="preserve"> </w:t>
      </w:r>
      <w:r>
        <w:t xml:space="preserve">(weather and food prices): 1,386 records;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Q2</w:t>
      </w:r>
      <w:r>
        <w:t xml:space="preserve"> </w:t>
      </w:r>
      <w:r>
        <w:t xml:space="preserve">(tradability and import parity): 13 records;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Q3</w:t>
      </w:r>
      <w:r>
        <w:t xml:space="preserve"> </w:t>
      </w:r>
      <w:r>
        <w:t xml:space="preserve">(causal ML on food prices or food security): 157 records.</w:t>
      </w:r>
    </w:p>
    <w:p>
      <w:pPr>
        <w:pStyle w:val="BodyText"/>
      </w:pPr>
      <w:r>
        <w:t xml:space="preserve">Records were scored on relevance (food-price terms, weather terms, local or market-level data, tradability, heterogeneity), and energy and electricity papers were removed. The 138 high-scoring records were read at abstract level.</w:t>
      </w:r>
    </w:p>
    <w:p>
      <w:pPr>
        <w:pStyle w:val="BodyText"/>
      </w:pPr>
      <w:r>
        <w:rPr>
          <w:bCs/>
          <w:b/>
        </w:rPr>
        <w:t xml:space="preserve">Novelty verdict: no paper pre-empts the contribution.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Closest in design:</w:t>
      </w:r>
    </w:p>
    <w:p>
      <w:pPr>
        <w:numPr>
          <w:ilvl w:val="1"/>
          <w:numId w:val="1002"/>
        </w:numPr>
        <w:pStyle w:val="Compact"/>
      </w:pPr>
      <w:r>
        <w:t xml:space="preserve">Brown and Kshirsagar (2015,</w:t>
      </w:r>
      <w:r>
        <w:t xml:space="preserve"> </w:t>
      </w:r>
      <w:r>
        <w:rPr>
          <w:iCs/>
          <w:i/>
        </w:rPr>
        <w:t xml:space="preserve">GEC</w:t>
      </w:r>
      <w:r>
        <w:t xml:space="preserve">): 554 markets, 2008–12, market-by-market regressions.</w:t>
      </w:r>
    </w:p>
    <w:p>
      <w:pPr>
        <w:numPr>
          <w:ilvl w:val="1"/>
          <w:numId w:val="1002"/>
        </w:numPr>
        <w:pStyle w:val="Compact"/>
      </w:pPr>
      <w:r>
        <w:t xml:space="preserve">Chen and Villoria (2019,</w:t>
      </w:r>
      <w:r>
        <w:t xml:space="preserve"> </w:t>
      </w:r>
      <w:r>
        <w:rPr>
          <w:iCs/>
          <w:i/>
        </w:rPr>
        <w:t xml:space="preserve">ERL</w:t>
      </w:r>
      <w:r>
        <w:t xml:space="preserve">): 76 maize markets; the outcome is volatility, not the level response to weather.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Closest in framing:</w:t>
      </w:r>
      <w:r>
        <w:t xml:space="preserve"> </w:t>
      </w:r>
      <w:r>
        <w:t xml:space="preserve">Okou et al. (2022, IMF WP), with global prices and disaster dummies for 15 countries.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Causal ML:</w:t>
      </w:r>
      <w:r>
        <w:t xml:space="preserve"> </w:t>
      </w:r>
      <w:r>
        <w:t xml:space="preserve">of 157 Q3 records, only two combine prices and weather. One is fertilizer profitability (McCullough et al., 2022,</w:t>
      </w:r>
      <w:r>
        <w:t xml:space="preserve"> </w:t>
      </w:r>
      <w:r>
        <w:rPr>
          <w:iCs/>
          <w:i/>
        </w:rPr>
        <w:t xml:space="preserve">Nature Food</w:t>
      </w:r>
      <w:r>
        <w:t xml:space="preserve">). The other is Nino (2026,</w:t>
      </w:r>
      <w:r>
        <w:t xml:space="preserve"> </w:t>
      </w:r>
      <w:r>
        <w:rPr>
          <w:iCs/>
          <w:i/>
        </w:rPr>
        <w:t xml:space="preserve">Food Policy</w:t>
      </w:r>
      <w:r>
        <w:t xml:space="preserve">), which covers a single country (Colombia) and studies road closures.</w:t>
      </w:r>
    </w:p>
    <w:p>
      <w:pPr>
        <w:pStyle w:val="FirstParagraph"/>
      </w:pPr>
      <w:r>
        <w:rPr>
          <w:rStyle w:val="VerbatimChar"/>
        </w:rPr>
        <w:t xml:space="preserve">empirics/literature/literature_table.csv</w:t>
      </w:r>
      <w:r>
        <w:t xml:space="preserve"> </w:t>
      </w:r>
      <w:r>
        <w:t xml:space="preserve">holds the full 15-paper comparison.</w:t>
      </w:r>
      <w:r>
        <w:t xml:space="preserve"> </w:t>
      </w:r>
      <w:r>
        <w:rPr>
          <w:rStyle w:val="VerbatimChar"/>
        </w:rPr>
        <w:t xml:space="preserve">empirics/literature/screen_ranked.csv</w:t>
      </w:r>
      <w:r>
        <w:t xml:space="preserve"> </w:t>
      </w:r>
      <w:r>
        <w:t xml:space="preserve">holds all scored records.</w:t>
      </w:r>
    </w:p>
    <w:p>
      <w:pPr>
        <w:pStyle w:val="BodyText"/>
      </w:pPr>
      <w:r>
        <w:rPr>
          <w:bCs/>
          <w:b/>
        </w:rPr>
        <w:t xml:space="preserve">Further papers worth citing in the introduction</w:t>
      </w:r>
      <w:r>
        <w:t xml:space="preserve"> </w:t>
      </w:r>
      <w:r>
        <w:t xml:space="preserve">(all verified from the Scopus export):</w:t>
      </w:r>
      <w:r>
        <w:t xml:space="preserve"> </w:t>
      </w:r>
      <w:r>
        <w:t xml:space="preserve">- Shively and Thapa (2017,</w:t>
      </w:r>
      <w:r>
        <w:t xml:space="preserve"> </w:t>
      </w:r>
      <w:r>
        <w:rPr>
          <w:iCs/>
          <w:i/>
        </w:rPr>
        <w:t xml:space="preserve">AJAE</w:t>
      </w:r>
      <w:r>
        <w:t xml:space="preserve">): Nepal, infrastructure.</w:t>
      </w:r>
      <w:r>
        <w:t xml:space="preserve"> </w:t>
      </w:r>
      <w:r>
        <w:t xml:space="preserve">- Cedrez et al. (2020,</w:t>
      </w:r>
      <w:r>
        <w:t xml:space="preserve"> </w:t>
      </w:r>
      <w:r>
        <w:rPr>
          <w:iCs/>
          <w:i/>
        </w:rPr>
        <w:t xml:space="preserve">GFS</w:t>
      </w:r>
      <w:r>
        <w:t xml:space="preserve">): 168 SSA markets.</w:t>
      </w:r>
      <w:r>
        <w:t xml:space="preserve"> </w:t>
      </w:r>
      <w:r>
        <w:t xml:space="preserve">- Raleigh et al. (2015,</w:t>
      </w:r>
      <w:r>
        <w:t xml:space="preserve"> </w:t>
      </w:r>
      <w:r>
        <w:rPr>
          <w:iCs/>
          <w:i/>
        </w:rPr>
        <w:t xml:space="preserve">GEC</w:t>
      </w:r>
      <w:r>
        <w:t xml:space="preserve">): conflict–price–climate.</w:t>
      </w:r>
      <w:r>
        <w:t xml:space="preserve"> </w:t>
      </w:r>
      <w:r>
        <w:t xml:space="preserve">- Dietrich and Schmerzeck (2019,</w:t>
      </w:r>
      <w:r>
        <w:t xml:space="preserve"> </w:t>
      </w:r>
      <w:r>
        <w:rPr>
          <w:iCs/>
          <w:i/>
        </w:rPr>
        <w:t xml:space="preserve">Food Policy</w:t>
      </w:r>
      <w:r>
        <w:t xml:space="preserve">): market isolation after weather shocks.</w:t>
      </w:r>
      <w:r>
        <w:t xml:space="preserve"> </w:t>
      </w:r>
      <w:r>
        <w:t xml:space="preserve">- Salazar et al. (2023,</w:t>
      </w:r>
      <w:r>
        <w:t xml:space="preserve"> </w:t>
      </w:r>
      <w:r>
        <w:rPr>
          <w:iCs/>
          <w:i/>
        </w:rPr>
        <w:t xml:space="preserve">Agricultural Economics</w:t>
      </w:r>
      <w:r>
        <w:t xml:space="preserve">): Chile.</w:t>
      </w:r>
      <w:r>
        <w:t xml:space="preserve"> </w:t>
      </w:r>
      <w:r>
        <w:t xml:space="preserve">- Song et al. (2026,</w:t>
      </w:r>
      <w:r>
        <w:t xml:space="preserve"> </w:t>
      </w:r>
      <w:r>
        <w:rPr>
          <w:iCs/>
          <w:i/>
        </w:rPr>
        <w:t xml:space="preserve">Agricultural Economics</w:t>
      </w:r>
      <w:r>
        <w:t xml:space="preserve">): Northern Nigeria.</w:t>
      </w:r>
      <w:r>
        <w:t xml:space="preserve"> </w:t>
      </w:r>
      <w:r>
        <w:t xml:space="preserve">- Bren d’Amour et al. (2016,</w:t>
      </w:r>
      <w:r>
        <w:t xml:space="preserve"> </w:t>
      </w:r>
      <w:r>
        <w:rPr>
          <w:iCs/>
          <w:i/>
        </w:rPr>
        <w:t xml:space="preserve">ERL</w:t>
      </w:r>
      <w:r>
        <w:t xml:space="preserve">): teleconnected supply shocks.</w:t>
      </w:r>
      <w:r>
        <w:t xml:space="preserve"> </w:t>
      </w:r>
      <w:r>
        <w:t xml:space="preserve">- Animashaun et al. (2026,</w:t>
      </w:r>
      <w:r>
        <w:t xml:space="preserve"> </w:t>
      </w:r>
      <w:r>
        <w:rPr>
          <w:iCs/>
          <w:i/>
        </w:rPr>
        <w:t xml:space="preserve">Ecological Economics</w:t>
      </w:r>
      <w:r>
        <w:t xml:space="preserve">): heat and consumption in Nigeria.</w:t>
      </w:r>
    </w:p>
    <w:bookmarkEnd w:id="22"/>
    <w:bookmarkStart w:id="23" w:name="citation-verification"/>
    <w:p>
      <w:pPr>
        <w:pStyle w:val="Heading1"/>
      </w:pPr>
      <w:r>
        <w:t xml:space="preserve">4. Citation verification</w:t>
      </w:r>
    </w:p>
    <w:p>
      <w:pPr>
        <w:pStyle w:val="FirstParagraph"/>
      </w:pPr>
      <w:r>
        <w:rPr>
          <w:bCs/>
          <w:b/>
        </w:rPr>
        <w:t xml:space="preserve">Verified</w:t>
      </w:r>
      <w:r>
        <w:t xml:space="preserve"> </w:t>
      </w:r>
      <w:r>
        <w:t xml:space="preserve">against Scopus export metadata or publisher and RePEc pages: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From the Scopus export:</w:t>
      </w:r>
      <w:r>
        <w:t xml:space="preserve"> </w:t>
      </w:r>
      <w:r>
        <w:t xml:space="preserve">Brown &amp; Kshirsagar 2015; Chen &amp; Villoria 2019; Baffes et al. 2019; Kakpo et al. 2022; Raleigh et al. 2015; Nino 2026; Villoria 2026.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From publisher or RePEc pages:</w:t>
      </w:r>
      <w:r>
        <w:t xml:space="preserve"> </w:t>
      </w:r>
      <w:r>
        <w:t xml:space="preserve">Okou et al. 2022; Letta et al. 2022; Jordà 2005; Athey et al. 2019; Hersbach et al. 2020; Adler et al. 2018; Cameron et al. 2011; Holm 1979.</w:t>
      </w:r>
    </w:p>
    <w:p>
      <w:pPr>
        <w:pStyle w:val="FirstParagraph"/>
      </w:pPr>
      <w:r>
        <w:rPr>
          <w:bCs/>
          <w:b/>
        </w:rPr>
        <w:t xml:space="preserve">[VERIFY] before submission:</w:t>
      </w:r>
      <w:r>
        <w:t xml:space="preserve"> </w:t>
      </w:r>
      <w:r>
        <w:t xml:space="preserve">1. Kotz et al. (2024),</w:t>
      </w:r>
      <w:r>
        <w:t xml:space="preserve"> </w:t>
      </w:r>
      <w:r>
        <w:rPr>
          <w:iCs/>
          <w:i/>
        </w:rPr>
        <w:t xml:space="preserve">Communications Earth &amp; Environment</w:t>
      </w:r>
      <w:r>
        <w:t xml:space="preserve"> </w:t>
      </w:r>
      <w:r>
        <w:t xml:space="preserve">5: the article number. The DOI 10.1038/s43247-023-01173-x is verified.</w:t>
      </w:r>
      <w:r>
        <w:t xml:space="preserve"> </w:t>
      </w:r>
      <w:r>
        <w:t xml:space="preserve">2. Adler et al. (2018): the full author list (shortened to</w:t>
      </w:r>
      <w:r>
        <w:t xml:space="preserve"> </w:t>
      </w:r>
      <w:r>
        <w:t xml:space="preserve">“</w:t>
      </w:r>
      <w:r>
        <w:t xml:space="preserve">et al.</w:t>
      </w:r>
      <w:r>
        <w:t xml:space="preserve">”</w:t>
      </w:r>
      <w:r>
        <w:t xml:space="preserve"> </w:t>
      </w:r>
      <w:r>
        <w:t xml:space="preserve">in the draft).</w:t>
      </w:r>
      <w:r>
        <w:t xml:space="preserve"> </w:t>
      </w:r>
      <w:r>
        <w:t xml:space="preserve">3. The</w:t>
      </w:r>
      <w:r>
        <w:t xml:space="preserve"> </w:t>
      </w:r>
      <w:r>
        <w:rPr>
          <w:iCs/>
          <w:i/>
        </w:rPr>
        <w:t xml:space="preserve">Food Policy</w:t>
      </w:r>
      <w:r>
        <w:t xml:space="preserve"> </w:t>
      </w:r>
      <w:r>
        <w:t xml:space="preserve">word limit and reference style (author–year assumed).</w:t>
      </w:r>
    </w:p>
    <w:bookmarkEnd w:id="23"/>
    <w:bookmarkStart w:id="24" w:name="referee-memo-the-five-weakest-points"/>
    <w:p>
      <w:pPr>
        <w:pStyle w:val="Heading1"/>
      </w:pPr>
      <w:r>
        <w:t xml:space="preserve">5. Referee memo: the five weakest points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Selection on observables with weather is standard; what is new?</w:t>
      </w:r>
      <w:r>
        <w:rPr>
          <w:bCs/>
          <w:b/>
        </w:rPr>
        <w:t xml:space="preserve">”</w:t>
      </w:r>
      <w:r>
        <w:t xml:space="preserve"> </w:t>
      </w:r>
      <w:r>
        <w:t xml:space="preserve">Lead the introduction with the tradability gradient and the out-of-sample heterogeneity, not with the average effect. The average effect of about 1% confirms prior work; the who-pays result and the forest calibration (2.16% vs. about 0.5%) are the contribution. Okou et al. (2022) is the natural foil: imported staples follow world prices, local staples follow local weather.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Weather is measured at the market, not over its supply area.</w:t>
      </w:r>
      <w:r>
        <w:rPr>
          <w:bCs/>
          <w:b/>
        </w:rPr>
        <w:t xml:space="preserve">”</w:t>
      </w:r>
      <w:r>
        <w:t xml:space="preserve"> </w:t>
      </w:r>
      <w:r>
        <w:t xml:space="preserve">This attenuates δ_h toward zero, so the estimates are conservative. A strong revision would compute W over a 100–200 km buffer, or over cropland within the market’s catchment. The ERA5 grids already downloaded make this a short extension in</w:t>
      </w:r>
      <w:r>
        <w:t xml:space="preserve"> </w:t>
      </w:r>
      <w:r>
        <w:rPr>
          <w:rStyle w:val="VerbatimChar"/>
        </w:rPr>
        <w:t xml:space="preserve">04_build_wfp_panel.py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Policy moderators are insignificant.</w:t>
      </w:r>
      <w:r>
        <w:rPr>
          <w:bCs/>
          <w:b/>
        </w:rPr>
        <w:t xml:space="preserve">”</w:t>
      </w:r>
      <w:r>
        <w:t xml:space="preserve"> </w:t>
      </w:r>
      <w:r>
        <w:t xml:space="preserve">They are near their MDEs (import dependence −0.28 vs. MDE 0.46; remoteness +0.19 vs. MDE 0.30). Better measures would sharpen them: time-varying import shares, and travel time rather than straight-line distance. The</w:t>
      </w:r>
      <w:r>
        <w:t xml:space="preserve"> </w:t>
      </w:r>
      <w:r>
        <w:rPr>
          <w:rStyle w:val="VerbatimChar"/>
        </w:rPr>
        <w:t xml:space="preserve">malariaatlas.org</w:t>
      </w:r>
      <w:r>
        <w:t xml:space="preserve"> </w:t>
      </w:r>
      <w:r>
        <w:t xml:space="preserve">access you added covers the main domain but not</w:t>
      </w:r>
      <w:r>
        <w:t xml:space="preserve"> </w:t>
      </w:r>
      <w:r>
        <w:rPr>
          <w:rStyle w:val="VerbatimChar"/>
        </w:rPr>
        <w:t xml:space="preserve">data.malariaatlas.org</w:t>
      </w:r>
      <w:r>
        <w:t xml:space="preserve">; adding that subdomain allows the Weiss et al. (2018) travel-time raster.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The root-and-tuber price response has no production counterpart.</w:t>
      </w:r>
      <w:r>
        <w:rPr>
          <w:bCs/>
          <w:b/>
        </w:rPr>
        <w:t xml:space="preserve">”</w:t>
      </w:r>
      <w:r>
        <w:t xml:space="preserve"> </w:t>
      </w:r>
      <w:r>
        <w:t xml:space="preserve">State the substitution channel as a hypothesis. A test is whether root prices respond more where cereals dominate the diet. That is a single interaction using the calorie shares already computed.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Why not causal pass-through of world prices?</w:t>
      </w:r>
      <w:r>
        <w:rPr>
          <w:bCs/>
          <w:b/>
        </w:rPr>
        <w:t xml:space="preserve">”</w:t>
      </w:r>
      <w:r>
        <w:t xml:space="preserve"> </w:t>
      </w:r>
      <w:r>
        <w:t xml:space="preserve">Section 4.5 discloses the weak exporter-weather instrument. Put the full first-stage and Anderson–Rubin results in the Online Appendix (</w:t>
      </w:r>
      <w:r>
        <w:rPr>
          <w:rStyle w:val="VerbatimChar"/>
        </w:rPr>
        <w:t xml:space="preserve">empirics/output/RESULTS_first_stage.md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RESULTS_main.md</w:t>
      </w:r>
      <w:r>
        <w:t xml:space="preserve">). Referees reward disclosed failed designs more than they penalize them.</w:t>
      </w:r>
    </w:p>
    <w:bookmarkEnd w:id="24"/>
    <w:bookmarkStart w:id="25" w:name="reproducibility"/>
    <w:p>
      <w:pPr>
        <w:pStyle w:val="Heading1"/>
      </w:pPr>
      <w:r>
        <w:t xml:space="preserve">6. Reproducibility</w:t>
      </w:r>
    </w:p>
    <w:p>
      <w:pPr>
        <w:pStyle w:val="FirstParagraph"/>
      </w:pPr>
      <w:r>
        <w:t xml:space="preserve">Every number in the draft is generated from</w:t>
      </w:r>
      <w:r>
        <w:t xml:space="preserve"> </w:t>
      </w:r>
      <w:r>
        <w:rPr>
          <w:rStyle w:val="VerbatimChar"/>
        </w:rPr>
        <w:t xml:space="preserve">empirics/output/tables/*.csv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manuscript/build.py</w:t>
      </w:r>
      <w:r>
        <w:t xml:space="preserve">, so re-running the pipeline updates the tables automatically.</w:t>
      </w:r>
    </w:p>
    <w:p>
      <w:pPr>
        <w:pStyle w:val="BodyText"/>
      </w:pPr>
      <w:r>
        <w:t xml:space="preserve">The pre-analysis plan (</w:t>
      </w:r>
      <w:r>
        <w:rPr>
          <w:rStyle w:val="VerbatimChar"/>
        </w:rPr>
        <w:t xml:space="preserve">empirics/PAP_local_weather.md</w:t>
      </w:r>
      <w:r>
        <w:t xml:space="preserve">) and its Addendum A carry git timestamps that precede the corresponding estimates:</w:t>
      </w:r>
      <w:r>
        <w:t xml:space="preserve"> </w:t>
      </w:r>
      <w:r>
        <w:t xml:space="preserve">- PAP: commit af071f3;</w:t>
      </w:r>
      <w:r>
        <w:t xml:space="preserve"> </w:t>
      </w:r>
      <w:r>
        <w:t xml:space="preserve">- Addendum A: commit e5e0ed8.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for authors: audit, literature screen and referee memo</dc:title>
  <dc:creator/>
  <cp:keywords/>
  <dcterms:created xsi:type="dcterms:W3CDTF">2026-10-07T15:07:48Z</dcterms:created>
  <dcterms:modified xsi:type="dcterms:W3CDTF">2026-10-07T15:07:48Z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Companion to Empirical_section_Food_Policy_draft.docx</vt:lpwstr>
  </property>
</Properties>
</file>