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24"/>
        </w:rPr>
        <w:t>ROYAUME DU MAROC</w:t>
        <w:br/>
        <w:t>ÉCOLE DES SCIENCES DE L'INFORMATION (ESI) — RABAT</w:t>
        <w:br/>
      </w:r>
      <w:r>
        <w:rPr>
          <w:color w:val="718096"/>
          <w:sz w:val="20"/>
        </w:rPr>
        <w:t>Cycle Ingénieur d'État en Ingénierie des Connaissances &amp; Science des Données</w:t>
        <w:br/>
        <w:t>Année Universitaire : 2025 – 2026</w:t>
        <w:br/>
        <w:br/>
        <w:br/>
      </w:r>
    </w:p>
    <w:p>
      <w:pPr>
        <w:jc w:val="center"/>
      </w:pPr>
      <w:r>
        <w:rPr>
          <w:b/>
          <w:color w:val="2B6CB0"/>
          <w:sz w:val="28"/>
        </w:rPr>
        <w:t>MÉMOIRE DE PROJET DE FIN D'ANNÉE (PFA)</w:t>
      </w:r>
    </w:p>
    <w:p>
      <w:pPr>
        <w:jc w:val="center"/>
      </w:pPr>
      <w:r>
        <w:rPr>
          <w:b/>
          <w:color w:val="1B4D3E"/>
          <w:sz w:val="34"/>
        </w:rPr>
        <w:br/>
        <w:t>CONCEPTION ET DÉPLOIEMENT D'UNE PLATEFORME D'INTELLIGENCE ÉCONOMIQUE ET DE VEILLE CONCURRENTIELLE PAR AGENTS IA AUTONOMES (LLM, LANGGRAPH &amp; RAG VECTORIEL)</w:t>
        <w:br/>
        <w:br/>
      </w:r>
    </w:p>
    <w:p>
      <w:pPr>
        <w:jc w:val="center"/>
      </w:pPr>
      <w:r>
        <w:rPr>
          <w:b/>
          <w:color w:val="1A202C"/>
          <w:sz w:val="26"/>
        </w:rPr>
        <w:t>Organisme d'accueil :</w:t>
        <w:br/>
        <w:t>DOMSEED — GROUPE LES DOMAINES AGRICOLES</w:t>
        <w:br/>
        <w:br/>
        <w:br/>
      </w:r>
    </w:p>
    <w:tbl>
      <w:tblPr>
        <w:tblW w:type="auto" w:w="0"/>
        <w:jc w:val="center"/>
        <w:tblLook w:firstColumn="1" w:firstRow="1" w:lastColumn="0" w:lastRow="0" w:noHBand="0" w:noVBand="1" w:val="04A0"/>
      </w:tblPr>
      <w:tblGrid>
        <w:gridCol w:w="4680"/>
        <w:gridCol w:w="4680"/>
      </w:tblGrid>
      <w:tr>
        <w:tc>
          <w:tcPr>
            <w:tcW w:type="dxa" w:w="4680"/>
            <w:shd w:fill="F7FAFC"/>
            <w:tcMar>
              <w:top w:w="120" w:type="dxa"/>
              <w:bottom w:w="120" w:type="dxa"/>
              <w:left w:w="180" w:type="dxa"/>
              <w:right w:w="180" w:type="dxa"/>
            </w:tcMar>
          </w:tcPr>
          <w:p>
            <w:r>
              <w:rPr>
                <w:b/>
              </w:rPr>
              <w:t>Réalisé par :</w:t>
              <w:br/>
            </w:r>
            <w:r>
              <w:rPr>
                <w:b/>
              </w:rPr>
              <w:t>M. Abdeljalil IDA L'AHAJ</w:t>
              <w:br/>
            </w:r>
            <w:r>
              <w:t>Élève Ingénieur en IA &amp; Data Science</w:t>
            </w:r>
          </w:p>
        </w:tc>
        <w:tc>
          <w:tcPr>
            <w:tcW w:type="dxa" w:w="4680"/>
            <w:shd w:fill="F7FAFC"/>
            <w:tcMar>
              <w:top w:w="120" w:type="dxa"/>
              <w:bottom w:w="120" w:type="dxa"/>
              <w:left w:w="180" w:type="dxa"/>
              <w:right w:w="180" w:type="dxa"/>
            </w:tcMar>
          </w:tcPr>
          <w:p>
            <w:r>
              <w:rPr>
                <w:b/>
              </w:rPr>
              <w:t>Encadré par :</w:t>
              <w:br/>
            </w:r>
            <w:r>
              <w:rPr>
                <w:b/>
              </w:rPr>
              <w:t>M. Omar MANESSOURI</w:t>
              <w:br/>
            </w:r>
            <w:r>
              <w:t>Encadrant Professionnel — Domseed</w:t>
            </w:r>
          </w:p>
        </w:tc>
      </w:tr>
      <w:tr>
        <w:tc>
          <w:tcPr>
            <w:tcW w:type="dxa" w:w="4680"/>
            <w:shd w:fill="F7FAFC"/>
            <w:tcMar>
              <w:top w:w="120" w:type="dxa"/>
              <w:bottom w:w="120" w:type="dxa"/>
              <w:left w:w="180" w:type="dxa"/>
              <w:right w:w="180" w:type="dxa"/>
            </w:tcMar>
          </w:tcPr>
          <w:p>
            <w:r>
              <w:rPr>
                <w:b/>
              </w:rPr>
              <w:t>Filière :</w:t>
            </w:r>
            <w:r>
              <w:t xml:space="preserve"> IA &amp; Sciences des Données</w:t>
            </w:r>
          </w:p>
        </w:tc>
        <w:tc>
          <w:tcPr>
            <w:tcW w:type="dxa" w:w="4680"/>
            <w:shd w:fill="F7FAFC"/>
            <w:tcMar>
              <w:top w:w="120" w:type="dxa"/>
              <w:bottom w:w="120" w:type="dxa"/>
              <w:left w:w="180" w:type="dxa"/>
              <w:right w:w="180" w:type="dxa"/>
            </w:tcMar>
          </w:tcPr>
          <w:p>
            <w:r>
              <w:rPr>
                <w:b/>
              </w:rPr>
              <w:t>Encadrant Pédagogique :</w:t>
            </w:r>
            <w:r>
              <w:t xml:space="preserve"> Professeur ESI</w:t>
            </w:r>
          </w:p>
        </w:tc>
      </w:tr>
    </w:tbl>
    <w:p>
      <w:r>
        <w:br w:type="page"/>
      </w:r>
    </w:p>
    <w:p>
      <w:pPr>
        <w:pStyle w:val="Heading1"/>
      </w:pPr>
      <w:r>
        <w:rPr>
          <w:color w:val="1B4D3E"/>
        </w:rPr>
        <w:t>Dédicace</w:t>
      </w:r>
    </w:p>
    <w:p>
      <w:pPr>
        <w:spacing w:before="400" w:line="312" w:lineRule="auto"/>
      </w:pPr>
      <w:r>
        <w:rPr>
          <w:i/>
        </w:rPr>
        <w:t>À mes très chers parents,</w:t>
        <w:br/>
        <w:t>Pour votre amour inconditionnel, vos sacrifices sans fin et vos prières constantes qui ont éclairé mon chemin vers l'excellence.</w:t>
        <w:br/>
        <w:br/>
        <w:t>À mes frères et sœurs, à ma famille,</w:t>
        <w:br/>
        <w:t>Pour votre présence réconfortante et votre soutien indéfectible tout au long de mes études.</w:t>
        <w:br/>
        <w:br/>
        <w:t>À l'ensemble du corps professoral de l'École des Sciences de l'Information (ESI),</w:t>
        <w:br/>
        <w:t>Pour la qualité remarquable de la formation d'ingénieur transmise.</w:t>
        <w:br/>
        <w:br/>
        <w:t>À mes amis et collègues de promotion,</w:t>
        <w:br/>
        <w:t>En souvenir de nos années de partage, d'entraide et d'ambition commune.</w:t>
        <w:br/>
        <w:br/>
      </w:r>
    </w:p>
    <w:p>
      <w:pPr>
        <w:jc w:val="right"/>
      </w:pPr>
      <w:r>
        <w:rPr>
          <w:b/>
        </w:rPr>
        <w:t>— Abdeljalil IDA L'AHAJ</w:t>
      </w:r>
    </w:p>
    <w:p>
      <w:r>
        <w:br w:type="page"/>
      </w:r>
    </w:p>
    <w:p>
      <w:pPr>
        <w:pStyle w:val="Heading1"/>
      </w:pPr>
      <w:r>
        <w:rPr>
          <w:color w:val="1B4D3E"/>
        </w:rPr>
        <w:t>Remerciements</w:t>
      </w:r>
    </w:p>
    <w:p>
      <w:pPr>
        <w:spacing w:line="300" w:lineRule="auto"/>
      </w:pPr>
      <w:r>
        <w:t xml:space="preserve">Je souhaite exprimer ma profonde gratitude à mon encadrant professionnel, </w:t>
      </w:r>
      <w:r>
        <w:rPr>
          <w:b/>
        </w:rPr>
        <w:t>M. Omar MANESSOURI</w:t>
      </w:r>
      <w:r>
        <w:t xml:space="preserve">, pour m'avoir accueilli au sein de </w:t>
      </w:r>
      <w:r>
        <w:rPr>
          <w:b/>
        </w:rPr>
        <w:t>Domseed — Les Domaines Agricoles</w:t>
      </w:r>
      <w:r>
        <w:t>, pour sa confiance accordée, ses précieux conseils stratégiques et son accompagnement bienveillant tout au long de ce projet de fin d'année.</w:t>
        <w:br/>
        <w:br/>
        <w:t>Mes remerciements s'adressent également à l'ensemble des collaborateurs du Groupe Les Domaines Agricoles pour leur accueil chaleureux, leur disponibilité et la richesse des échanges métiers qui ont permis d'ancrer cette plateforme d'intelligence économique au cœur des besoins réels de l'entreprise.</w:t>
        <w:br/>
        <w:br/>
        <w:t>J'exprime ma sincère reconnaissance à mon encadrant pédagogique de l'École des Sciences de l'Information (ESI) pour son encadrement rigoureux et ses orientations scientifiques avisées.</w:t>
        <w:br/>
        <w:br/>
        <w:t>Enfin, je remercie chaleureusement les membres du jury d'évaluation pour l'honneur qu'ils me font d'examiner et d'évaluer ce travail d'ingénierie.</w:t>
      </w:r>
    </w:p>
    <w:p>
      <w:r>
        <w:br w:type="page"/>
      </w:r>
    </w:p>
    <w:p>
      <w:pPr>
        <w:pStyle w:val="Heading1"/>
      </w:pPr>
      <w:r>
        <w:rPr>
          <w:color w:val="1B4D3E"/>
        </w:rPr>
        <w:t>Résumé</w:t>
      </w:r>
    </w:p>
    <w:p>
      <w:pPr>
        <w:spacing w:line="276" w:lineRule="auto"/>
      </w:pPr>
      <w:r>
        <w:t>Dans un secteur agro-industriel mondialisé et hautement concurrentiel, la veille stratégique et l'intelligence de marché représentent des leviers capitaux pour la prise de décision. Cependant, les méthodes traditionnelles de collecte de données souffrent d'une lenteur importante et d'une couverture fragmentaire.</w:t>
        <w:br/>
        <w:br/>
        <w:t>Ce projet de fin d'année, réalisé au sein de Domseed (Groupe Les Domaines Agricoles), a pour objectif la conception et le déploiement d'AgriIntel, une plateforme d'intelligence économique propulsée par des agents IA autonomes (LangGraph, LLaMA 3.3 70B via Groq et Ollama local). Le système intègre un planificateur de requêtes (QueryPlanner), un scraper résilient (Playwright / Trafilatura), une mémoire RAG vectorielle sous SQLite, un algorithme de résolution d'entités canoniques (EntityResolver), un générateur de diagnostics stratégiques (SWOT, Porter, PESTEL) et un dashboard décisionnel interactif sous Streamlit et FastAPI conteneurisé avec Docker. Les évaluations démontrent un gain de temps de 85% et une précision de qualification supérieure à 92% validée par 38 tests unitaires.</w:t>
        <w:br/>
        <w:br/>
      </w:r>
      <w:r>
        <w:rPr>
          <w:b/>
        </w:rPr>
        <w:t xml:space="preserve">Mots-clés : </w:t>
      </w:r>
      <w:r>
        <w:t>Agents IA, LangGraph, LLM, RAG Vectoriel, Scraping Web, Résolution d'Entités, Matrice SWOT, Agro-industrie, FastAPI, Streamlit, Docker.</w:t>
      </w:r>
    </w:p>
    <w:p>
      <w:pPr>
        <w:pStyle w:val="Heading1"/>
      </w:pPr>
      <w:r>
        <w:rPr>
          <w:color w:val="1B4D3E"/>
        </w:rPr>
        <w:t>Abstract</w:t>
      </w:r>
    </w:p>
    <w:p>
      <w:pPr>
        <w:spacing w:line="276" w:lineRule="auto"/>
      </w:pPr>
      <w:r>
        <w:t>In a globalized agribusiness environment, market intelligence is an essential driver for strategic decision-making. Traditional manual market research suffers from high latency and fragmented coverage. This graduation internship project at Domseed (Les Domaines Agricoles) designs and deploys AgriIntel, an enterprise competitive intelligence platform powered by autonomous AI agents (LangGraph, LLaMA 3.3 70B via Groq and local Ollama). The architecture features a QueryPlanner, resilient scraping (Playwright / Trafilatura), asynchronous vector RAG memory (SQLite), canonical entity resolution (EntityResolver), automated strategic reporting (SWOT, Porter, PESTEL), and a Streamlit/FastAPI interactive dashboard containerized with Docker. Results demonstrate an 85% lead time reduction and over 92% qualification accuracy backed by 38 automated unit tests.</w:t>
        <w:br/>
        <w:br/>
      </w:r>
      <w:r>
        <w:rPr>
          <w:b/>
        </w:rPr>
        <w:t xml:space="preserve">Keywords : </w:t>
      </w:r>
      <w:r>
        <w:t>Autonomous AI Agents, LangGraph, LLM, Vector RAG, Web Scraping, Entity Resolution, SWOT Analysis, Agribusiness, FastAPI, Streamlit, Docker.</w:t>
      </w:r>
    </w:p>
    <w:p>
      <w:r>
        <w:br w:type="page"/>
      </w:r>
    </w:p>
    <w:p>
      <w:pPr>
        <w:pStyle w:val="Heading1"/>
      </w:pPr>
      <w:r>
        <w:rPr>
          <w:color w:val="1B4D3E"/>
        </w:rPr>
        <w:t>Liste des Abréviations</w:t>
      </w:r>
    </w:p>
    <w:tbl>
      <w:tblPr>
        <w:tblW w:type="auto" w:w="0"/>
        <w:jc w:val="center"/>
        <w:tblLook w:firstColumn="1" w:firstRow="1" w:lastColumn="0" w:lastRow="0" w:noHBand="0" w:noVBand="1" w:val="04A0"/>
      </w:tblPr>
      <w:tblGrid>
        <w:gridCol w:w="4680"/>
        <w:gridCol w:w="4680"/>
      </w:tblGrid>
      <w:tr>
        <w:tc>
          <w:tcPr>
            <w:tcW w:type="dxa" w:w="4680"/>
            <w:shd w:fill="1B4D3E"/>
          </w:tcPr>
          <w:p>
            <w:r>
              <w:rPr>
                <w:b/>
                <w:color w:val="FFFFFF"/>
              </w:rPr>
              <w:t>Sigle</w:t>
            </w:r>
          </w:p>
        </w:tc>
        <w:tc>
          <w:tcPr>
            <w:tcW w:type="dxa" w:w="4680"/>
            <w:shd w:fill="1B4D3E"/>
          </w:tcPr>
          <w:p>
            <w:r>
              <w:rPr>
                <w:b/>
                <w:color w:val="FFFFFF"/>
              </w:rPr>
              <w:t>Signification Complète</w:t>
            </w:r>
          </w:p>
        </w:tc>
      </w:tr>
      <w:tr>
        <w:tc>
          <w:tcPr>
            <w:tcW w:type="dxa" w:w="4680"/>
            <w:shd w:fill="F7FAFC"/>
          </w:tcPr>
          <w:p>
            <w:r>
              <w:rPr>
                <w:b/>
              </w:rPr>
              <w:t>API</w:t>
            </w:r>
          </w:p>
        </w:tc>
        <w:tc>
          <w:tcPr>
            <w:tcW w:type="dxa" w:w="4680"/>
            <w:shd w:fill="FFFFFF"/>
          </w:tcPr>
          <w:p>
            <w:r>
              <w:t>Application Programming Interface</w:t>
            </w:r>
          </w:p>
        </w:tc>
      </w:tr>
      <w:tr>
        <w:tc>
          <w:tcPr>
            <w:tcW w:type="dxa" w:w="4680"/>
            <w:shd w:fill="F7FAFC"/>
          </w:tcPr>
          <w:p>
            <w:r>
              <w:rPr>
                <w:b/>
              </w:rPr>
              <w:t>CRUD</w:t>
            </w:r>
          </w:p>
        </w:tc>
        <w:tc>
          <w:tcPr>
            <w:tcW w:type="dxa" w:w="4680"/>
            <w:shd w:fill="FFFFFF"/>
          </w:tcPr>
          <w:p>
            <w:r>
              <w:t>Create, Read, Update, Delete</w:t>
            </w:r>
          </w:p>
        </w:tc>
      </w:tr>
      <w:tr>
        <w:tc>
          <w:tcPr>
            <w:tcW w:type="dxa" w:w="4680"/>
            <w:shd w:fill="F7FAFC"/>
          </w:tcPr>
          <w:p>
            <w:r>
              <w:rPr>
                <w:b/>
              </w:rPr>
              <w:t>CSE</w:t>
            </w:r>
          </w:p>
        </w:tc>
        <w:tc>
          <w:tcPr>
            <w:tcW w:type="dxa" w:w="4680"/>
            <w:shd w:fill="FFFFFF"/>
          </w:tcPr>
          <w:p>
            <w:r>
              <w:t>Google Custom Search Engine</w:t>
            </w:r>
          </w:p>
        </w:tc>
      </w:tr>
      <w:tr>
        <w:tc>
          <w:tcPr>
            <w:tcW w:type="dxa" w:w="4680"/>
            <w:shd w:fill="F7FAFC"/>
          </w:tcPr>
          <w:p>
            <w:r>
              <w:rPr>
                <w:b/>
              </w:rPr>
              <w:t>EDA</w:t>
            </w:r>
          </w:p>
        </w:tc>
        <w:tc>
          <w:tcPr>
            <w:tcW w:type="dxa" w:w="4680"/>
            <w:shd w:fill="FFFFFF"/>
          </w:tcPr>
          <w:p>
            <w:r>
              <w:t>Exploratory Data Analysis</w:t>
            </w:r>
          </w:p>
        </w:tc>
      </w:tr>
      <w:tr>
        <w:tc>
          <w:tcPr>
            <w:tcW w:type="dxa" w:w="4680"/>
            <w:shd w:fill="F7FAFC"/>
          </w:tcPr>
          <w:p>
            <w:r>
              <w:rPr>
                <w:b/>
              </w:rPr>
              <w:t>ESI</w:t>
            </w:r>
          </w:p>
        </w:tc>
        <w:tc>
          <w:tcPr>
            <w:tcW w:type="dxa" w:w="4680"/>
            <w:shd w:fill="FFFFFF"/>
          </w:tcPr>
          <w:p>
            <w:r>
              <w:t>École des Sciences de l'Information</w:t>
            </w:r>
          </w:p>
        </w:tc>
      </w:tr>
      <w:tr>
        <w:tc>
          <w:tcPr>
            <w:tcW w:type="dxa" w:w="4680"/>
            <w:shd w:fill="F7FAFC"/>
          </w:tcPr>
          <w:p>
            <w:r>
              <w:rPr>
                <w:b/>
              </w:rPr>
              <w:t>GAP</w:t>
            </w:r>
          </w:p>
        </w:tc>
        <w:tc>
          <w:tcPr>
            <w:tcW w:type="dxa" w:w="4680"/>
            <w:shd w:fill="FFFFFF"/>
          </w:tcPr>
          <w:p>
            <w:r>
              <w:t>Good Agricultural Practices (GlobalG.A.P.)</w:t>
            </w:r>
          </w:p>
        </w:tc>
      </w:tr>
      <w:tr>
        <w:tc>
          <w:tcPr>
            <w:tcW w:type="dxa" w:w="4680"/>
            <w:shd w:fill="F7FAFC"/>
          </w:tcPr>
          <w:p>
            <w:r>
              <w:rPr>
                <w:b/>
              </w:rPr>
              <w:t>IA</w:t>
            </w:r>
          </w:p>
        </w:tc>
        <w:tc>
          <w:tcPr>
            <w:tcW w:type="dxa" w:w="4680"/>
            <w:shd w:fill="FFFFFF"/>
          </w:tcPr>
          <w:p>
            <w:r>
              <w:t>Intelligence Artificielle</w:t>
            </w:r>
          </w:p>
        </w:tc>
      </w:tr>
      <w:tr>
        <w:tc>
          <w:tcPr>
            <w:tcW w:type="dxa" w:w="4680"/>
            <w:shd w:fill="F7FAFC"/>
          </w:tcPr>
          <w:p>
            <w:r>
              <w:rPr>
                <w:b/>
              </w:rPr>
              <w:t>JSON</w:t>
            </w:r>
          </w:p>
        </w:tc>
        <w:tc>
          <w:tcPr>
            <w:tcW w:type="dxa" w:w="4680"/>
            <w:shd w:fill="FFFFFF"/>
          </w:tcPr>
          <w:p>
            <w:r>
              <w:t>JavaScript Object Notation</w:t>
            </w:r>
          </w:p>
        </w:tc>
      </w:tr>
      <w:tr>
        <w:tc>
          <w:tcPr>
            <w:tcW w:type="dxa" w:w="4680"/>
            <w:shd w:fill="F7FAFC"/>
          </w:tcPr>
          <w:p>
            <w:r>
              <w:rPr>
                <w:b/>
              </w:rPr>
              <w:t>JWT</w:t>
            </w:r>
          </w:p>
        </w:tc>
        <w:tc>
          <w:tcPr>
            <w:tcW w:type="dxa" w:w="4680"/>
            <w:shd w:fill="FFFFFF"/>
          </w:tcPr>
          <w:p>
            <w:r>
              <w:t>JSON Web Token</w:t>
            </w:r>
          </w:p>
        </w:tc>
      </w:tr>
      <w:tr>
        <w:tc>
          <w:tcPr>
            <w:tcW w:type="dxa" w:w="4680"/>
            <w:shd w:fill="F7FAFC"/>
          </w:tcPr>
          <w:p>
            <w:r>
              <w:rPr>
                <w:b/>
              </w:rPr>
              <w:t>KPI</w:t>
            </w:r>
          </w:p>
        </w:tc>
        <w:tc>
          <w:tcPr>
            <w:tcW w:type="dxa" w:w="4680"/>
            <w:shd w:fill="FFFFFF"/>
          </w:tcPr>
          <w:p>
            <w:r>
              <w:t>Key Performance Indicator</w:t>
            </w:r>
          </w:p>
        </w:tc>
      </w:tr>
      <w:tr>
        <w:tc>
          <w:tcPr>
            <w:tcW w:type="dxa" w:w="4680"/>
            <w:shd w:fill="F7FAFC"/>
          </w:tcPr>
          <w:p>
            <w:r>
              <w:rPr>
                <w:b/>
              </w:rPr>
              <w:t>LLM</w:t>
            </w:r>
          </w:p>
        </w:tc>
        <w:tc>
          <w:tcPr>
            <w:tcW w:type="dxa" w:w="4680"/>
            <w:shd w:fill="FFFFFF"/>
          </w:tcPr>
          <w:p>
            <w:r>
              <w:t>Large Language Model (Grand Modèle de Langage)</w:t>
            </w:r>
          </w:p>
        </w:tc>
      </w:tr>
      <w:tr>
        <w:tc>
          <w:tcPr>
            <w:tcW w:type="dxa" w:w="4680"/>
            <w:shd w:fill="F7FAFC"/>
          </w:tcPr>
          <w:p>
            <w:r>
              <w:rPr>
                <w:b/>
              </w:rPr>
              <w:t>PESTEL</w:t>
            </w:r>
          </w:p>
        </w:tc>
        <w:tc>
          <w:tcPr>
            <w:tcW w:type="dxa" w:w="4680"/>
            <w:shd w:fill="FFFFFF"/>
          </w:tcPr>
          <w:p>
            <w:r>
              <w:t>Politique, Économique, Sociologique, Technologique, Écologique, Légal</w:t>
            </w:r>
          </w:p>
        </w:tc>
      </w:tr>
      <w:tr>
        <w:tc>
          <w:tcPr>
            <w:tcW w:type="dxa" w:w="4680"/>
            <w:shd w:fill="F7FAFC"/>
          </w:tcPr>
          <w:p>
            <w:r>
              <w:rPr>
                <w:b/>
              </w:rPr>
              <w:t>PFA</w:t>
            </w:r>
          </w:p>
        </w:tc>
        <w:tc>
          <w:tcPr>
            <w:tcW w:type="dxa" w:w="4680"/>
            <w:shd w:fill="FFFFFF"/>
          </w:tcPr>
          <w:p>
            <w:r>
              <w:t>Projet de Fin d'Année</w:t>
            </w:r>
          </w:p>
        </w:tc>
      </w:tr>
      <w:tr>
        <w:tc>
          <w:tcPr>
            <w:tcW w:type="dxa" w:w="4680"/>
            <w:shd w:fill="F7FAFC"/>
          </w:tcPr>
          <w:p>
            <w:r>
              <w:rPr>
                <w:b/>
              </w:rPr>
              <w:t>PME / TPE</w:t>
            </w:r>
          </w:p>
        </w:tc>
        <w:tc>
          <w:tcPr>
            <w:tcW w:type="dxa" w:w="4680"/>
            <w:shd w:fill="FFFFFF"/>
          </w:tcPr>
          <w:p>
            <w:r>
              <w:t>Petites et Moyennes Entreprises / Très Petites Entreprises</w:t>
            </w:r>
          </w:p>
        </w:tc>
      </w:tr>
      <w:tr>
        <w:tc>
          <w:tcPr>
            <w:tcW w:type="dxa" w:w="4680"/>
            <w:shd w:fill="F7FAFC"/>
          </w:tcPr>
          <w:p>
            <w:r>
              <w:rPr>
                <w:b/>
              </w:rPr>
              <w:t>RAG</w:t>
            </w:r>
          </w:p>
        </w:tc>
        <w:tc>
          <w:tcPr>
            <w:tcW w:type="dxa" w:w="4680"/>
            <w:shd w:fill="FFFFFF"/>
          </w:tcPr>
          <w:p>
            <w:r>
              <w:t>Retrieval-Augmented Generation</w:t>
            </w:r>
          </w:p>
        </w:tc>
      </w:tr>
      <w:tr>
        <w:tc>
          <w:tcPr>
            <w:tcW w:type="dxa" w:w="4680"/>
            <w:shd w:fill="F7FAFC"/>
          </w:tcPr>
          <w:p>
            <w:r>
              <w:rPr>
                <w:b/>
              </w:rPr>
              <w:t>REST</w:t>
            </w:r>
          </w:p>
        </w:tc>
        <w:tc>
          <w:tcPr>
            <w:tcW w:type="dxa" w:w="4680"/>
            <w:shd w:fill="FFFFFF"/>
          </w:tcPr>
          <w:p>
            <w:r>
              <w:t>Representational State Transfer</w:t>
            </w:r>
          </w:p>
        </w:tc>
      </w:tr>
      <w:tr>
        <w:tc>
          <w:tcPr>
            <w:tcW w:type="dxa" w:w="4680"/>
            <w:shd w:fill="F7FAFC"/>
          </w:tcPr>
          <w:p>
            <w:r>
              <w:rPr>
                <w:b/>
              </w:rPr>
              <w:t>SDK</w:t>
            </w:r>
          </w:p>
        </w:tc>
        <w:tc>
          <w:tcPr>
            <w:tcW w:type="dxa" w:w="4680"/>
            <w:shd w:fill="FFFFFF"/>
          </w:tcPr>
          <w:p>
            <w:r>
              <w:t>Software Development Kit</w:t>
            </w:r>
          </w:p>
        </w:tc>
      </w:tr>
      <w:tr>
        <w:tc>
          <w:tcPr>
            <w:tcW w:type="dxa" w:w="4680"/>
            <w:shd w:fill="F7FAFC"/>
          </w:tcPr>
          <w:p>
            <w:r>
              <w:rPr>
                <w:b/>
              </w:rPr>
              <w:t>SQL</w:t>
            </w:r>
          </w:p>
        </w:tc>
        <w:tc>
          <w:tcPr>
            <w:tcW w:type="dxa" w:w="4680"/>
            <w:shd w:fill="FFFFFF"/>
          </w:tcPr>
          <w:p>
            <w:r>
              <w:t>Structured Query Language</w:t>
            </w:r>
          </w:p>
        </w:tc>
      </w:tr>
      <w:tr>
        <w:tc>
          <w:tcPr>
            <w:tcW w:type="dxa" w:w="4680"/>
            <w:shd w:fill="F7FAFC"/>
          </w:tcPr>
          <w:p>
            <w:r>
              <w:rPr>
                <w:b/>
              </w:rPr>
              <w:t>SWOT</w:t>
            </w:r>
          </w:p>
        </w:tc>
        <w:tc>
          <w:tcPr>
            <w:tcW w:type="dxa" w:w="4680"/>
            <w:shd w:fill="FFFFFF"/>
          </w:tcPr>
          <w:p>
            <w:r>
              <w:t>Strengths, Weaknesses, Opportunities, Threats</w:t>
            </w:r>
          </w:p>
        </w:tc>
      </w:tr>
      <w:tr>
        <w:tc>
          <w:tcPr>
            <w:tcW w:type="dxa" w:w="4680"/>
            <w:shd w:fill="F7FAFC"/>
          </w:tcPr>
          <w:p>
            <w:r>
              <w:rPr>
                <w:b/>
              </w:rPr>
              <w:t>UML</w:t>
            </w:r>
          </w:p>
        </w:tc>
        <w:tc>
          <w:tcPr>
            <w:tcW w:type="dxa" w:w="4680"/>
            <w:shd w:fill="FFFFFF"/>
          </w:tcPr>
          <w:p>
            <w:r>
              <w:t>Unified Modeling Language</w:t>
            </w:r>
          </w:p>
        </w:tc>
      </w:tr>
    </w:tbl>
    <w:p>
      <w:r>
        <w:br w:type="page"/>
      </w:r>
    </w:p>
    <w:p>
      <w:pPr>
        <w:pStyle w:val="Heading1"/>
      </w:pPr>
      <w:r>
        <w:t>Introduction Générale</w:t>
      </w:r>
    </w:p>
    <w:p>
      <w:pPr>
        <w:spacing w:line="288" w:lineRule="auto"/>
      </w:pPr>
      <w:r>
        <w:t>Le secteur agro-industriel mondial et marocain traverse une phase de mutation sans précédent. L'intensification du stress hydrique, la volatilité des marchés internationaux, la transition vers l'agriculture régénératrice et la digitalisation accélérée imposent aux grands groupes agricoles une réactivité stratégique absolue. Pour maintenir son leadership dans les filières à haute valeur ajoutée (sélection variétale, agrumes, maraîchage d'export, arboriculture, fertilisation de précision), une entreprise agro-industrielle de premier plan doit impérativement disposer d'une vision panoramique, fiable et continue de son environnement concurrentiel.</w:t>
        <w:br/>
        <w:br/>
        <w:t>Historiquement, l'intelligence économique et la veille stratégique reposaient sur des méthodes artisanales : revues de presse manuelles, consultations sporadiques de registres sectoriels, achats d'études de marché coûteuses mais rapidement obsolètes, ou veille non structurée sur le Web. Ces approches conventionnelles présentent des faiblesses critiques : un temps de traitement prohibitif (plusieurs jours pour cartographier un segment), un biais de couverture important, une incapacité à suivre la dynamique des startups AgTech, et un risque élevé d'obsolescence de l'information.</w:t>
        <w:br/>
        <w:br/>
        <w:t>L'avènement récent des Grands Modèles de Langage (LLM) et plus particulièrement du paradigme des Systèmes Agentiques Autonomes (Agentic AI) ouvre une rupture technologique majeure. Contrairement à un simple chatbot qui se contente de reformuler des connaissances figées, un Agent IA Autonome est doté de capacités d'observation, de planification stratégique, d'utilisation d'outils externes (Tool-Calling), de mémoire sémantique et d'auto-correction.</w:t>
        <w:br/>
        <w:br/>
        <w:t>C'est dans ce cadre d'innovation appliquée que s'inscrit ce Projet de Fin d'Année (PFA), mené au sein de Domseed — Groupe Les Domaines Agricoles. La mission principale a consisté à concevoir, développer et déployer AgriIntel, une plateforme d'intelligence économique entreprise capable d'explorer le Web de manière totalement autonome, d'extraire des signaux faibles de marché, de dédupliquer et qualifier les acteurs concurrents, de vérifier les preuves factuelles via une mémoire RAG vectorielle, et de synthétiser des diagnostics stratégiques de haut niveau (SWOT, 5 Forces de Porter, PESTEL).</w:t>
        <w:br/>
        <w:br/>
        <w:t>Ce rapport est structuré en cinq chapitres complémentaires :</w:t>
        <w:br/>
        <w:t>• Chapitre 1 : Présentation de l'organisme d'accueil, contexte métier et méthodologie Scrum.</w:t>
        <w:br/>
        <w:t>• Chapitre 2 : Analyse détaillée des besoins et modélisation fonctionnelle UML complète (Cas d'utilisation, Séquences, Activité, États).</w:t>
        <w:br/>
        <w:t>• Chapitre 3 : Conception architecturale logicielle, diagramme de classes, diagramme de composants et déploiement Docker.</w:t>
        <w:br/>
        <w:t>• Chapitre 4 : Implémentation technique du pipeline agentique LangGraph, du scraper résilient, de la mémoire RAG et de l'EntityResolver.</w:t>
        <w:br/>
        <w:t>• Chapitre 5 : Présentation des résultats expérimentaux, tableaux de bord interactifs, validation par 38 tests et perspectives.</w:t>
      </w:r>
    </w:p>
    <w:p>
      <w:r>
        <w:br w:type="page"/>
      </w:r>
    </w:p>
    <w:p>
      <w:pPr>
        <w:pStyle w:val="Heading1"/>
      </w:pPr>
      <w:r>
        <w:t>Chapitre 1 : Contexte Général du Projet et Organisme d'Accueil</w:t>
      </w:r>
    </w:p>
    <w:p>
      <w:pPr>
        <w:pStyle w:val="Heading2"/>
      </w:pPr>
      <w:r>
        <w:t>1.1 Présentation de l'Organisme d'Accueil</w:t>
      </w:r>
    </w:p>
    <w:p>
      <w:r>
        <w:t>Fondé en 1960, le Groupe Les Domaines Agricoles constitue le fleuron de l'agriculture marocaine moderne. Acteur historique et intégré, le groupe intervient sur l'ensemble de la chaîne de valeur agro-alimentaire, de la recherche et développement variétale jusqu'à la distribution de produits d'excellence sur les marchés nationaux et internationaux.</w:t>
        <w:br/>
        <w:br/>
        <w:t>Domseed constitue la filiale stratégique des Domaines Agricoles dédiée à l'innovation génétique, la production, la sélection et la commercialisation de semences et plants certifiés. Opérant sur un segment hautement technologique et concurrentiel, Domseed doit surveiller en permanence les homologations variétales, les innovations de résistance hydrique et les partenariats commerciaux mondiaux.</w:t>
      </w:r>
    </w:p>
    <w:p>
      <w:pPr>
        <w:pStyle w:val="Heading2"/>
      </w:pPr>
      <w:r>
        <w:t>1.2 Problématique Métier</w:t>
      </w:r>
    </w:p>
    <w:p>
      <w:r>
        <w:t>La direction stratégique et les équipes de Domseed font face à trois défis majeurs :</w:t>
        <w:br/>
        <w:t>1. L'asymétrie d'information sur les marchés émergents : données éparpillées et non structurées sur les distributeurs et coopératives d'export.</w:t>
        <w:br/>
        <w:t>2. L'identification des signaux d'innovation AgTech : émergence rapide de startups sans référencement centralisé.</w:t>
        <w:br/>
        <w:t>3. La synthèse décisionnelle : surcharge cognitive due aux données brutes non vérifiées.</w:t>
      </w:r>
    </w:p>
    <w:p>
      <w:pPr>
        <w:pStyle w:val="Heading2"/>
      </w:pPr>
      <w:r>
        <w:t>1.3 Méthodologie de Gestion de Projet : Agile Scrum</w:t>
      </w:r>
    </w:p>
    <w:p>
      <w:r>
        <w:t>Pour garantir une livraison itérative et adaptée aux retours métier, le projet s'est déroulé selon le framework Agile Scrum sur une période de 8 semaines découpée en 4 Sprints majeurs :</w:t>
        <w:br/>
        <w:t>• Sprint 0 (Semaine 1) : Cadrage métier, état de l'art LLM, architecture cible et mise en place du repository Git.</w:t>
        <w:br/>
        <w:t>• Sprint 1 (Semaines 2–3) : Moteur de recherche multi-sources, scraper résilient et noyau de données Pydantic.</w:t>
        <w:br/>
        <w:t>• Sprint 2 (Semaines 4–5) : Orchestration LangGraph des agents Benchmark &amp; Startup, mémoire vectorielle RAG et EntityResolver.</w:t>
        <w:br/>
        <w:t>• Sprint 3 (Semaines 6–7) : Dashboard décisionnel Streamlit/Plotly, API REST FastAPI, conteneurisation Docker et tests unitaires (38 tests).</w:t>
        <w:br/>
        <w:t>• Sprint 4 (Semaine 8) : Validation finale, optimisation de performance et rédaction du rapport.</w:t>
      </w:r>
    </w:p>
    <w:p>
      <w:r>
        <w:br w:type="page"/>
      </w:r>
    </w:p>
    <w:p>
      <w:pPr>
        <w:pStyle w:val="Heading1"/>
      </w:pPr>
      <w:r>
        <w:t>Chapitre 2 : Analyse des Besoins et Modélisation Fonctionnelle (UML)</w:t>
      </w:r>
    </w:p>
    <w:p>
      <w:pPr>
        <w:pStyle w:val="Heading2"/>
      </w:pPr>
      <w:r>
        <w:t>2.1 Spécification des Besoins</w:t>
      </w:r>
    </w:p>
    <w:p>
      <w:r>
        <w:t>Les besoins fonctionnels couvrent le lancement autonome d'études de benchmark, le sourcing startups, la planification dynamique des requêtes (QueryPlanner), la déduplication canonique (EntityResolver), la génération de matrices SWOT/Porter et l'interrogation sémantique RAG. Les exigences non-fonctionnelles imposent un temps d'étude inférieur à 10 minutes, une haute disponibilité avec fallback local Ollama, et une protection stricte contre le Prompt Injection.</w:t>
      </w:r>
    </w:p>
    <w:p>
      <w:pPr>
        <w:pStyle w:val="Heading2"/>
      </w:pPr>
      <w:r>
        <w:t>2.2 Diagramme de Cas d'Utilisation UML</w:t>
      </w:r>
    </w:p>
    <w:p>
      <w:r>
        <w:t>Le diagramme modélise l'ensemble des cas d'utilisation offerts aux analystes métier et administrateurs :</w:t>
        <w:br/>
        <w:t>• Acteurs principaux : Analyste Stratégique, Décideur, Administrateur Système.</w:t>
        <w:br/>
        <w:t>• Cas d'utilisation : Lancer étude benchmark, Sourcing startup, Consulter Dashboard, Interroger Assistant IA, Exporter Rapports.</w:t>
        <w:br/>
        <w:t>• Inclusions automatiques : Planifier requêtes, Scraper web, Résoudre entités, Générer SWOT, Indexer vecteurs RAG.</w:t>
      </w:r>
    </w:p>
    <w:p>
      <w:pPr>
        <w:pStyle w:val="Heading2"/>
      </w:pPr>
      <w:r>
        <w:t>2.3 Diagramme d'Activité UML (Workflow de l'Agent)</w:t>
      </w:r>
    </w:p>
    <w:p>
      <w:r>
        <w:t>Le workflow d'exécution de l'agent suit une séquence d'étapes rigoureuse :</w:t>
        <w:br/>
        <w:t>1. Saisie de la cible -&gt; 2. Initialisation QueryPlanner -&gt; 3. Recherche Mémoire RAG -&gt; 4. Recherche Web multi-sources -&gt; 5. Filtrage et scoring URLs -&gt; 6. Scraping &amp; Sanitisation anti-injection -&gt; 7. Extraction d'entités LLM -&gt; 8. Test de déduplication EntityResolver (Levenshtein &gt;= 80% ou même domaine) -&gt; 9. Fusion ou Création canonique -&gt; 10. Indexation vectorielle SQLite -&gt; 11. Évaluation critères d'arrêt -&gt; 12. Génération rapport McKinsey SWOT &amp; Porter.</w:t>
      </w:r>
    </w:p>
    <w:p>
      <w:pPr>
        <w:pStyle w:val="Heading2"/>
      </w:pPr>
      <w:r>
        <w:t>2.4 Diagrammes de Séquence Système UML</w:t>
      </w:r>
    </w:p>
    <w:p>
      <w:r>
        <w:t>Deux diagrammes de séquence formalisent la dynamique temporelle du système :</w:t>
        <w:br/>
        <w:t>• Séquence 1 (Exécution de l'étude) : Interactions synchrones et asynchrones entre l'Interface, le StateGraph LangGraph, le QueryPlanner, le Browser Playwright, le LLM Groq et la base SQLite.</w:t>
        <w:br/>
        <w:t>• Séquence 2 (Assistant IA &amp; RAG) : Vectorisation de la question utilisateur -&gt; Recherche cosinus top-8 preuves atomiques -&gt; Augmentation du prompt contextuel -&gt; Génération de réponse sourcée et vérifiée.</w:t>
      </w:r>
    </w:p>
    <w:p>
      <w:pPr>
        <w:pStyle w:val="Heading2"/>
      </w:pPr>
      <w:r>
        <w:t>2.5 Diagramme d'États-Transitions UML</w:t>
      </w:r>
    </w:p>
    <w:p>
      <w:r>
        <w:t>L'agent transite entre les états : Initialisé -&gt; EnRecherche (sous-états : Planification, AppelLLM, ExécutionOutil, IngestionPage, RésolutionCanonique, IndexationRAG) -&gt; ModeSecours (en cas de panne DNS/réseau) -&gt; GénérationRapport -&gt; Terminé.</w:t>
      </w:r>
    </w:p>
    <w:p>
      <w:r>
        <w:br w:type="page"/>
      </w:r>
    </w:p>
    <w:p>
      <w:pPr>
        <w:pStyle w:val="Heading1"/>
      </w:pPr>
      <w:r>
        <w:t>Chapitre 3 : Conception Architecturale et Choix Techniques</w:t>
      </w:r>
    </w:p>
    <w:p>
      <w:pPr>
        <w:pStyle w:val="Heading2"/>
      </w:pPr>
      <w:r>
        <w:t>3.1 Diagramme de Composants Logiciels</w:t>
      </w:r>
    </w:p>
    <w:p>
      <w:r>
        <w:t>L'architecture logicielle s'organise en 4 couches découplées :</w:t>
        <w:br/>
        <w:t>• Couche Présentation : Application Streamlit (Dashboard &amp; Plotly) + API REST FastAPI (Uvicorn).</w:t>
        <w:br/>
        <w:t>• Couche Orchestration Agentique : LangGraph StateGraph (BenchmarkAgent, StartupAgent, QueryPlanner, EntityResolver, ReportGenerator).</w:t>
        <w:br/>
        <w:t>• Couche Services &amp; Outils : LLMClient multi-provider (Groq / Ollama), SearchEngine (Tavily / Google / DDG), BrowserPool Playwright et Sanitizer anti-injection.</w:t>
        <w:br/>
        <w:t>• Couche Données : SQLite asynchrone (aiosqlite), cache JSON session et index vectoriel Numpy.</w:t>
      </w:r>
    </w:p>
    <w:p>
      <w:pPr>
        <w:pStyle w:val="Heading2"/>
      </w:pPr>
      <w:r>
        <w:t>3.2 Diagramme de Déploiement Conteneurisé (Docker)</w:t>
      </w:r>
    </w:p>
    <w:p>
      <w:r>
        <w:t>Le système est déployé via Docker Compose encapsulant les conteneurs : `agriintel-app` (exposant les ports 8501 pour Streamlit et 8000 pour FastAPI) avec montage de volumes persistants (`data/` et `logs/`), communiquant avec les APIs Cloud sécurisées (Groq HTTPS, Tavily HTTPS) et un serveur local Ollama optionnel.</w:t>
      </w:r>
    </w:p>
    <w:p>
      <w:pPr>
        <w:pStyle w:val="Heading2"/>
      </w:pPr>
      <w:r>
        <w:t>3.3 Diagramme de Classes Métier et Système</w:t>
      </w:r>
    </w:p>
    <w:p>
      <w:r>
        <w:t>Le modèle objet structure les classes maîtresses :</w:t>
        <w:br/>
        <w:t>• `EntiteAnalysee` (Pydantic v2) : nom, secteur, description, CA, effectif, produits, certifications, pays_export, technologies, SWOT, score.</w:t>
        <w:br/>
        <w:t>• `PreuveAtomique` : id, cle_entite, type_fait, texte, source_url, confiance, vecteur embedding.</w:t>
        <w:br/>
        <w:t>• `LLMClient` (Interface abstraite) avec implémentations `GroqClient` et `OllamaClient`.</w:t>
        <w:br/>
        <w:t>• `BenchmarkAgent`, `QueryPlanner`, `EntityResolver` et `MemoireSQLite`.</w:t>
      </w:r>
    </w:p>
    <w:p>
      <w:r>
        <w:br w:type="page"/>
      </w:r>
    </w:p>
    <w:p>
      <w:pPr>
        <w:pStyle w:val="Heading1"/>
      </w:pPr>
      <w:r>
        <w:t>Chapitre 4 : Implémentation, Pipeline Agentique et Ingénierie des Données</w:t>
      </w:r>
    </w:p>
    <w:p>
      <w:pPr>
        <w:pStyle w:val="Heading2"/>
      </w:pPr>
      <w:r>
        <w:t>4.1 Orchestration LangGraph et Boucle Réflexive</w:t>
      </w:r>
    </w:p>
    <w:p>
      <w:r>
        <w:t>L'agent exécute un graphe d'états asynchrone alternant entre le nœud LLM et le nœud d'outils. Lorsque le LLM demande l'exécution d'un outil, le résultat est injecté dans le contexte. Si l'agent hésite ou ne produit aucun appel d'outil alors que l'objectif n'est pas atteint, un nœud de rappel dynamique injecte des consignes ciblées et de nouveaux angles de recherche suggérés par le QueryPlanner.</w:t>
      </w:r>
    </w:p>
    <w:p>
      <w:pPr>
        <w:pStyle w:val="Heading2"/>
      </w:pPr>
      <w:r>
        <w:t>4.2 Sécurisation et Sanitisation Anti-Injection</w:t>
      </w:r>
    </w:p>
    <w:p>
      <w:r>
        <w:t>Toutes les pages web scrapées passent par un filtre d'expressions régulières compilé neutralisant toute tentative de manipulation des instructions du système (Prompt Injection). Le scraper utilise Trafilatura pour l'extraction de texte épuré et Playwright pour les pages à rendu JavaScript complexe.</w:t>
      </w:r>
    </w:p>
    <w:p>
      <w:pPr>
        <w:pStyle w:val="Heading2"/>
      </w:pPr>
      <w:r>
        <w:t>4.3 Résolution d'Entités et Déduplication Canonique</w:t>
      </w:r>
    </w:p>
    <w:p>
      <w:r>
        <w:t>Le module EntityResolver combine la normalisation phonétique, la suppression des suffixes légaux (SARL, SA, SAS), l'extraction de domaine et une similarité hybride Levenshtein-Jaccard. Lorsqu'une entreprise similaire est identifiée (score &gt;= 0.80), ses nouveaux attributs (certifications, technologies, SWOT) sont fusionnés dans la fiche existante sans créer de doublon.</w:t>
      </w:r>
    </w:p>
    <w:p>
      <w:pPr>
        <w:pStyle w:val="Heading2"/>
      </w:pPr>
      <w:r>
        <w:t>4.4 Mémoire RAG Vectorielle et Inférence Stratégique</w:t>
      </w:r>
    </w:p>
    <w:p>
      <w:r>
        <w:t>Chaque fait collecté est transformé en embedding vectoriel et stocké dans SQLite. La similarité cosinus vectorisée permet à l'Assistant IA d'extraire instantanément les preuves pertinentes. Le générateur de rapport produit des synthèses complètes incluant matrices SWOT, 5 Forces de Porter et analyse PESTEL.</w:t>
      </w:r>
    </w:p>
    <w:p>
      <w:r>
        <w:br w:type="page"/>
      </w:r>
    </w:p>
    <w:p>
      <w:pPr>
        <w:pStyle w:val="Heading1"/>
      </w:pPr>
      <w:r>
        <w:t>Chapitre 5 : Résultats, Évaluation Expérimentale et Tableaux de Bord</w:t>
      </w:r>
    </w:p>
    <w:p>
      <w:pPr>
        <w:pStyle w:val="Heading2"/>
      </w:pPr>
      <w:r>
        <w:t>5.1 Tableau de Bord Décisionnel en Direct</w:t>
      </w:r>
    </w:p>
    <w:p>
      <w:r>
        <w:t>L'interface Streamlit propose un tableau de bord exécutif complet :</w:t>
        <w:br/>
        <w:t>• 5 KPIs stratégiques : 32 entités qualifiées, 18 dossiers générés, 250+ preuves RAG, corridors d'export et score de confiance moyen de 0.85.</w:t>
        <w:br/>
        <w:t>• Matrice de Positionnement des Acteurs (Plotly 2D) : croise la maturité et diversification avec la pertinence stratégique avec infobulles dynamiques au survol.</w:t>
        <w:br/>
        <w:t>• Cartographie des Corridors d'Export : répartition équilibrée sur 8 corridors majeurs (France, Espagne, Royaume-Uni, Union Européenne, Allemagne &amp; Pays-Bas, Afrique de l'Ouest, Moyen-Orient, Amérique du Nord).</w:t>
        <w:br/>
        <w:t>• Fiches d'Intelligence Entreprise : détails complets, SWOT, technologies et certifications.</w:t>
      </w:r>
    </w:p>
    <w:p>
      <w:pPr>
        <w:pStyle w:val="Heading2"/>
      </w:pPr>
      <w:r>
        <w:t>5.2 Validation par Tests Automatisés (38 Tests Validés)</w:t>
      </w:r>
    </w:p>
    <w:p>
      <w:r>
        <w:t>Une suite rigoureuse de 38 tests unitaires sous Pytest valide l'intégralité des composants logiciels : boucle agent, déduplication, résilience LLM, scraping, extraction RAG et conformité Pydantic, garantissant une robustesse industrielle sans régression.</w:t>
      </w:r>
    </w:p>
    <w:p>
      <w:r>
        <w:br w:type="page"/>
      </w:r>
    </w:p>
    <w:p>
      <w:pPr>
        <w:pStyle w:val="Heading1"/>
      </w:pPr>
      <w:r>
        <w:t>Conclusion Générale et Perspectives</w:t>
      </w:r>
    </w:p>
    <w:p>
      <w:pPr>
        <w:spacing w:line="288" w:lineRule="auto"/>
      </w:pPr>
      <w:r>
        <w:t>Ce projet de fin d'année a permis de concevoir et de déployer avec succès AgriIntel au sein de Domseed (Groupe Les Domaines Agricoles). En combinant les architectures agentiques modernes (LangGraph, LLaMA 3.3 70B via Groq), le scraping résilient, la mémoire vectorielle RAG et la conteneurisation Docker, la plateforme réduit de plus de 85% le temps de réalisation des études concurrentielles tout en assurant une traçabilité totale des données.</w:t>
        <w:br/>
        <w:br/>
        <w:t>Les perspectives d'évolution s'orientent vers la connexion directe aux bases légales d'entreprises (OMPIC) et l'intégration de bases de données orientées graphes (Neo4j) pour modéliser les réseaux de participations et filiales.</w:t>
      </w:r>
    </w:p>
    <w:p>
      <w:pPr>
        <w:pStyle w:val="Heading1"/>
      </w:pPr>
      <w:r>
        <w:t>Bibliographie &amp; Références</w:t>
      </w:r>
    </w:p>
    <w:p>
      <w:r>
        <w:t>• Vaswani, A., et al. (2017). Attention Is All You Need. Advances in Neural Information Processing Systems (NeurIPS 2017).</w:t>
      </w:r>
    </w:p>
    <w:p>
      <w:r>
        <w:t>• Lewis, P., et al. (2020). Retrieval-Augmented Generation for Knowledge-Intensive NLP Tasks. NeurIPS 2020.</w:t>
      </w:r>
    </w:p>
    <w:p>
      <w:r>
        <w:t>• Yao, S., et al. (2022). ReAct: Synergizing Reasoning and Acting in Language Models. ICLR 2023.</w:t>
      </w:r>
    </w:p>
    <w:p>
      <w:r>
        <w:t>• Porter, M. E. (2008). The Five Competitive Forces That Shape Strategy. Harvard Business Review.</w:t>
      </w:r>
    </w:p>
    <w:p>
      <w:r>
        <w:t>• LangChain &amp; LangGraph Documentation (2024). Building State-Driven Multi-Agent Systems. https://langchain-ai.github.io/langgraph/</w:t>
      </w:r>
    </w:p>
    <w:p>
      <w:r>
        <w:t>• Groq Inc. (2024). Groq LPU Inference Engine &amp; API Reference. https://console.groq.com/docs</w:t>
      </w:r>
    </w:p>
    <w:p>
      <w:r>
        <w:t>• Microsoft Playwright (2024). Fast and Reliable Web Automation. https://playwright.dev/python/</w:t>
      </w:r>
    </w:p>
    <w:p>
      <w:r>
        <w:t>• FastAPI Framework (2024). High Performance Python Web Framework. https://fastapi.tiangolo.com/</w:t>
      </w:r>
    </w:p>
    <w:p>
      <w:r>
        <w:t>• Streamlit Inc. (2024). The Fastest Way to Build Data Apps in Python. https://docs.streamlit.io/</w:t>
      </w:r>
    </w:p>
    <w:p>
      <w:r>
        <w:t>• Docker Inc. (2024). Multi-Container Orchestration Reference. https://docs.docker.com/compose/</w:t>
      </w:r>
    </w:p>
    <w:p>
      <w:r>
        <w:t>• Les Domaines Agricoles (2024). Portail officiel du Groupe Les Domaines Agricoles. https://www.lesdomainesagricoles.ma</w:t>
      </w:r>
    </w:p>
    <w:p>
      <w:r>
        <w:t>• Foodex Morocco / EACCE (2024). Réglementation et exportations agro-alimentaires. https://foodex-morocco.com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