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yebrow"/>
      </w:pPr>
      <w:r>
        <w:t>BRAND + PRODUCT ARCHITECTURE  /  INTERN HANDOFF</w:t>
      </w:r>
    </w:p>
    <w:p>
      <w:pPr>
        <w:jc w:val="left"/>
      </w:pPr>
      <w:r>
        <w:rPr>
          <w:rFonts w:ascii="Aptos Display" w:hAnsi="Aptos Display"/>
          <w:b/>
          <w:color w:val="00A9E8"/>
          <w:sz w:val="62"/>
        </w:rPr>
        <w:t>SPORTMETRYX</w:t>
      </w:r>
      <w:r>
        <w:rPr>
          <w:rFonts w:ascii="Aptos Display" w:hAnsi="Aptos Display"/>
          <w:b/>
          <w:color w:val="0B1722"/>
          <w:sz w:val="62"/>
        </w:rPr>
        <w:t>™ FOOTBALL</w:t>
      </w:r>
    </w:p>
    <w:p>
      <w:r>
        <w:rPr>
          <w:b/>
          <w:color w:val="34495A"/>
          <w:sz w:val="34"/>
        </w:rPr>
        <w:t>Human Performance Intelligence for Football</w:t>
      </w:r>
    </w:p>
    <w:p>
      <w:r>
        <w:rPr>
          <w:i/>
          <w:sz w:val="24"/>
        </w:rPr>
        <w:t>Measure the athlete. Understand the workload. Predict performance degradation. Protect availability.</w:t>
      </w:r>
    </w:p>
    <w:p>
      <w:r>
        <w:rPr>
          <w:b/>
        </w:rPr>
        <w:t>Powered by Healthmetryx™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57129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2AF75E-0F3A-486E-9D14-894306CCA90C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712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0A9E8"/>
          <w:sz w:val="16"/>
        </w:rPr>
        <w:t>CANONICAL VISUAL REFERENCE  •  “OFF SEASON. ON ANOTHER LEVEL.”  •  “BREATHE SMARTER. TRAIN HARDER.”</w:t>
      </w:r>
    </w:p>
    <w:p>
      <w:pPr>
        <w:jc w:val="center"/>
      </w:pPr>
      <w:r>
        <w:rPr>
          <w:color w:val="6B7C88"/>
          <w:sz w:val="17"/>
        </w:rPr>
        <w:t>Internal working package for brand, product, engineering, design, sports science, and commercialization interns</w:t>
      </w:r>
    </w:p>
    <w:p>
      <w:r>
        <w:br w:type="page"/>
      </w:r>
    </w:p>
    <w:p>
      <w:pPr>
        <w:pStyle w:val="Eyebrow"/>
      </w:pPr>
      <w:r>
        <w:t>01 / EXECUTIVE DIRECTIVE</w:t>
      </w:r>
    </w:p>
    <w:p>
      <w:pPr>
        <w:pStyle w:val="Heading1"/>
      </w:pPr>
      <w:r>
        <w:t>What the interns are building</w:t>
      </w:r>
    </w:p>
    <w:p>
      <w:r>
        <w:t>Sportmetryx Football is the football-specific commercialization layer of Healthmetryx human-performance intelligence. It should not be designed as a generic wearable dashboard. It is a validity-gated performance operating environment that connects respiratory, physiological, workload, recovery, environmental, and contextual football data to athlete and team decision support.</w:t>
      </w:r>
    </w:p>
    <w:p>
      <w:r>
        <w:rPr>
          <w:b/>
        </w:rPr>
        <w:t xml:space="preserve">Category: </w:t>
      </w:r>
      <w:r>
        <w:t>Human Performance Intelligence for Football.</w:t>
      </w:r>
    </w:p>
    <w:p>
      <w:r>
        <w:rPr>
          <w:b/>
        </w:rPr>
        <w:t xml:space="preserve">Brand promise: </w:t>
      </w:r>
      <w:r>
        <w:t>Breathe smarter. Train harder. Perform with context.</w:t>
      </w:r>
    </w:p>
    <w:p>
      <w:r>
        <w:rPr>
          <w:b/>
        </w:rPr>
        <w:t xml:space="preserve">Operating principle: </w:t>
      </w:r>
      <w:r>
        <w:t>Sensors originate data. Sportmetryx converts validated signals into performance intelligence.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166"/>
            <w:shd w:fill="EAF1F5"/>
            <w:tcMar>
              <w:top w:w="140" w:type="dxa"/>
              <w:start w:w="170" w:type="dxa"/>
              <w:bottom w:w="140" w:type="dxa"/>
              <w:end w:w="170" w:type="dxa"/>
            </w:tcMar>
            <w:vAlign w:val="center"/>
          </w:tcPr>
          <w:p>
            <w:r>
              <w:rPr>
                <w:b/>
                <w:color w:val="00A9E8"/>
              </w:rPr>
              <w:t xml:space="preserve">BUILD RULE  </w:t>
            </w:r>
            <w:r>
              <w:t>Every screen, metric, model, and marketing claim must identify whether it is (1) established HMX platform capability, (2) football-specific derived model, (3) research/prototype capability, or (4) future/regulated capability.</w:t>
            </w:r>
          </w:p>
        </w:tc>
      </w:tr>
    </w:tbl>
    <w:p>
      <w:pPr>
        <w:spacing w:after="0"/>
      </w:pPr>
    </w:p>
    <w:p>
      <w:pPr>
        <w:pStyle w:val="Heading2"/>
      </w:pPr>
      <w:r>
        <w:t>Source-of-truth hierarchy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0B17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5083"/>
            <w:shd w:fill="0B17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Directive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Established HMX platform logic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RCM; validity gating; respiratory/physiological/environmental fusion; longitudinal baselines; readiness/recovery; WPI-derived functional readiness architecture.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Established sports use cases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Athlete readiness/recovery; overtraining risk; environmental performance effects; travel recovery; injury-risk research.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Football verticalization to build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Player/position models; football performance index; snap/drive/practice/game context; Team Command; football workflows and reporting.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Visual brand anchor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Attached Sportmetryx football creative: athlete-first composition, cyan/black palette, transparent telemetry rail, respiratory device emphasis, elite-performance tone.</w:t>
            </w:r>
          </w:p>
        </w:tc>
      </w:tr>
    </w:tbl>
    <w:p>
      <w:pPr>
        <w:pStyle w:val="Heading2"/>
      </w:pPr>
      <w:r>
        <w:t>Non-negotiable positioning</w:t>
      </w:r>
    </w:p>
    <w:p>
      <w:pPr>
        <w:pStyle w:val="ListBullet"/>
      </w:pPr>
      <w:r>
        <w:t>Decision support, not diagnosis.</w:t>
      </w:r>
    </w:p>
    <w:p>
      <w:pPr>
        <w:pStyle w:val="ListBullet"/>
      </w:pPr>
      <w:r>
        <w:t>Athlete development and availability, not punitive surveillance.</w:t>
      </w:r>
    </w:p>
    <w:p>
      <w:pPr>
        <w:pStyle w:val="ListBullet"/>
      </w:pPr>
      <w:r>
        <w:t>Validity-gated outputs: withhold or flag low-confidence results.</w:t>
      </w:r>
    </w:p>
    <w:p>
      <w:pPr>
        <w:pStyle w:val="ListBullet"/>
      </w:pPr>
      <w:r>
        <w:t>Individual baselines before population assumptions.</w:t>
      </w:r>
    </w:p>
    <w:p>
      <w:pPr>
        <w:pStyle w:val="ListBullet"/>
      </w:pPr>
      <w:r>
        <w:t>Explainable scores with component drivers and confidence.</w:t>
      </w:r>
    </w:p>
    <w:p>
      <w:pPr>
        <w:pStyle w:val="ListBullet"/>
      </w:pPr>
      <w:r>
        <w:t>Football context matters: position, drill, snap, drive, quarter, game, travel, climate, recovery window.</w:t>
      </w:r>
    </w:p>
    <w:p>
      <w:pPr>
        <w:pStyle w:val="Eyebrow"/>
      </w:pPr>
      <w:r>
        <w:t>02 / BRAND SYSTEM</w:t>
      </w:r>
    </w:p>
    <w:p>
      <w:pPr>
        <w:pStyle w:val="Heading1"/>
      </w:pPr>
      <w:r>
        <w:t>Brand hierarchy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B17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Brand layer</w:t>
            </w:r>
          </w:p>
        </w:tc>
        <w:tc>
          <w:tcPr>
            <w:tcW w:type="dxa" w:w="5083"/>
            <w:shd w:fill="0B17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Role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Healthmetryx™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Core science, respiratory intelligence, data infrastructure, validity architecture, enterprise credibility.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Sportmetryx™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Sports-performance commercialization brand and cross-sport intelligence layer.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Sportmetryx™ Football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Football vertical: player, position, unit, roster, training, game, recovery, and performance intelligence.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SMX product modules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Named applications and models within Sportmetryx Football; always subordinate to Sportmetryx master brand.</w:t>
            </w:r>
          </w:p>
        </w:tc>
      </w:tr>
    </w:tbl>
    <w:p>
      <w:pPr>
        <w:pStyle w:val="Heading2"/>
      </w:pPr>
      <w:r>
        <w:t>Voice and message architecture</w:t>
      </w:r>
    </w:p>
    <w:p>
      <w:r>
        <w:rPr>
          <w:b/>
          <w:color w:val="00A9E8"/>
        </w:rPr>
        <w:t xml:space="preserve">Primary line: </w:t>
      </w:r>
      <w:r>
        <w:t>Breathe Smarter. Train Harder.</w:t>
      </w:r>
    </w:p>
    <w:p>
      <w:r>
        <w:rPr>
          <w:b/>
          <w:color w:val="00A9E8"/>
        </w:rPr>
        <w:t xml:space="preserve">Category line: </w:t>
      </w:r>
      <w:r>
        <w:t>Human Performance Intelligence for Football.</w:t>
      </w:r>
    </w:p>
    <w:p>
      <w:r>
        <w:rPr>
          <w:b/>
          <w:color w:val="00A9E8"/>
        </w:rPr>
        <w:t xml:space="preserve">Executive proposition: </w:t>
      </w:r>
      <w:r>
        <w:t>Measure the athlete. Understand the workload. Predict performance degradation. Protect availability.</w:t>
      </w:r>
    </w:p>
    <w:p>
      <w:r>
        <w:rPr>
          <w:b/>
          <w:color w:val="00A9E8"/>
        </w:rPr>
        <w:t xml:space="preserve">Coach proposition: </w:t>
      </w:r>
      <w:r>
        <w:t>Know who is ready, why, and what changed.</w:t>
      </w:r>
    </w:p>
    <w:p>
      <w:r>
        <w:rPr>
          <w:b/>
          <w:color w:val="00A9E8"/>
        </w:rPr>
        <w:t xml:space="preserve">Athlete proposition: </w:t>
      </w:r>
      <w:r>
        <w:t>Understand your baseline, workload, recovery, and trend.</w:t>
      </w:r>
    </w:p>
    <w:p>
      <w:r>
        <w:rPr>
          <w:b/>
          <w:color w:val="00A9E8"/>
        </w:rPr>
        <w:t xml:space="preserve">Performance-science proposition: </w:t>
      </w:r>
      <w:r>
        <w:t>Unify respiratory, physiological, environmental, and football-context data in one validity-gated model.</w:t>
      </w:r>
    </w:p>
    <w:p>
      <w:pPr>
        <w:pStyle w:val="Heading2"/>
      </w:pPr>
      <w:r>
        <w:t>Visual identity system</w:t>
      </w:r>
    </w:p>
    <w:p>
      <w:r>
        <w:rPr>
          <w:b/>
        </w:rPr>
        <w:t xml:space="preserve">Core palette — </w:t>
      </w:r>
      <w:r>
        <w:t>Graphite/near-black, deep navy, white, Sportmetryx cyan. Use red/green/gold/purple only as semantic telemetry accents.</w:t>
      </w:r>
    </w:p>
    <w:p>
      <w:r>
        <w:rPr>
          <w:b/>
        </w:rPr>
        <w:t xml:space="preserve">Imagery — </w:t>
      </w:r>
      <w:r>
        <w:t>Elite football athletes in motion; training, recovery, sideline, tunnel, field, film-room and performance-lab environments. Avoid generic stock-wellness imagery.</w:t>
      </w:r>
    </w:p>
    <w:p>
      <w:r>
        <w:rPr>
          <w:b/>
        </w:rPr>
        <w:t xml:space="preserve">Interface — </w:t>
      </w:r>
      <w:r>
        <w:t>Transparent/dark telemetry panels; crisp numerics; trend lines; confidence/validity indicators; position and workload context.</w:t>
      </w:r>
    </w:p>
    <w:p>
      <w:r>
        <w:rPr>
          <w:b/>
        </w:rPr>
        <w:t xml:space="preserve">Composition — </w:t>
      </w:r>
      <w:r>
        <w:t>Athlete remains the hero. Intelligence is a precise overlay, not visual clutter.</w:t>
      </w:r>
    </w:p>
    <w:p>
      <w:r>
        <w:rPr>
          <w:b/>
        </w:rPr>
        <w:t xml:space="preserve">Typography — </w:t>
      </w:r>
      <w:r>
        <w:t>Condensed/strong display typography for campaign lines; clean sans-serif for product UI and technical content.</w:t>
      </w:r>
    </w:p>
    <w:p>
      <w:r>
        <w:rPr>
          <w:b/>
        </w:rPr>
        <w:t xml:space="preserve">Brand signature — </w:t>
      </w:r>
      <w:r>
        <w:t>sportmetryx wordmark in cyan/white; “Powered by Healthmetryx” in enterprise/technical contexts.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166"/>
            <w:shd w:fill="E8F6FC"/>
            <w:tcMar>
              <w:top w:w="140" w:type="dxa"/>
              <w:start w:w="170" w:type="dxa"/>
              <w:bottom w:w="140" w:type="dxa"/>
              <w:end w:w="170" w:type="dxa"/>
            </w:tcMar>
            <w:vAlign w:val="center"/>
          </w:tcPr>
          <w:p>
            <w:r>
              <w:rPr>
                <w:b/>
                <w:color w:val="00A9E8"/>
              </w:rPr>
              <w:t xml:space="preserve">VISUAL CANON  </w:t>
            </w:r>
            <w:r>
              <w:t>Use the attached football creative as the visual reference, but do not copy unvalidated device geometry or imply that the pictured respirator is a shipping Sportmetryx product.</w:t>
            </w:r>
          </w:p>
        </w:tc>
      </w:tr>
    </w:tbl>
    <w:p>
      <w:pPr>
        <w:spacing w:after="0"/>
      </w:pPr>
    </w:p>
    <w:p>
      <w:pPr>
        <w:pStyle w:val="Eyebrow"/>
      </w:pPr>
      <w:r>
        <w:t>03 / PRODUCT ARCHITECTURE</w:t>
      </w:r>
    </w:p>
    <w:p>
      <w:pPr>
        <w:pStyle w:val="Heading1"/>
      </w:pPr>
      <w:r>
        <w:t>Sportmetryx Football product family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0B17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2541"/>
            <w:shd w:fill="0B17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2541"/>
            <w:shd w:fill="0B17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Primary user</w:t>
            </w:r>
          </w:p>
        </w:tc>
        <w:tc>
          <w:tcPr>
            <w:tcW w:type="dxa" w:w="2541"/>
            <w:shd w:fill="0B17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Core output</w:t>
            </w:r>
          </w:p>
        </w:tc>
      </w:tr>
      <w:tr>
        <w:tc>
          <w:tcPr>
            <w:tcW w:type="dxa" w:w="254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b/>
                <w:sz w:val="16"/>
              </w:rPr>
              <w:t>SMX Player Readiness™</w:t>
            </w:r>
          </w:p>
        </w:tc>
        <w:tc>
          <w:tcPr>
            <w:tcW w:type="dxa" w:w="254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sz w:val="16"/>
              </w:rPr>
              <w:t>Daily athlete readiness and recovery state</w:t>
            </w:r>
          </w:p>
        </w:tc>
        <w:tc>
          <w:tcPr>
            <w:tcW w:type="dxa" w:w="254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sz w:val="16"/>
              </w:rPr>
              <w:t>Athlete / performance staff</w:t>
            </w:r>
          </w:p>
        </w:tc>
        <w:tc>
          <w:tcPr>
            <w:tcW w:type="dxa" w:w="254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sz w:val="16"/>
              </w:rPr>
              <w:t>Readiness score, recovery score, fatigue state, confidence, explanation codes</w:t>
            </w:r>
          </w:p>
        </w:tc>
      </w:tr>
      <w:tr>
        <w:tc>
          <w:tcPr>
            <w:tcW w:type="dxa" w:w="254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b/>
                <w:sz w:val="16"/>
              </w:rPr>
              <w:t>SMX Performance Index™</w:t>
            </w:r>
          </w:p>
        </w:tc>
        <w:tc>
          <w:tcPr>
            <w:tcW w:type="dxa" w:w="254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sz w:val="16"/>
              </w:rPr>
              <w:t>0–100 football-specific functional performance/readiness index</w:t>
            </w:r>
          </w:p>
        </w:tc>
        <w:tc>
          <w:tcPr>
            <w:tcW w:type="dxa" w:w="254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sz w:val="16"/>
              </w:rPr>
              <w:t>Performance / coaching</w:t>
            </w:r>
          </w:p>
        </w:tc>
        <w:tc>
          <w:tcPr>
            <w:tcW w:type="dxa" w:w="254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sz w:val="16"/>
              </w:rPr>
              <w:t>Composite score plus component drivers; prototype until validated</w:t>
            </w:r>
          </w:p>
        </w:tc>
      </w:tr>
      <w:tr>
        <w:tc>
          <w:tcPr>
            <w:tcW w:type="dxa" w:w="254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b/>
                <w:sz w:val="16"/>
              </w:rPr>
              <w:t>SMX Load Intelligence™</w:t>
            </w:r>
          </w:p>
        </w:tc>
        <w:tc>
          <w:tcPr>
            <w:tcW w:type="dxa" w:w="254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sz w:val="16"/>
              </w:rPr>
              <w:t>External + internal workload response</w:t>
            </w:r>
          </w:p>
        </w:tc>
        <w:tc>
          <w:tcPr>
            <w:tcW w:type="dxa" w:w="254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sz w:val="16"/>
              </w:rPr>
              <w:t>Strength &amp; conditioning</w:t>
            </w:r>
          </w:p>
        </w:tc>
        <w:tc>
          <w:tcPr>
            <w:tcW w:type="dxa" w:w="254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sz w:val="16"/>
              </w:rPr>
              <w:t>Practice/game load, exertion response, trend, acute/chronic context</w:t>
            </w:r>
          </w:p>
        </w:tc>
      </w:tr>
      <w:tr>
        <w:tc>
          <w:tcPr>
            <w:tcW w:type="dxa" w:w="254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b/>
                <w:sz w:val="16"/>
              </w:rPr>
              <w:t>SMX Recovery Intelligence™</w:t>
            </w:r>
          </w:p>
        </w:tc>
        <w:tc>
          <w:tcPr>
            <w:tcW w:type="dxa" w:w="254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sz w:val="16"/>
              </w:rPr>
              <w:t>Post-training, post-game and travel recovery</w:t>
            </w:r>
          </w:p>
        </w:tc>
        <w:tc>
          <w:tcPr>
            <w:tcW w:type="dxa" w:w="254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sz w:val="16"/>
              </w:rPr>
              <w:t>Athlete / performance / medical</w:t>
            </w:r>
          </w:p>
        </w:tc>
        <w:tc>
          <w:tcPr>
            <w:tcW w:type="dxa" w:w="254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sz w:val="16"/>
              </w:rPr>
              <w:t>Sleep-recovery, autonomic context, respiratory recovery, retest guidance</w:t>
            </w:r>
          </w:p>
        </w:tc>
      </w:tr>
      <w:tr>
        <w:tc>
          <w:tcPr>
            <w:tcW w:type="dxa" w:w="254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b/>
                <w:sz w:val="16"/>
              </w:rPr>
              <w:t>SMX Injury Risk Intelligence™</w:t>
            </w:r>
          </w:p>
        </w:tc>
        <w:tc>
          <w:tcPr>
            <w:tcW w:type="dxa" w:w="254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sz w:val="16"/>
              </w:rPr>
              <w:t>Research-grade risk signal from fatigue/workload/baseline change</w:t>
            </w:r>
          </w:p>
        </w:tc>
        <w:tc>
          <w:tcPr>
            <w:tcW w:type="dxa" w:w="254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sz w:val="16"/>
              </w:rPr>
              <w:t>Performance / medical research</w:t>
            </w:r>
          </w:p>
        </w:tc>
        <w:tc>
          <w:tcPr>
            <w:tcW w:type="dxa" w:w="254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sz w:val="16"/>
              </w:rPr>
              <w:t>Risk signal, drivers, confidence; never injury diagnosis</w:t>
            </w:r>
          </w:p>
        </w:tc>
      </w:tr>
      <w:tr>
        <w:tc>
          <w:tcPr>
            <w:tcW w:type="dxa" w:w="254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b/>
                <w:sz w:val="16"/>
              </w:rPr>
              <w:t>SMX Team Command™</w:t>
            </w:r>
          </w:p>
        </w:tc>
        <w:tc>
          <w:tcPr>
            <w:tcW w:type="dxa" w:w="254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sz w:val="16"/>
              </w:rPr>
              <w:t>Roster-level operational command environment</w:t>
            </w:r>
          </w:p>
        </w:tc>
        <w:tc>
          <w:tcPr>
            <w:tcW w:type="dxa" w:w="254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sz w:val="16"/>
              </w:rPr>
              <w:t>HC/GM/performance leadership</w:t>
            </w:r>
          </w:p>
        </w:tc>
        <w:tc>
          <w:tcPr>
            <w:tcW w:type="dxa" w:w="254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sz w:val="16"/>
              </w:rPr>
              <w:t>Position-group readiness, exceptions, trends, availability intelligence</w:t>
            </w:r>
          </w:p>
        </w:tc>
      </w:tr>
      <w:tr>
        <w:tc>
          <w:tcPr>
            <w:tcW w:type="dxa" w:w="254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b/>
                <w:sz w:val="16"/>
              </w:rPr>
              <w:t>SMX Environment™</w:t>
            </w:r>
          </w:p>
        </w:tc>
        <w:tc>
          <w:tcPr>
            <w:tcW w:type="dxa" w:w="254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sz w:val="16"/>
              </w:rPr>
              <w:t>Human response to heat, air quality, altitude and venue conditions</w:t>
            </w:r>
          </w:p>
        </w:tc>
        <w:tc>
          <w:tcPr>
            <w:tcW w:type="dxa" w:w="254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sz w:val="16"/>
              </w:rPr>
              <w:t>Performance / operations</w:t>
            </w:r>
          </w:p>
        </w:tc>
        <w:tc>
          <w:tcPr>
            <w:tcW w:type="dxa" w:w="254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sz w:val="16"/>
              </w:rPr>
              <w:t>Exposure context, venue/travel modifiers, performance degradation research</w:t>
            </w:r>
          </w:p>
        </w:tc>
      </w:tr>
      <w:tr>
        <w:tc>
          <w:tcPr>
            <w:tcW w:type="dxa" w:w="254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b/>
                <w:sz w:val="16"/>
              </w:rPr>
              <w:t>SMX Digital Athlete Twin™</w:t>
            </w:r>
          </w:p>
        </w:tc>
        <w:tc>
          <w:tcPr>
            <w:tcW w:type="dxa" w:w="254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sz w:val="16"/>
              </w:rPr>
              <w:t>Longitudinal individual baseline and context model</w:t>
            </w:r>
          </w:p>
        </w:tc>
        <w:tc>
          <w:tcPr>
            <w:tcW w:type="dxa" w:w="254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sz w:val="16"/>
              </w:rPr>
              <w:t>Performance science / athlete</w:t>
            </w:r>
          </w:p>
        </w:tc>
        <w:tc>
          <w:tcPr>
            <w:tcW w:type="dxa" w:w="254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sz w:val="16"/>
              </w:rPr>
              <w:t>Personal baseline, response curves, scenario comparisons, trajectory</w:t>
            </w:r>
          </w:p>
        </w:tc>
      </w:tr>
    </w:tbl>
    <w:p>
      <w:pPr>
        <w:pStyle w:val="Heading2"/>
      </w:pPr>
      <w:r>
        <w:t>Experience hierarchy</w:t>
      </w:r>
    </w:p>
    <w:p>
      <w:r>
        <w:rPr>
          <w:b/>
          <w:color w:val="00A9E8"/>
          <w:sz w:val="26"/>
        </w:rPr>
        <w:t>PLAYER → POSITION → UNIT → PRACTICE → SNAP → DRIVE → QUARTER → GAME → SEASON</w:t>
      </w:r>
    </w:p>
    <w:p>
      <w:r>
        <w:t>The same athlete signal should be interpretable at multiple football time scales. The system should preserve provenance so a season trend can be traced back to games, practices, drills, and underlying validated measurements.</w:t>
      </w:r>
    </w:p>
    <w:p>
      <w:pPr>
        <w:pStyle w:val="Eyebrow"/>
      </w:pPr>
      <w:r>
        <w:t>04 / FOOTBALL PERFORMANCE INDEX</w:t>
      </w:r>
    </w:p>
    <w:p>
      <w:pPr>
        <w:pStyle w:val="Heading1"/>
      </w:pPr>
      <w:r>
        <w:t>SMX Performance Index™ — proposed model</w:t>
      </w:r>
    </w:p>
    <w:p>
      <w:r>
        <w:t>The football index should inherit the discipline of HMX-WPI while being redesigned for sport. It is a prototype composite, not a clinically validated or injury-prediction score. Interns should implement it transparently, with configurable weights and no black-box “magic number.”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0B17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3389"/>
            <w:shd w:fill="0B17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Example signal domain</w:t>
            </w:r>
          </w:p>
        </w:tc>
        <w:tc>
          <w:tcPr>
            <w:tcW w:type="dxa" w:w="3389"/>
            <w:shd w:fill="0B17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Prototype weight</w:t>
            </w:r>
          </w:p>
        </w:tc>
      </w:tr>
      <w:t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Respiratory Efficiency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Respiratory rate deviation, breath/CO₂ proxy where available, exertion-normalized recovery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20%</w:t>
            </w:r>
          </w:p>
        </w:tc>
      </w:tr>
      <w:t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Oxygen Function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SpO₂ trend and deviation where reliable/available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10%</w:t>
            </w:r>
          </w:p>
        </w:tc>
      </w:tr>
      <w:t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Recovery &amp; Autonomic State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Sleep, HRV/IBI, resting HR, recovery trajectory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20%</w:t>
            </w:r>
          </w:p>
        </w:tc>
      </w:tr>
      <w:t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Workload Response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External load + cardiovascular/respiratory response to drill/practice/game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20%</w:t>
            </w:r>
          </w:p>
        </w:tc>
      </w:tr>
      <w:t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Movement / Explosive Capacity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Acceleration/deceleration, sprint/repetition context, position-specific movement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15%</w:t>
            </w:r>
          </w:p>
        </w:tc>
      </w:tr>
      <w:t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Environment &amp; Travel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Heat, air quality, altitude, travel/sleep disruption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5%</w:t>
            </w:r>
          </w:p>
        </w:tc>
      </w:tr>
      <w:t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Individual Baseline Deviation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Longitudinal departure from athlete-normal state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10%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166"/>
            <w:shd w:fill="EAF1F5"/>
            <w:tcMar>
              <w:top w:w="140" w:type="dxa"/>
              <w:start w:w="170" w:type="dxa"/>
              <w:bottom w:w="140" w:type="dxa"/>
              <w:end w:w="170" w:type="dxa"/>
            </w:tcMar>
            <w:vAlign w:val="center"/>
          </w:tcPr>
          <w:p>
            <w:r>
              <w:rPr>
                <w:b/>
                <w:color w:val="00A9E8"/>
              </w:rPr>
              <w:t xml:space="preserve">VALIDITY GATE  </w:t>
            </w:r>
            <w:r>
              <w:t>No composite score should be released when required signal quality, calibration freshness, sample integrity, or minimum-data thresholds fail. Display “WITHHELD / RETEST” with explanation codes rather than manufacturing certainty.</w:t>
            </w:r>
          </w:p>
        </w:tc>
      </w:tr>
    </w:tbl>
    <w:p>
      <w:pPr>
        <w:spacing w:after="0"/>
      </w:pPr>
    </w:p>
    <w:p>
      <w:pPr>
        <w:pStyle w:val="Heading2"/>
      </w:pPr>
      <w:r>
        <w:t>Score output contract</w:t>
      </w:r>
    </w:p>
    <w:p>
      <w:pPr>
        <w:pStyle w:val="ListBullet"/>
      </w:pPr>
      <w:r>
        <w:t>SMX Performance Index (0–100) and band</w:t>
      </w:r>
    </w:p>
    <w:p>
      <w:pPr>
        <w:pStyle w:val="ListBullet"/>
      </w:pPr>
      <w:r>
        <w:t>Readiness / recovery state</w:t>
      </w:r>
    </w:p>
    <w:p>
      <w:pPr>
        <w:pStyle w:val="ListBullet"/>
      </w:pPr>
      <w:r>
        <w:t>Respiratory efficiency state</w:t>
      </w:r>
    </w:p>
    <w:p>
      <w:pPr>
        <w:pStyle w:val="ListBullet"/>
      </w:pPr>
      <w:r>
        <w:t>Workload response state</w:t>
      </w:r>
    </w:p>
    <w:p>
      <w:pPr>
        <w:pStyle w:val="ListBullet"/>
      </w:pPr>
      <w:r>
        <w:t>Movement/explosive state where instrumented</w:t>
      </w:r>
    </w:p>
    <w:p>
      <w:pPr>
        <w:pStyle w:val="ListBullet"/>
      </w:pPr>
      <w:r>
        <w:t>Environment/travel modifier</w:t>
      </w:r>
    </w:p>
    <w:p>
      <w:pPr>
        <w:pStyle w:val="ListBullet"/>
      </w:pPr>
      <w:r>
        <w:t>Baseline deviation</w:t>
      </w:r>
    </w:p>
    <w:p>
      <w:pPr>
        <w:pStyle w:val="ListBullet"/>
      </w:pPr>
      <w:r>
        <w:t>Confidence score and validity status</w:t>
      </w:r>
    </w:p>
    <w:p>
      <w:pPr>
        <w:pStyle w:val="ListBullet"/>
      </w:pPr>
      <w:r>
        <w:t>Top positive and negative drivers</w:t>
      </w:r>
    </w:p>
    <w:p>
      <w:pPr>
        <w:pStyle w:val="ListBullet"/>
      </w:pPr>
      <w:r>
        <w:t>Recommended operational action / retest window</w:t>
      </w:r>
    </w:p>
    <w:p>
      <w:pPr>
        <w:pStyle w:val="ListBullet"/>
      </w:pPr>
      <w:r>
        <w:t>Audit/provenance record</w:t>
      </w:r>
    </w:p>
    <w:p>
      <w:pPr>
        <w:pStyle w:val="Eyebrow"/>
      </w:pPr>
      <w:r>
        <w:t>05 / POSITION INTELLIGENCE</w:t>
      </w:r>
    </w:p>
    <w:p>
      <w:pPr>
        <w:pStyle w:val="Heading1"/>
      </w:pPr>
      <w:r>
        <w:t>Position-specific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0B17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2541"/>
            <w:shd w:fill="0B17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Positions</w:t>
            </w:r>
          </w:p>
        </w:tc>
        <w:tc>
          <w:tcPr>
            <w:tcW w:type="dxa" w:w="2541"/>
            <w:shd w:fill="0B17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Primary intelligence</w:t>
            </w:r>
          </w:p>
        </w:tc>
        <w:tc>
          <w:tcPr>
            <w:tcW w:type="dxa" w:w="2541"/>
            <w:shd w:fill="0B172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</w:rPr>
              <w:t>Guardrail</w:t>
            </w:r>
          </w:p>
        </w:tc>
      </w:tr>
      <w:tr>
        <w:tc>
          <w:tcPr>
            <w:tcW w:type="dxa" w:w="254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b/>
                <w:sz w:val="17"/>
              </w:rPr>
              <w:t>SMX-QB™</w:t>
            </w:r>
          </w:p>
        </w:tc>
        <w:tc>
          <w:tcPr>
            <w:tcW w:type="dxa" w:w="254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sz w:val="17"/>
              </w:rPr>
              <w:t>Quarterback</w:t>
            </w:r>
          </w:p>
        </w:tc>
        <w:tc>
          <w:tcPr>
            <w:tcW w:type="dxa" w:w="254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sz w:val="17"/>
              </w:rPr>
              <w:t>Cognitive/workload context, throwing workload, respiratory recovery, movement efficiency, stress/recovery, decision-performance research</w:t>
            </w:r>
          </w:p>
        </w:tc>
        <w:tc>
          <w:tcPr>
            <w:tcW w:type="dxa" w:w="254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sz w:val="17"/>
              </w:rPr>
              <w:t>Do not claim direct cognition measurement without validated inputs.</w:t>
            </w:r>
          </w:p>
        </w:tc>
      </w:tr>
      <w:tr>
        <w:tc>
          <w:tcPr>
            <w:tcW w:type="dxa" w:w="254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b/>
                <w:sz w:val="17"/>
              </w:rPr>
              <w:t>SMX-SKILL™</w:t>
            </w:r>
          </w:p>
        </w:tc>
        <w:tc>
          <w:tcPr>
            <w:tcW w:type="dxa" w:w="254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sz w:val="17"/>
              </w:rPr>
              <w:t>WR / RB / DB</w:t>
            </w:r>
          </w:p>
        </w:tc>
        <w:tc>
          <w:tcPr>
            <w:tcW w:type="dxa" w:w="254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sz w:val="17"/>
              </w:rPr>
              <w:t>Sprint exposure, acceleration/deceleration, explosive repetition, respiratory recovery, fatigue-related movement change</w:t>
            </w:r>
          </w:p>
        </w:tc>
        <w:tc>
          <w:tcPr>
            <w:tcW w:type="dxa" w:w="254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sz w:val="17"/>
              </w:rPr>
              <w:t>Separate external load from physiological response.</w:t>
            </w:r>
          </w:p>
        </w:tc>
      </w:tr>
      <w:tr>
        <w:tc>
          <w:tcPr>
            <w:tcW w:type="dxa" w:w="254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b/>
                <w:sz w:val="17"/>
              </w:rPr>
              <w:t>SMX-TRENCH™</w:t>
            </w:r>
          </w:p>
        </w:tc>
        <w:tc>
          <w:tcPr>
            <w:tcW w:type="dxa" w:w="254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sz w:val="17"/>
              </w:rPr>
              <w:t>OL / DL</w:t>
            </w:r>
          </w:p>
        </w:tc>
        <w:tc>
          <w:tcPr>
            <w:tcW w:type="dxa" w:w="254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sz w:val="17"/>
              </w:rPr>
              <w:t>Collision/load accumulation where data available, repeated explosive exertion, respiratory burden, heat stress, recovery</w:t>
            </w:r>
          </w:p>
        </w:tc>
        <w:tc>
          <w:tcPr>
            <w:tcW w:type="dxa" w:w="254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sz w:val="17"/>
              </w:rPr>
              <w:t>Contact-load inputs require instrumented source or team data.</w:t>
            </w:r>
          </w:p>
        </w:tc>
      </w:tr>
      <w:tr>
        <w:tc>
          <w:tcPr>
            <w:tcW w:type="dxa" w:w="254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b/>
                <w:sz w:val="17"/>
              </w:rPr>
              <w:t>SMX-LB/TE™</w:t>
            </w:r>
          </w:p>
        </w:tc>
        <w:tc>
          <w:tcPr>
            <w:tcW w:type="dxa" w:w="254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sz w:val="17"/>
              </w:rPr>
              <w:t>LB / TE / hybrid</w:t>
            </w:r>
          </w:p>
        </w:tc>
        <w:tc>
          <w:tcPr>
            <w:tcW w:type="dxa" w:w="254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sz w:val="17"/>
              </w:rPr>
              <w:t>Mixed sprint/contact workload, change of direction, repeated effort, recovery, heat/environment context</w:t>
            </w:r>
          </w:p>
        </w:tc>
        <w:tc>
          <w:tcPr>
            <w:tcW w:type="dxa" w:w="254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sz w:val="17"/>
              </w:rPr>
              <w:t>Hybrid position model; configurable by role.</w:t>
            </w:r>
          </w:p>
        </w:tc>
      </w:tr>
      <w:tr>
        <w:tc>
          <w:tcPr>
            <w:tcW w:type="dxa" w:w="254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b/>
                <w:sz w:val="17"/>
              </w:rPr>
              <w:t>SMX-ST™</w:t>
            </w:r>
          </w:p>
        </w:tc>
        <w:tc>
          <w:tcPr>
            <w:tcW w:type="dxa" w:w="254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sz w:val="17"/>
              </w:rPr>
              <w:t>K/P/return/coverage</w:t>
            </w:r>
          </w:p>
        </w:tc>
        <w:tc>
          <w:tcPr>
            <w:tcW w:type="dxa" w:w="254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sz w:val="17"/>
              </w:rPr>
              <w:t>Sprint/recovery cycles, explosive readiness, workload, travel/environment context</w:t>
            </w:r>
          </w:p>
        </w:tc>
        <w:tc>
          <w:tcPr>
            <w:tcW w:type="dxa" w:w="2541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r>
              <w:rPr>
                <w:sz w:val="17"/>
              </w:rPr>
              <w:t>Role-specific modules; avoid one-size-fits-all special teams score.</w:t>
            </w:r>
          </w:p>
        </w:tc>
      </w:tr>
    </w:tbl>
    <w:p>
      <w:pPr>
        <w:pStyle w:val="Heading2"/>
      </w:pPr>
      <w:r>
        <w:t>Football context object</w:t>
      </w:r>
    </w:p>
    <w:p>
      <w:r>
        <w:t>Every analytic event should be able to carry the following context when available:</w:t>
      </w:r>
    </w:p>
    <w:p>
      <w:pPr>
        <w:pStyle w:val="ListBullet"/>
      </w:pPr>
      <w:r>
        <w:t>athlete ID / consent state / roster role</w:t>
      </w:r>
    </w:p>
    <w:p>
      <w:pPr>
        <w:pStyle w:val="ListBullet"/>
      </w:pPr>
      <w:r>
        <w:t>position and position group</w:t>
      </w:r>
    </w:p>
    <w:p>
      <w:pPr>
        <w:pStyle w:val="ListBullet"/>
      </w:pPr>
      <w:r>
        <w:t>session type: recovery, lift, conditioning, practice, walkthrough, game</w:t>
      </w:r>
    </w:p>
    <w:p>
      <w:pPr>
        <w:pStyle w:val="ListBullet"/>
      </w:pPr>
      <w:r>
        <w:t>drill and rep identifier</w:t>
      </w:r>
    </w:p>
    <w:p>
      <w:pPr>
        <w:pStyle w:val="ListBullet"/>
      </w:pPr>
      <w:r>
        <w:t>snap/play identifier and personnel context where integrated</w:t>
      </w:r>
    </w:p>
    <w:p>
      <w:pPr>
        <w:pStyle w:val="ListBullet"/>
      </w:pPr>
      <w:r>
        <w:t>drive, quarter, game and opponent</w:t>
      </w:r>
    </w:p>
    <w:p>
      <w:pPr>
        <w:pStyle w:val="ListBullet"/>
      </w:pPr>
      <w:r>
        <w:t>surface / venue / indoor-outdoor</w:t>
      </w:r>
    </w:p>
    <w:p>
      <w:pPr>
        <w:pStyle w:val="ListBullet"/>
      </w:pPr>
      <w:r>
        <w:t>weather, heat, air quality and altitude</w:t>
      </w:r>
    </w:p>
    <w:p>
      <w:pPr>
        <w:pStyle w:val="ListBullet"/>
      </w:pPr>
      <w:r>
        <w:t>travel leg / time-zone shift / days since travel</w:t>
      </w:r>
    </w:p>
    <w:p>
      <w:pPr>
        <w:pStyle w:val="ListBullet"/>
      </w:pPr>
      <w:r>
        <w:t>equipment/sensor configuration</w:t>
      </w:r>
    </w:p>
    <w:p>
      <w:pPr>
        <w:pStyle w:val="ListBullet"/>
      </w:pPr>
      <w:r>
        <w:t>injury/return-to-play status only when governed and authorized</w:t>
      </w:r>
    </w:p>
    <w:p>
      <w:pPr>
        <w:pStyle w:val="Eyebrow"/>
      </w:pPr>
      <w:r>
        <w:t>06 / DATA + SYSTEM ARCHITECTURE</w:t>
      </w:r>
    </w:p>
    <w:p>
      <w:pPr>
        <w:pStyle w:val="Heading1"/>
      </w:pPr>
      <w:r>
        <w:t>From signal to football decision support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496"/>
      </w:tblGrid>
      <w:tr>
        <w:tc>
          <w:tcPr>
            <w:tcW w:type="dxa" w:w="10166"/>
            <w:shd w:fill="0B172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ATHLETE + DEVICE SIGNALS</w:t>
            </w:r>
          </w:p>
        </w:tc>
      </w:tr>
    </w:tbl>
    <w:p>
      <w:pPr>
        <w:spacing w:after="20" w:before="20"/>
        <w:jc w:val="center"/>
      </w:pPr>
      <w: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496"/>
      </w:tblGrid>
      <w:tr>
        <w:tc>
          <w:tcPr>
            <w:tcW w:type="dxa" w:w="10166"/>
            <w:shd w:fill="E8F6FC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B1722"/>
              </w:rPr>
              <w:t>CONTEXT + TEAM DATA</w:t>
            </w:r>
          </w:p>
        </w:tc>
      </w:tr>
    </w:tbl>
    <w:p>
      <w:pPr>
        <w:spacing w:after="20" w:before="20"/>
        <w:jc w:val="center"/>
      </w:pPr>
      <w: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496"/>
      </w:tblGrid>
      <w:tr>
        <w:tc>
          <w:tcPr>
            <w:tcW w:type="dxa" w:w="10166"/>
            <w:shd w:fill="EAF1F5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B1722"/>
              </w:rPr>
              <w:t>VALIDITY / QUALITY GATE</w:t>
            </w:r>
          </w:p>
        </w:tc>
      </w:tr>
    </w:tbl>
    <w:p>
      <w:pPr>
        <w:spacing w:after="20" w:before="20"/>
        <w:jc w:val="center"/>
      </w:pPr>
      <w: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496"/>
      </w:tblGrid>
      <w:tr>
        <w:tc>
          <w:tcPr>
            <w:tcW w:type="dxa" w:w="10166"/>
            <w:shd w:fill="E8F6FC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B1722"/>
              </w:rPr>
              <w:t>RCM / SMX ANALYTICS</w:t>
            </w:r>
          </w:p>
        </w:tc>
      </w:tr>
    </w:tbl>
    <w:p>
      <w:pPr>
        <w:spacing w:after="20" w:before="20"/>
        <w:jc w:val="center"/>
      </w:pPr>
      <w: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496"/>
      </w:tblGrid>
      <w:tr>
        <w:tc>
          <w:tcPr>
            <w:tcW w:type="dxa" w:w="10166"/>
            <w:shd w:fill="EAF1F5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B1722"/>
              </w:rPr>
              <w:t>INDIVIDUAL BASELINE + DIGITAL ATHLETE TWIN</w:t>
            </w:r>
          </w:p>
        </w:tc>
      </w:tr>
    </w:tbl>
    <w:p>
      <w:pPr>
        <w:spacing w:after="20" w:before="20"/>
        <w:jc w:val="center"/>
      </w:pPr>
      <w: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496"/>
      </w:tblGrid>
      <w:tr>
        <w:tc>
          <w:tcPr>
            <w:tcW w:type="dxa" w:w="10166"/>
            <w:shd w:fill="E8F6FC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B1722"/>
              </w:rPr>
              <w:t>FOOTBALL-SPECIFIC MODELS</w:t>
            </w:r>
          </w:p>
        </w:tc>
      </w:tr>
    </w:tbl>
    <w:p>
      <w:pPr>
        <w:spacing w:after="20" w:before="20"/>
        <w:jc w:val="center"/>
      </w:pPr>
      <w: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496"/>
      </w:tblGrid>
      <w:tr>
        <w:tc>
          <w:tcPr>
            <w:tcW w:type="dxa" w:w="10166"/>
            <w:shd w:fill="EAF1F5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B1722"/>
              </w:rPr>
              <w:t>PLAYER / POSITION / TEAM COMMAND</w:t>
            </w:r>
          </w:p>
        </w:tc>
      </w:tr>
    </w:tbl>
    <w:p>
      <w:pPr>
        <w:spacing w:after="20" w:before="20"/>
        <w:jc w:val="center"/>
      </w:pPr>
      <w: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496"/>
      </w:tblGrid>
      <w:tr>
        <w:tc>
          <w:tcPr>
            <w:tcW w:type="dxa" w:w="10166"/>
            <w:shd w:fill="0B172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REPORTS • API • RESEARCH DATA PRODUCTS</w:t>
            </w:r>
          </w:p>
        </w:tc>
      </w:tr>
    </w:tbl>
    <w:p>
      <w:pPr>
        <w:pStyle w:val="Heading2"/>
      </w:pPr>
      <w:r>
        <w:t>Data domains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B17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Domain</w:t>
            </w:r>
          </w:p>
        </w:tc>
        <w:tc>
          <w:tcPr>
            <w:tcW w:type="dxa" w:w="5083"/>
            <w:shd w:fill="0B17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Examples / design requirement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Respiratory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Respiratory rate; exhaled CO₂ proxy where instrumented; breath-phase consistency; sample quality; baseline deviation.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Cardiovascular / recovery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Heart rate; IBI/HRV; SpO₂; sleep; skin temperature; activity/exertion context where available.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Movement / workload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Accelerometry; sprint/accel/decel; distance; drill reps; team workload feeds; contact load only if sourced.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Environmental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Heat/temperature; humidity; air quality/PM/VOC/CO₂; altitude; indoor/outdoor/venue context.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Football context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Position, drill, snap, drive, quarter, game, opponent, travel, surface, practice type.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Governance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Consent, athlete identity mapping, device calibration, data provenance, confidence, retention, access role, audit trail.</w:t>
            </w:r>
          </w:p>
        </w:tc>
      </w:tr>
    </w:tbl>
    <w:p>
      <w:pPr>
        <w:pStyle w:val="Eyebrow"/>
      </w:pPr>
      <w:r>
        <w:t>07 / TEAM COMMAND EXPERIENCE</w:t>
      </w:r>
    </w:p>
    <w:p>
      <w:pPr>
        <w:pStyle w:val="Heading1"/>
      </w:pPr>
      <w:r>
        <w:t>SMX Team Command™ dashboard suite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B17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View</w:t>
            </w:r>
          </w:p>
        </w:tc>
        <w:tc>
          <w:tcPr>
            <w:tcW w:type="dxa" w:w="5083"/>
            <w:shd w:fill="0B17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Minimum capability</w:t>
            </w:r>
          </w:p>
        </w:tc>
      </w:tr>
      <w:tr>
        <w:tc>
          <w:tcPr>
            <w:tcW w:type="dxa" w:w="5083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b/>
              </w:rPr>
              <w:t>Roster Mission Control</w:t>
            </w:r>
          </w:p>
        </w:tc>
        <w:tc>
          <w:tcPr>
            <w:tcW w:type="dxa" w:w="5083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t>Roster readiness distribution, exceptions, trend, confidence, position-group state.</w:t>
            </w:r>
          </w:p>
        </w:tc>
      </w:tr>
      <w:tr>
        <w:tc>
          <w:tcPr>
            <w:tcW w:type="dxa" w:w="5083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b/>
              </w:rPr>
              <w:t>Player 360</w:t>
            </w:r>
          </w:p>
        </w:tc>
        <w:tc>
          <w:tcPr>
            <w:tcW w:type="dxa" w:w="5083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t>Individual baseline, today vs baseline, workload, recovery, respiratory state, trend, explanation codes.</w:t>
            </w:r>
          </w:p>
        </w:tc>
      </w:tr>
      <w:tr>
        <w:tc>
          <w:tcPr>
            <w:tcW w:type="dxa" w:w="5083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b/>
              </w:rPr>
              <w:t>Position Room</w:t>
            </w:r>
          </w:p>
        </w:tc>
        <w:tc>
          <w:tcPr>
            <w:tcW w:type="dxa" w:w="5083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t>QB / skill / trench / hybrid / ST comparison within role-specific model.</w:t>
            </w:r>
          </w:p>
        </w:tc>
      </w:tr>
      <w:tr>
        <w:tc>
          <w:tcPr>
            <w:tcW w:type="dxa" w:w="5083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b/>
              </w:rPr>
              <w:t>Practice Command</w:t>
            </w:r>
          </w:p>
        </w:tc>
        <w:tc>
          <w:tcPr>
            <w:tcW w:type="dxa" w:w="5083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t>Drill-level workload and physiological response; exceptions; recovery between periods.</w:t>
            </w:r>
          </w:p>
        </w:tc>
      </w:tr>
      <w:tr>
        <w:tc>
          <w:tcPr>
            <w:tcW w:type="dxa" w:w="5083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b/>
              </w:rPr>
              <w:t>Game Readiness</w:t>
            </w:r>
          </w:p>
        </w:tc>
        <w:tc>
          <w:tcPr>
            <w:tcW w:type="dxa" w:w="5083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t>Pre-game state, travel/environment modifiers, availability intelligence; no autonomous lineup decisions.</w:t>
            </w:r>
          </w:p>
        </w:tc>
      </w:tr>
      <w:tr>
        <w:tc>
          <w:tcPr>
            <w:tcW w:type="dxa" w:w="5083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b/>
              </w:rPr>
              <w:t>Recovery Command</w:t>
            </w:r>
          </w:p>
        </w:tc>
        <w:tc>
          <w:tcPr>
            <w:tcW w:type="dxa" w:w="5083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t>Post-practice/game recovery, sleep, HRV, respiratory recovery, retest queue.</w:t>
            </w:r>
          </w:p>
        </w:tc>
      </w:tr>
      <w:tr>
        <w:tc>
          <w:tcPr>
            <w:tcW w:type="dxa" w:w="5083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b/>
              </w:rPr>
              <w:t>Environment &amp; Venue</w:t>
            </w:r>
          </w:p>
        </w:tc>
        <w:tc>
          <w:tcPr>
            <w:tcW w:type="dxa" w:w="5083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t>Heat, AQ, altitude, venue modifiers and human-response research.</w:t>
            </w:r>
          </w:p>
        </w:tc>
      </w:tr>
      <w:tr>
        <w:tc>
          <w:tcPr>
            <w:tcW w:type="dxa" w:w="5083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b/>
              </w:rPr>
              <w:t>Travel Intelligence</w:t>
            </w:r>
          </w:p>
        </w:tc>
        <w:tc>
          <w:tcPr>
            <w:tcW w:type="dxa" w:w="5083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t>Time-zone, sleep disruption, physiological change, recovery trajectory.</w:t>
            </w:r>
          </w:p>
        </w:tc>
      </w:tr>
      <w:tr>
        <w:tc>
          <w:tcPr>
            <w:tcW w:type="dxa" w:w="5083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b/>
              </w:rPr>
              <w:t>Intervention Queue</w:t>
            </w:r>
          </w:p>
        </w:tc>
        <w:tc>
          <w:tcPr>
            <w:tcW w:type="dxa" w:w="5083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t>Human-reviewed alerts, reason codes, confidence, recommended follow-up/retest.</w:t>
            </w:r>
          </w:p>
        </w:tc>
      </w:tr>
      <w:tr>
        <w:tc>
          <w:tcPr>
            <w:tcW w:type="dxa" w:w="5083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b/>
              </w:rPr>
              <w:t>Data Quality &amp; Validity</w:t>
            </w:r>
          </w:p>
        </w:tc>
        <w:tc>
          <w:tcPr>
            <w:tcW w:type="dxa" w:w="5083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t>Sensor status, missingness, calibration, artifact, withheld outputs.</w:t>
            </w:r>
          </w:p>
        </w:tc>
      </w:tr>
      <w:tr>
        <w:tc>
          <w:tcPr>
            <w:tcW w:type="dxa" w:w="5083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b/>
              </w:rPr>
              <w:t>Research / Export</w:t>
            </w:r>
          </w:p>
        </w:tc>
        <w:tc>
          <w:tcPr>
            <w:tcW w:type="dxa" w:w="5083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t>Governed cohort analytics, de-identified exports, model validation workspace.</w:t>
            </w:r>
          </w:p>
        </w:tc>
      </w:tr>
    </w:tbl>
    <w:p>
      <w:pPr>
        <w:pStyle w:val="Heading2"/>
      </w:pPr>
      <w:r>
        <w:t>UI rules</w:t>
      </w:r>
    </w:p>
    <w:p>
      <w:pPr>
        <w:pStyle w:val="ListBullet"/>
      </w:pPr>
      <w:r>
        <w:t>Show confidence/validity adjacent to every consequential score.</w:t>
      </w:r>
    </w:p>
    <w:p>
      <w:pPr>
        <w:pStyle w:val="ListBullet"/>
      </w:pPr>
      <w:r>
        <w:t>Show “why” before “what to do”: top drivers and baseline comparison precede recommendation.</w:t>
      </w:r>
    </w:p>
    <w:p>
      <w:pPr>
        <w:pStyle w:val="ListBullet"/>
      </w:pPr>
      <w:r>
        <w:t>Use exception-based roster views; do not overwhelm coaches with raw sensor streams.</w:t>
      </w:r>
    </w:p>
    <w:p>
      <w:pPr>
        <w:pStyle w:val="ListBullet"/>
      </w:pPr>
      <w:r>
        <w:t>Preserve athlete access to their own longitudinal information where governance permits.</w:t>
      </w:r>
    </w:p>
    <w:p>
      <w:pPr>
        <w:pStyle w:val="ListBullet"/>
      </w:pPr>
      <w:r>
        <w:t>Use role-based views: athlete, performance staff, medical/research, coach/football ops, executive.</w:t>
      </w:r>
    </w:p>
    <w:p>
      <w:pPr>
        <w:pStyle w:val="ListBullet"/>
      </w:pPr>
      <w:r>
        <w:t>Never use red/green alone; pair status color with text/icon for accessibility.</w:t>
      </w:r>
    </w:p>
    <w:p>
      <w:pPr>
        <w:pStyle w:val="Eyebrow"/>
      </w:pPr>
      <w:r>
        <w:t>08 / FOOTBALL USE CASES</w:t>
      </w:r>
    </w:p>
    <w:p>
      <w:pPr>
        <w:pStyle w:val="Heading1"/>
      </w:pPr>
      <w:r>
        <w:t>Priority workflows</w:t>
      </w:r>
    </w:p>
    <w:p>
      <w:r>
        <w:rPr>
          <w:b/>
          <w:color w:val="00A9E8"/>
        </w:rPr>
        <w:t xml:space="preserve">Off-season development: </w:t>
      </w:r>
      <w:r>
        <w:t>Establish baseline; track conditioning adaptation; respiratory/recovery response; training-load tolerance; longitudinal improvement.</w:t>
      </w:r>
    </w:p>
    <w:p>
      <w:r>
        <w:rPr>
          <w:b/>
          <w:color w:val="00A9E8"/>
        </w:rPr>
        <w:t xml:space="preserve">Training camp: </w:t>
      </w:r>
      <w:r>
        <w:t>High-frequency readiness; heat/environment burden; cumulative load; position-group comparisons; recovery queue.</w:t>
      </w:r>
    </w:p>
    <w:p>
      <w:r>
        <w:rPr>
          <w:b/>
          <w:color w:val="00A9E8"/>
        </w:rPr>
        <w:t xml:space="preserve">In-season practice: </w:t>
      </w:r>
      <w:r>
        <w:t>Daily readiness, drill response, load management, recovery between high-load days, individualized baseline deviation.</w:t>
      </w:r>
    </w:p>
    <w:p>
      <w:r>
        <w:rPr>
          <w:b/>
          <w:color w:val="00A9E8"/>
        </w:rPr>
        <w:t xml:space="preserve">Game week: </w:t>
      </w:r>
      <w:r>
        <w:t>Travel/sleep/environment modifiers; readiness trend; position-group exceptions; confidence-gated pre-game report.</w:t>
      </w:r>
    </w:p>
    <w:p>
      <w:r>
        <w:rPr>
          <w:b/>
          <w:color w:val="00A9E8"/>
        </w:rPr>
        <w:t xml:space="preserve">Post-game recovery: </w:t>
      </w:r>
      <w:r>
        <w:t>Respiratory/cardiovascular recovery trajectory; sleep debt; workload residual; retest timing.</w:t>
      </w:r>
    </w:p>
    <w:p>
      <w:r>
        <w:rPr>
          <w:b/>
          <w:color w:val="00A9E8"/>
        </w:rPr>
        <w:t xml:space="preserve">Return-to-performance research: </w:t>
      </w:r>
      <w:r>
        <w:t>Governed longitudinal comparison to athlete baseline and workload tolerance; medical decisions remain with qualified staff.</w:t>
      </w:r>
    </w:p>
    <w:p>
      <w:r>
        <w:rPr>
          <w:b/>
          <w:color w:val="00A9E8"/>
        </w:rPr>
        <w:t xml:space="preserve">Venue / climate preparation: </w:t>
      </w:r>
      <w:r>
        <w:t>Air quality, heat, humidity, altitude and observed athlete response; venue suitability/performance degradation research.</w:t>
      </w:r>
    </w:p>
    <w:p>
      <w:r>
        <w:rPr>
          <w:b/>
          <w:color w:val="00A9E8"/>
        </w:rPr>
        <w:t xml:space="preserve">Roster / season analytics: </w:t>
      </w:r>
      <w:r>
        <w:t>Availability trends, position-group workload, recovery burden, travel effects, longitudinal performance research.</w:t>
      </w:r>
    </w:p>
    <w:p>
      <w:pPr>
        <w:pStyle w:val="Heading2"/>
      </w:pPr>
      <w:r>
        <w:t>Target buyers and users</w:t>
      </w:r>
    </w:p>
    <w:p>
      <w:pPr>
        <w:pStyle w:val="ListBullet"/>
      </w:pPr>
      <w:r>
        <w:t>NFL, CFL, UFL and professional football organizations</w:t>
      </w:r>
    </w:p>
    <w:p>
      <w:pPr>
        <w:pStyle w:val="ListBullet"/>
      </w:pPr>
      <w:r>
        <w:t>NCAA / university football performance programs</w:t>
      </w:r>
    </w:p>
    <w:p>
      <w:pPr>
        <w:pStyle w:val="ListBullet"/>
      </w:pPr>
      <w:r>
        <w:t>Elite academies and training facilities</w:t>
      </w:r>
    </w:p>
    <w:p>
      <w:pPr>
        <w:pStyle w:val="ListBullet"/>
      </w:pPr>
      <w:r>
        <w:t>Strength &amp; conditioning and sports-science departments</w:t>
      </w:r>
    </w:p>
    <w:p>
      <w:pPr>
        <w:pStyle w:val="ListBullet"/>
      </w:pPr>
      <w:r>
        <w:t>Team medical/research groups under appropriate governance</w:t>
      </w:r>
    </w:p>
    <w:p>
      <w:pPr>
        <w:pStyle w:val="ListBullet"/>
      </w:pPr>
      <w:r>
        <w:t>Equipment and wearable OEM partners</w:t>
      </w:r>
    </w:p>
    <w:p>
      <w:pPr>
        <w:pStyle w:val="ListBullet"/>
      </w:pPr>
      <w:r>
        <w:t>Insurance / athlete availability research partners</w:t>
      </w:r>
    </w:p>
    <w:p>
      <w:pPr>
        <w:pStyle w:val="ListBullet"/>
      </w:pPr>
      <w:r>
        <w:t>Leagues, venues and performance-data partners</w:t>
      </w:r>
    </w:p>
    <w:p>
      <w:pPr>
        <w:pStyle w:val="Eyebrow"/>
      </w:pPr>
      <w:r>
        <w:t>09 / COMMERCIAL ARCHITECTURE</w:t>
      </w:r>
    </w:p>
    <w:p>
      <w:pPr>
        <w:pStyle w:val="Heading1"/>
      </w:pPr>
      <w:r>
        <w:t>How Sportmetryx Football becomes a product business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B17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Revenue layer</w:t>
            </w:r>
          </w:p>
        </w:tc>
        <w:tc>
          <w:tcPr>
            <w:tcW w:type="dxa" w:w="5083"/>
            <w:shd w:fill="0B17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Offer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Team Platform License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Annual enterprise software license for Team Command, player/position analytics, reports and APIs.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Athlete / Seat License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Per-athlete annual license for Player 360, longitudinal baseline and recovery/readiness intelligence.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Device / Sensor Integration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Approved device bundle, integration, leasing or partner hardware; hardware must not define the platform.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Performance Science Services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Baseline design, model configuration, validation studies, implementation and staff training.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Data / Research Programs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Governed, consented and appropriately de-identified research cohorts and analytics products.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OEM / League Integration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Embedded SMX intelligence/API for equipment, wearable, venue or league partners.</w:t>
            </w:r>
          </w:p>
        </w:tc>
      </w:tr>
    </w:tbl>
    <w:p>
      <w:pPr>
        <w:pStyle w:val="Heading2"/>
      </w:pPr>
      <w:r>
        <w:t>Packaging concept</w:t>
      </w:r>
    </w:p>
    <w:p>
      <w:r>
        <w:rPr>
          <w:b/>
          <w:color w:val="00A9E8"/>
        </w:rPr>
        <w:t xml:space="preserve">SMX Football Core — </w:t>
      </w:r>
      <w:r>
        <w:t>Player Readiness + Recovery + Team Command + validity layer.</w:t>
      </w:r>
    </w:p>
    <w:p>
      <w:r>
        <w:rPr>
          <w:b/>
          <w:color w:val="00A9E8"/>
        </w:rPr>
        <w:t xml:space="preserve">SMX Football Pro — </w:t>
      </w:r>
      <w:r>
        <w:t>Core + Load Intelligence + position models + travel/environment + API.</w:t>
      </w:r>
    </w:p>
    <w:p>
      <w:r>
        <w:rPr>
          <w:b/>
          <w:color w:val="00A9E8"/>
        </w:rPr>
        <w:t xml:space="preserve">SMX Football Research — </w:t>
      </w:r>
      <w:r>
        <w:t>Pro + governed research workspace + model validation + cohort/export tooling.</w:t>
      </w:r>
    </w:p>
    <w:p>
      <w:r>
        <w:rPr>
          <w:b/>
          <w:color w:val="00A9E8"/>
        </w:rPr>
        <w:t xml:space="preserve">SMX Football Enterprise — </w:t>
      </w:r>
      <w:r>
        <w:t>Multi-team / league / academy deployment, custom integrations, advanced governance, data products.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166"/>
            <w:shd w:fill="EAF1F5"/>
            <w:tcMar>
              <w:top w:w="140" w:type="dxa"/>
              <w:start w:w="170" w:type="dxa"/>
              <w:bottom w:w="140" w:type="dxa"/>
              <w:end w:w="170" w:type="dxa"/>
            </w:tcMar>
            <w:vAlign w:val="center"/>
          </w:tcPr>
          <w:p>
            <w:r>
              <w:rPr>
                <w:b/>
                <w:color w:val="00A9E8"/>
              </w:rPr>
              <w:t xml:space="preserve">PRICING  </w:t>
            </w:r>
            <w:r>
              <w:t>Interns should build pricing architecture and unit economics as a separate workstream. Do not publish invented pricing in external materials until executive approval.</w:t>
            </w:r>
          </w:p>
        </w:tc>
      </w:tr>
    </w:tbl>
    <w:p>
      <w:pPr>
        <w:spacing w:after="0"/>
      </w:pPr>
    </w:p>
    <w:p>
      <w:pPr>
        <w:pStyle w:val="Eyebrow"/>
      </w:pPr>
      <w:r>
        <w:t>10 / IP + CLAIM BOUNDARIES</w:t>
      </w:r>
    </w:p>
    <w:p>
      <w:pPr>
        <w:pStyle w:val="Heading1"/>
      </w:pPr>
      <w:r>
        <w:t>Protect the platform; do not overclaim the sensors</w:t>
      </w:r>
    </w:p>
    <w:p>
      <w:r>
        <w:rPr>
          <w:b/>
          <w:color w:val="00A9E8"/>
        </w:rPr>
        <w:t xml:space="preserve">Existing HMX foundation: </w:t>
      </w:r>
      <w:r>
        <w:t>Respiratory intelligence architecture, validity gating, multimodal fusion, longitudinal baselines, functional readiness logic, data provenance and platform workflows.</w:t>
      </w:r>
    </w:p>
    <w:p>
      <w:r>
        <w:rPr>
          <w:b/>
          <w:color w:val="00A9E8"/>
        </w:rPr>
        <w:t xml:space="preserve">Football continuation opportunities: </w:t>
      </w:r>
      <w:r>
        <w:t>Football context engine; position-specific multimodal performance models; snap/drive temporal alignment; athlete digital twin; context-adaptive readiness; explainable team command; performance-degradation forecasting.</w:t>
      </w:r>
    </w:p>
    <w:p>
      <w:r>
        <w:rPr>
          <w:b/>
          <w:color w:val="00A9E8"/>
        </w:rPr>
        <w:t xml:space="preserve">Potential hardware integration IP: </w:t>
      </w:r>
      <w:r>
        <w:t>Sensor placement, device orchestration, football equipment integration, multi-device calibration and quality gating—subject to prior-art and freedom-to-operate review.</w:t>
      </w:r>
    </w:p>
    <w:p>
      <w:r>
        <w:rPr>
          <w:b/>
          <w:color w:val="00A9E8"/>
        </w:rPr>
        <w:t xml:space="preserve">Data asset: </w:t>
      </w:r>
      <w:r>
        <w:t>Longitudinal, consented football respiratory + physiological + workload + environment + context dataset and derived models.</w:t>
      </w:r>
    </w:p>
    <w:p>
      <w:r>
        <w:rPr>
          <w:b/>
          <w:color w:val="00A9E8"/>
        </w:rPr>
        <w:t xml:space="preserve">Trade secrets: </w:t>
      </w:r>
      <w:r>
        <w:t>Feature engineering, model weights, validity thresholds, baseline adaptation, explanation logic, integration mappings, deployment playbooks.</w:t>
      </w:r>
    </w:p>
    <w:p>
      <w:pPr>
        <w:pStyle w:val="Heading2"/>
      </w:pPr>
      <w:r>
        <w:t>Claim language guardrails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B17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Use</w:t>
            </w:r>
          </w:p>
        </w:tc>
        <w:tc>
          <w:tcPr>
            <w:tcW w:type="dxa" w:w="5083"/>
            <w:shd w:fill="0B17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Avoid unless validated / authorized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readiness signal; recovery trend; risk signal; performance degradation research; workload response; decision support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diagnoses injury; prevents concussion; predicts injury with certainty; medical clearance; cognitive diagnosis; guaranteed performance improvement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validity-gated; confidence score; baseline deviation; research/prototype model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clinically validated unless evidence exists; FDA-cleared unless actually cleared; autonomous coaching/medical decision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environmental modifier; human-response correlation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causal environmental harm without validated study design</w:t>
            </w:r>
          </w:p>
        </w:tc>
      </w:tr>
    </w:tbl>
    <w:p>
      <w:pPr>
        <w:pStyle w:val="Eyebrow"/>
      </w:pPr>
      <w:r>
        <w:t>11 / INTERN EXECUTION PLAN</w:t>
      </w:r>
    </w:p>
    <w:p>
      <w:pPr>
        <w:pStyle w:val="Heading1"/>
      </w:pPr>
      <w:r>
        <w:t>12-week build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0B17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Timing</w:t>
            </w:r>
          </w:p>
        </w:tc>
        <w:tc>
          <w:tcPr>
            <w:tcW w:type="dxa" w:w="3389"/>
            <w:shd w:fill="0B17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Workstream</w:t>
            </w:r>
          </w:p>
        </w:tc>
        <w:tc>
          <w:tcPr>
            <w:tcW w:type="dxa" w:w="3389"/>
            <w:shd w:fill="0B17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Exit deliverables</w:t>
            </w:r>
          </w:p>
        </w:tc>
      </w:tr>
      <w:t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Weeks 1–2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Brand + requirements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Brand kit; terminology glossary; source-of-truth register; user roles; product requirements; data dictionary v0.1.</w:t>
            </w:r>
          </w:p>
        </w:tc>
      </w:tr>
      <w:t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Weeks 3–4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UX + data model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Team Command wireframes; Player 360; position room; event/context schema; validity states; synthetic football dataset.</w:t>
            </w:r>
          </w:p>
        </w:tc>
      </w:tr>
      <w:t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Weeks 5–6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Scoring prototype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Transparent SMX Performance Index; baseline logic; confidence/withhold rules; explanation codes; unit tests.</w:t>
            </w:r>
          </w:p>
        </w:tc>
      </w:tr>
      <w:t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Weeks 7–8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Position models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QB, Skill, Trench, Hybrid, ST model configurations; drill/practice/game context; environment/travel modifiers.</w:t>
            </w:r>
          </w:p>
        </w:tc>
      </w:tr>
      <w:t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Weeks 9–10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Integrated demo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End-to-end demo: capture/import → validity → scoring → Player 360 → Team Command → report/export.</w:t>
            </w:r>
          </w:p>
        </w:tc>
      </w:tr>
      <w:tr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Weeks 11–12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Validation + commercialization</w:t>
            </w:r>
          </w:p>
        </w:tc>
        <w:tc>
          <w:tcPr>
            <w:tcW w:type="dxa" w:w="33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QA; model cards; claims review; demo script; buyer one-pager; pilot protocol; backlog and next-phase SRS.</w:t>
            </w:r>
          </w:p>
        </w:tc>
      </w:tr>
    </w:tbl>
    <w:p>
      <w:pPr>
        <w:pStyle w:val="Heading2"/>
      </w:pPr>
      <w:r>
        <w:t>Workstream ownership</w:t>
      </w:r>
    </w:p>
    <w:p>
      <w:r>
        <w:rPr>
          <w:b/>
          <w:color w:val="00A9E8"/>
        </w:rPr>
        <w:t xml:space="preserve">Brand/Design intern: </w:t>
      </w:r>
      <w:r>
        <w:t>Visual system, UI components, campaign templates, iconography, Team Command prototypes.</w:t>
      </w:r>
    </w:p>
    <w:p>
      <w:r>
        <w:rPr>
          <w:b/>
          <w:color w:val="00A9E8"/>
        </w:rPr>
        <w:t xml:space="preserve">Product intern: </w:t>
      </w:r>
      <w:r>
        <w:t>PRD, user stories, workflow maps, acceptance criteria, backlog, demo narrative.</w:t>
      </w:r>
    </w:p>
    <w:p>
      <w:r>
        <w:rPr>
          <w:b/>
          <w:color w:val="00A9E8"/>
        </w:rPr>
        <w:t xml:space="preserve">Data/AI intern: </w:t>
      </w:r>
      <w:r>
        <w:t>Synthetic dataset, feature dictionary, scoring prototype, baseline models, confidence/validity tests.</w:t>
      </w:r>
    </w:p>
    <w:p>
      <w:r>
        <w:rPr>
          <w:b/>
          <w:color w:val="00A9E8"/>
        </w:rPr>
        <w:t xml:space="preserve">Sports-science intern: </w:t>
      </w:r>
      <w:r>
        <w:t>Football constructs, position logic, workload/recovery definitions, study design, literature evidence register.</w:t>
      </w:r>
    </w:p>
    <w:p>
      <w:r>
        <w:rPr>
          <w:b/>
          <w:color w:val="00A9E8"/>
        </w:rPr>
        <w:t xml:space="preserve">Engineering intern: </w:t>
      </w:r>
      <w:r>
        <w:t>Ingestion adapters, schemas, APIs, dashboard prototype, provenance/audit, integration tests.</w:t>
      </w:r>
    </w:p>
    <w:p>
      <w:r>
        <w:rPr>
          <w:b/>
          <w:color w:val="00A9E8"/>
        </w:rPr>
        <w:t xml:space="preserve">Commercial intern: </w:t>
      </w:r>
      <w:r>
        <w:t>Buyer map, pilot packages, competitive matrix, partner/OEM targets, pricing hypotheses, ROI model.</w:t>
      </w:r>
    </w:p>
    <w:p>
      <w:pPr>
        <w:pStyle w:val="Heading2"/>
      </w:pPr>
      <w:r>
        <w:t>Definition of done</w:t>
      </w:r>
    </w:p>
    <w:p>
      <w:pPr>
        <w:pStyle w:val="ListBullet"/>
      </w:pPr>
      <w:r>
        <w:t>Every feature traces to a requirement and data source.</w:t>
      </w:r>
    </w:p>
    <w:p>
      <w:pPr>
        <w:pStyle w:val="ListBullet"/>
      </w:pPr>
      <w:r>
        <w:t>Every score exposes drivers, confidence and validity.</w:t>
      </w:r>
    </w:p>
    <w:p>
      <w:pPr>
        <w:pStyle w:val="ListBullet"/>
      </w:pPr>
      <w:r>
        <w:t>Every external claim has evidence status and owner.</w:t>
      </w:r>
    </w:p>
    <w:p>
      <w:pPr>
        <w:pStyle w:val="ListBullet"/>
      </w:pPr>
      <w:r>
        <w:t>Every prototype screen uses the canonical Sportmetryx visual system.</w:t>
      </w:r>
    </w:p>
    <w:p>
      <w:pPr>
        <w:pStyle w:val="ListBullet"/>
      </w:pPr>
      <w:r>
        <w:t>No athlete data is used without appropriate governance/consent controls.</w:t>
      </w:r>
    </w:p>
    <w:p>
      <w:pPr>
        <w:pStyle w:val="ListBullet"/>
      </w:pPr>
      <w:r>
        <w:t>A synthetic-data demo can execute one complete football decision loop end to end.</w:t>
      </w:r>
    </w:p>
    <w:p>
      <w:pPr>
        <w:pStyle w:val="ListBullet"/>
      </w:pPr>
      <w:r>
        <w:t>The package can be handed to a team, university or OEM without internal notes or unsupported claims.</w:t>
      </w:r>
    </w:p>
    <w:p>
      <w:pPr>
        <w:pStyle w:val="Eyebrow"/>
      </w:pPr>
      <w:r>
        <w:t>12 / REQUIRED INTERN DELIVERABLES</w:t>
      </w:r>
    </w:p>
    <w:p>
      <w:pPr>
        <w:pStyle w:val="Heading1"/>
      </w:pPr>
      <w:r>
        <w:t>Artifact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B17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5083"/>
            <w:shd w:fill="0B17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Required output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Brand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Sportmetryx Football mini brand guide; logo lockups; palette; typography; icon system; imagery rules; campaign templates.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Master PRD; module PRDs; user-role matrix; navigation architecture; acceptance criteria.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Design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Figma-quality Team Command, Player 360, Position Room, Practice Command, Recovery, Validity, Environment/Travel screens.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Data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Canonical football data dictionary; event/context schema; synthetic dataset; provenance fields; consent/access fields.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Models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SMX Performance Index prototype; model cards; position configurations; baseline logic; confidence/withhold logic.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Engineering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API spec; ingestion adapters; database schema; demo implementation; test suite; audit log.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Science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Evidence register; validation protocol; pilot study design; claims matrix; measurement limitations.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Commercial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Pilot one-pager; team pitch deck; OEM pitch; pricing hypotheses; competitive landscape; ROI framework.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Legal/Governance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Privacy/data-rights checklist; athlete consent model; role-based access; claim review; IP invention disclosure queue.</w:t>
            </w:r>
          </w:p>
        </w:tc>
      </w:tr>
    </w:tbl>
    <w:p>
      <w:pPr>
        <w:pStyle w:val="Heading2"/>
      </w:pPr>
      <w:r>
        <w:t>Demo acceptance test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166"/>
            <w:shd w:fill="E8F6FC"/>
            <w:tcMar>
              <w:top w:w="140" w:type="dxa"/>
              <w:start w:w="170" w:type="dxa"/>
              <w:bottom w:w="140" w:type="dxa"/>
              <w:end w:w="170" w:type="dxa"/>
            </w:tcMar>
            <w:vAlign w:val="center"/>
          </w:tcPr>
          <w:p>
            <w:r>
              <w:rPr>
                <w:b/>
                <w:color w:val="00A9E8"/>
              </w:rPr>
              <w:t xml:space="preserve">GOLDEN PATH  </w:t>
            </w:r>
            <w:r>
              <w:t>Synthetic athlete → validated signal ingestion → individual baseline comparison → football context assignment → SMX score + explanation → position-room view → Team Command exception → human-reviewed action → recovery follow-up → auditable report/export.</w:t>
            </w:r>
          </w:p>
        </w:tc>
      </w:tr>
    </w:tbl>
    <w:p>
      <w:pPr>
        <w:spacing w:after="0"/>
      </w:pPr>
    </w:p>
    <w:p>
      <w:pPr>
        <w:pStyle w:val="Eyebrow"/>
      </w:pPr>
      <w:r>
        <w:t>13 / SOURCE BASIS + STATUS</w:t>
      </w:r>
    </w:p>
    <w:p>
      <w:pPr>
        <w:pStyle w:val="Heading1"/>
      </w:pPr>
      <w:r>
        <w:t>What this package is grounded in</w:t>
      </w:r>
    </w:p>
    <w:p>
      <w:r>
        <w:t>The package consolidates the Sportmetryx football visual supplied for this handoff and existing Healthmetryx project materials. The following are the principal internal source bases used to define the architecture:</w:t>
      </w:r>
    </w:p>
    <w:p>
      <w:r>
        <w:rPr>
          <w:b/>
          <w:color w:val="00A9E8"/>
        </w:rPr>
        <w:t xml:space="preserve">Healthmetryx Business FAQ: </w:t>
      </w:r>
      <w:r>
        <w:t>Sports performance use cases: athlete readiness/recovery, air-quality effects, travel effects, injury-risk research.</w:t>
      </w:r>
    </w:p>
    <w:p>
      <w:r>
        <w:rPr>
          <w:b/>
          <w:color w:val="00A9E8"/>
        </w:rPr>
        <w:t xml:space="preserve">Healthmetryx WPI PPT / Worker Productivity Index: </w:t>
      </w:r>
      <w:r>
        <w:t>0–100 functional readiness architecture; oxygen, CO₂, respiratory efficiency, fatigue/recovery, exposure and validity/confidence; command dashboards and explanation-driven decision support.</w:t>
      </w:r>
    </w:p>
    <w:p>
      <w:r>
        <w:rPr>
          <w:b/>
          <w:color w:val="00A9E8"/>
        </w:rPr>
        <w:t xml:space="preserve">Healthmetryx Infographic Design: </w:t>
      </w:r>
      <w:r>
        <w:t>Capture → Validate → Analyze → Act architecture; RCM as the analytic layer; readiness, fatigue, recovery, benchmarking and operational workflows.</w:t>
      </w:r>
    </w:p>
    <w:p>
      <w:r>
        <w:rPr>
          <w:b/>
          <w:color w:val="00A9E8"/>
        </w:rPr>
        <w:t xml:space="preserve">WPI Respiratory Telemetry Protocol: </w:t>
      </w:r>
      <w:r>
        <w:t>Respiratory + Samsung/wearable physiological context; validity fields; baseline deviation; metabolic-context framing; explanation codes.</w:t>
      </w:r>
    </w:p>
    <w:p>
      <w:r>
        <w:rPr>
          <w:b/>
          <w:color w:val="00A9E8"/>
        </w:rPr>
        <w:t xml:space="preserve">RCM Health Data Demo: </w:t>
      </w:r>
      <w:r>
        <w:t>Wellness/recovery analytics; sleep debt, fatigue, VO₂ context, activity, HR, respiratory rate, SpO₂, recovery readiness and trend stability.</w:t>
      </w:r>
    </w:p>
    <w:p>
      <w:r>
        <w:rPr>
          <w:b/>
          <w:color w:val="00A9E8"/>
        </w:rPr>
        <w:t xml:space="preserve">Mission-Adaptive Human Performance Intelligence materials: </w:t>
      </w:r>
      <w:r>
        <w:t>Multimodal human-performance engine; mission/context engine; adaptive guidance; fleet/team readiness; digital human twin; privacy/validity layer.</w:t>
      </w:r>
    </w:p>
    <w:p>
      <w:r>
        <w:rPr>
          <w:b/>
          <w:color w:val="00A9E8"/>
        </w:rPr>
        <w:t xml:space="preserve">Attached Sportmetryx football creative: </w:t>
      </w:r>
      <w:r>
        <w:t>Canonical visual reference and campaign language for the football vertical.</w:t>
      </w:r>
    </w:p>
    <w:p>
      <w:pPr>
        <w:pStyle w:val="Heading2"/>
      </w:pPr>
      <w:r>
        <w:t>Status legend for future 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B17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5083"/>
            <w:shd w:fill="0B17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ESTABLISHED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Supported by existing HMX architecture/materials.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DERIVED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Football-specific application logically derived from HMX architecture; requires product validation.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PROTOTYPE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Implementable concept/model for demo and research; not yet validated for external performance claims.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FUTURE / REGULATED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Requires additional validation, approvals, rights, hardware or clinical/regulatory pathway.</w:t>
            </w:r>
          </w:p>
        </w:tc>
      </w:tr>
    </w:tbl>
    <w:p>
      <w:pPr>
        <w:spacing w:before="320"/>
        <w:jc w:val="center"/>
      </w:pPr>
      <w:r>
        <w:rPr>
          <w:b/>
          <w:color w:val="00A9E8"/>
          <w:sz w:val="32"/>
        </w:rPr>
        <w:t>SPORTMETRYX™ FOOTBALL</w:t>
      </w:r>
    </w:p>
    <w:p>
      <w:pPr>
        <w:jc w:val="center"/>
      </w:pPr>
      <w:r>
        <w:rPr>
          <w:b/>
          <w:color w:val="0B1722"/>
          <w:sz w:val="24"/>
        </w:rPr>
        <w:t>BREATHE SMARTER. TRAIN HARDER.</w:t>
      </w:r>
    </w:p>
    <w:p>
      <w:pPr>
        <w:jc w:val="center"/>
      </w:pPr>
      <w:r>
        <w:rPr>
          <w:color w:val="6B7C88"/>
          <w:sz w:val="18"/>
        </w:rPr>
        <w:t>Powered by Healthmetryx™</w:t>
      </w:r>
    </w:p>
    <w:sectPr w:rsidR="00FC693F" w:rsidRPr="0006063C" w:rsidSect="00034616"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C88"/>
        <w:sz w:val="16"/>
      </w:rPr>
      <w:t xml:space="preserve">SPORTMETRYX FOOTBALL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B17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722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A9E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4495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B1722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yebrow">
    <w:name w:val="Eyebrow"/>
    <w:pPr>
      <w:spacing w:after="80"/>
    </w:pPr>
    <w:rPr>
      <w:rFonts w:ascii="Aptos" w:hAnsi="Aptos"/>
      <w:b/>
      <w:caps/>
      <w:color w:val="00A9E8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Sportmetryx Football Brand and Product Architecture Package</dc:title>
  <dc:subject>Intern handoff package</dc:subject>
  <dc:creator>Healthmetryx / Sportmetryx</dc:creator>
  <cp:keywords>Sportmetryx, football, Healthmetryx, human performance, readiness, RCM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