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D8DF" w14:textId="77777777" w:rsidR="00564E7E" w:rsidRPr="00D673E5" w:rsidRDefault="00564E7E" w:rsidP="00564E7E">
      <w:pPr>
        <w:shd w:val="clear" w:color="auto" w:fill="0F4761" w:themeFill="accent1" w:themeFillShade="BF"/>
        <w:spacing w:after="160" w:line="278" w:lineRule="auto"/>
        <w:jc w:val="center"/>
        <w:rPr>
          <w:rFonts w:ascii="Arial" w:hAnsi="Arial" w:cs="Arial"/>
          <w:color w:val="FFFFFF" w:themeColor="background1"/>
          <w:sz w:val="22"/>
          <w:szCs w:val="22"/>
        </w:rPr>
      </w:pPr>
      <w:r w:rsidRPr="00D673E5">
        <w:rPr>
          <w:rFonts w:ascii="Arial" w:hAnsi="Arial" w:cs="Arial"/>
          <w:b/>
          <w:bCs/>
          <w:color w:val="FFFFFF" w:themeColor="background1"/>
          <w:sz w:val="28"/>
          <w:szCs w:val="28"/>
          <w:rtl/>
        </w:rPr>
        <w:t>النظام</w:t>
      </w:r>
    </w:p>
    <w:p w14:paraId="52E1B2F6" w14:textId="77777777" w:rsidR="00564E7E" w:rsidRPr="00D673E5" w:rsidRDefault="00564E7E" w:rsidP="00564E7E">
      <w:pPr>
        <w:bidi/>
        <w:jc w:val="both"/>
        <w:outlineLvl w:val="1"/>
        <w:rPr>
          <w:rFonts w:ascii="Arial" w:hAnsi="Arial" w:cs="Arial"/>
          <w:b/>
          <w:bCs/>
          <w:sz w:val="22"/>
          <w:szCs w:val="22"/>
        </w:rPr>
      </w:pPr>
      <w:r w:rsidRPr="00D673E5">
        <w:rPr>
          <w:rFonts w:ascii="Arial" w:hAnsi="Arial" w:cs="Arial"/>
          <w:b/>
          <w:bCs/>
          <w:sz w:val="22"/>
          <w:szCs w:val="22"/>
          <w:rtl/>
        </w:rPr>
        <w:t>ما هو نظام</w:t>
      </w:r>
      <w:r w:rsidRPr="00D673E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Pr="00D673E5">
        <w:rPr>
          <w:rFonts w:ascii="Arial" w:hAnsi="Arial" w:cs="Arial"/>
          <w:b/>
          <w:bCs/>
          <w:sz w:val="22"/>
          <w:szCs w:val="22"/>
        </w:rPr>
        <w:t xml:space="preserve">Lxera 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>؟</w:t>
      </w:r>
      <w:proofErr w:type="gramEnd"/>
    </w:p>
    <w:p w14:paraId="379B59F0" w14:textId="77777777" w:rsidR="00564E7E" w:rsidRPr="00D673E5" w:rsidRDefault="00564E7E" w:rsidP="00564E7E">
      <w:pPr>
        <w:bidi/>
        <w:jc w:val="both"/>
        <w:rPr>
          <w:rFonts w:ascii="Arial" w:hAnsi="Arial" w:cs="Arial"/>
          <w:sz w:val="22"/>
          <w:szCs w:val="22"/>
        </w:rPr>
      </w:pPr>
    </w:p>
    <w:p w14:paraId="5DD62C78" w14:textId="77777777" w:rsidR="00564E7E" w:rsidRPr="00D673E5" w:rsidRDefault="00564E7E" w:rsidP="00564E7E">
      <w:pPr>
        <w:bidi/>
        <w:jc w:val="both"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نظام </w:t>
      </w:r>
      <w:r w:rsidRPr="00D673E5">
        <w:rPr>
          <w:rFonts w:ascii="Arial" w:hAnsi="Arial" w:cs="Arial"/>
          <w:sz w:val="22"/>
          <w:szCs w:val="22"/>
        </w:rPr>
        <w:t>Lxera</w:t>
      </w:r>
      <w:r w:rsidRPr="00D673E5">
        <w:rPr>
          <w:rFonts w:ascii="Arial" w:hAnsi="Arial" w:cs="Arial"/>
          <w:sz w:val="22"/>
          <w:szCs w:val="22"/>
          <w:rtl/>
        </w:rPr>
        <w:t xml:space="preserve"> هو نظام إدارة تعلم رقمي (</w:t>
      </w:r>
      <w:r w:rsidRPr="00D673E5">
        <w:rPr>
          <w:rFonts w:ascii="Arial" w:hAnsi="Arial" w:cs="Arial"/>
          <w:sz w:val="22"/>
          <w:szCs w:val="22"/>
        </w:rPr>
        <w:t>LMS</w:t>
      </w:r>
      <w:r w:rsidRPr="00D673E5">
        <w:rPr>
          <w:rFonts w:ascii="Arial" w:hAnsi="Arial" w:cs="Arial"/>
          <w:sz w:val="22"/>
          <w:szCs w:val="22"/>
          <w:rtl/>
        </w:rPr>
        <w:t xml:space="preserve">) مصمّم لتلبية احتياجات المؤسسات التعليمية </w:t>
      </w:r>
      <w:r>
        <w:rPr>
          <w:rFonts w:ascii="Arial" w:hAnsi="Arial" w:cs="Arial" w:hint="cs"/>
          <w:sz w:val="22"/>
          <w:szCs w:val="22"/>
          <w:rtl/>
        </w:rPr>
        <w:t>والغير تعليمية و</w:t>
      </w:r>
      <w:r w:rsidRPr="00D673E5">
        <w:rPr>
          <w:rFonts w:ascii="Arial" w:hAnsi="Arial" w:cs="Arial"/>
          <w:sz w:val="22"/>
          <w:szCs w:val="22"/>
          <w:rtl/>
        </w:rPr>
        <w:t xml:space="preserve">التي تسعى </w:t>
      </w:r>
      <w:r>
        <w:rPr>
          <w:rFonts w:ascii="Arial" w:hAnsi="Arial" w:cs="Arial" w:hint="cs"/>
          <w:sz w:val="22"/>
          <w:szCs w:val="22"/>
          <w:rtl/>
        </w:rPr>
        <w:t xml:space="preserve">لتأهيل وتطوير </w:t>
      </w:r>
      <w:proofErr w:type="gramStart"/>
      <w:r>
        <w:rPr>
          <w:rFonts w:ascii="Arial" w:hAnsi="Arial" w:cs="Arial" w:hint="cs"/>
          <w:sz w:val="22"/>
          <w:szCs w:val="22"/>
          <w:rtl/>
        </w:rPr>
        <w:t xml:space="preserve">منسوبيها </w:t>
      </w:r>
      <w:r w:rsidRPr="00D673E5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عبر</w:t>
      </w:r>
      <w:proofErr w:type="gramEnd"/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D673E5">
        <w:rPr>
          <w:rFonts w:ascii="Arial" w:hAnsi="Arial" w:cs="Arial"/>
          <w:sz w:val="22"/>
          <w:szCs w:val="22"/>
          <w:rtl/>
        </w:rPr>
        <w:t>برامج تدري</w:t>
      </w:r>
      <w:r>
        <w:rPr>
          <w:rFonts w:ascii="Arial" w:hAnsi="Arial" w:cs="Arial" w:hint="cs"/>
          <w:sz w:val="22"/>
          <w:szCs w:val="22"/>
          <w:rtl/>
        </w:rPr>
        <w:t>ب</w:t>
      </w:r>
      <w:r w:rsidRPr="00D673E5">
        <w:rPr>
          <w:rFonts w:ascii="Arial" w:hAnsi="Arial" w:cs="Arial"/>
          <w:sz w:val="22"/>
          <w:szCs w:val="22"/>
          <w:rtl/>
        </w:rPr>
        <w:t xml:space="preserve"> احترافية وقابلة للقياس.</w:t>
      </w:r>
    </w:p>
    <w:p w14:paraId="7C74E117" w14:textId="77777777" w:rsidR="00564E7E" w:rsidRPr="00D673E5" w:rsidRDefault="00564E7E" w:rsidP="00564E7E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يعمل النظام عبر بوابة إلكترونية </w:t>
      </w:r>
      <w:r>
        <w:rPr>
          <w:rFonts w:ascii="Arial" w:hAnsi="Arial" w:cs="Arial" w:hint="cs"/>
          <w:sz w:val="22"/>
          <w:szCs w:val="22"/>
          <w:rtl/>
        </w:rPr>
        <w:t>مدعومة بالذكاء الاصطناعي و</w:t>
      </w:r>
      <w:r w:rsidRPr="00D673E5">
        <w:rPr>
          <w:rFonts w:ascii="Arial" w:hAnsi="Arial" w:cs="Arial"/>
          <w:sz w:val="22"/>
          <w:szCs w:val="22"/>
          <w:rtl/>
        </w:rPr>
        <w:t xml:space="preserve">مخصصة لكل جهة، ويُقدَّم ضمن </w:t>
      </w:r>
      <w:r>
        <w:rPr>
          <w:rFonts w:ascii="Arial" w:hAnsi="Arial" w:cs="Arial" w:hint="cs"/>
          <w:sz w:val="22"/>
          <w:szCs w:val="22"/>
          <w:rtl/>
        </w:rPr>
        <w:t>تعامل</w:t>
      </w:r>
      <w:r w:rsidRPr="00D673E5">
        <w:rPr>
          <w:rFonts w:ascii="Arial" w:hAnsi="Arial" w:cs="Arial"/>
          <w:sz w:val="22"/>
          <w:szCs w:val="22"/>
          <w:rtl/>
        </w:rPr>
        <w:t xml:space="preserve"> مرن، مع إدارة أدوار دقيقة، لوحات تحكم تفاعلية، وتكامل مع أنظمة متعددة، لضمان تجربة تعلم مؤسسية شاملة، مرنة، ومستقرة.</w:t>
      </w:r>
    </w:p>
    <w:p w14:paraId="2AEC25F8" w14:textId="77777777" w:rsidR="00564E7E" w:rsidRPr="00D673E5" w:rsidRDefault="00564E7E" w:rsidP="00564E7E">
      <w:pPr>
        <w:bidi/>
        <w:jc w:val="both"/>
        <w:rPr>
          <w:rFonts w:ascii="Arial" w:hAnsi="Arial" w:cs="Arial"/>
          <w:sz w:val="22"/>
          <w:szCs w:val="22"/>
          <w:rtl/>
        </w:rPr>
      </w:pPr>
    </w:p>
    <w:p w14:paraId="40796340" w14:textId="77777777" w:rsidR="00564E7E" w:rsidRPr="00D673E5" w:rsidRDefault="00564E7E" w:rsidP="00564E7E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0BE16505" w14:textId="77777777" w:rsidR="00564E7E" w:rsidRPr="00D673E5" w:rsidRDefault="00564E7E" w:rsidP="00564E7E">
      <w:pPr>
        <w:bidi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673E5">
        <w:rPr>
          <w:rFonts w:ascii="Arial" w:hAnsi="Arial" w:cs="Arial"/>
          <w:sz w:val="22"/>
          <w:szCs w:val="22"/>
          <w:rtl/>
        </w:rPr>
        <w:t>احجز عرض توضيحي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60ED3154" w14:textId="77777777" w:rsidR="00564E7E" w:rsidRPr="00D673E5" w:rsidRDefault="00564E7E" w:rsidP="00564E7E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eastAsiaTheme="majorEastAsia" w:hAnsi="Arial" w:cs="Arial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5D64D" wp14:editId="586B19F1">
                <wp:simplePos x="0" y="0"/>
                <wp:positionH relativeFrom="column">
                  <wp:posOffset>0</wp:posOffset>
                </wp:positionH>
                <wp:positionV relativeFrom="paragraph">
                  <wp:posOffset>82868</wp:posOffset>
                </wp:positionV>
                <wp:extent cx="6048375" cy="0"/>
                <wp:effectExtent l="12700" t="12700" r="9525" b="12700"/>
                <wp:wrapNone/>
                <wp:docPr id="874330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A1B80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55pt" to="476.2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" strokecolor="#0070c0" strokeweight="1.5pt">
                <v:stroke joinstyle="miter"/>
              </v:line>
            </w:pict>
          </mc:Fallback>
        </mc:AlternateContent>
      </w:r>
    </w:p>
    <w:p w14:paraId="068A4C6B" w14:textId="77777777" w:rsidR="00564E7E" w:rsidRPr="00D673E5" w:rsidRDefault="00564E7E" w:rsidP="00564E7E">
      <w:pPr>
        <w:bidi/>
        <w:outlineLvl w:val="3"/>
        <w:rPr>
          <w:rFonts w:ascii="Arial" w:hAnsi="Arial" w:cs="Arial"/>
          <w:b/>
          <w:bCs/>
          <w:sz w:val="22"/>
          <w:szCs w:val="22"/>
        </w:rPr>
      </w:pPr>
      <w:r w:rsidRPr="00D673E5">
        <w:rPr>
          <w:rFonts w:ascii="Arial" w:hAnsi="Arial" w:cs="Arial"/>
          <w:b/>
          <w:bCs/>
        </w:rPr>
        <w:t> 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>التكاملات</w:t>
      </w:r>
    </w:p>
    <w:p w14:paraId="02A263BD" w14:textId="77777777" w:rsidR="00564E7E" w:rsidRPr="00D673E5" w:rsidRDefault="00564E7E" w:rsidP="00564E7E">
      <w:pPr>
        <w:bidi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يتيح نظام </w:t>
      </w:r>
      <w:r w:rsidRPr="00D673E5">
        <w:rPr>
          <w:rFonts w:ascii="Arial" w:hAnsi="Arial" w:cs="Arial"/>
          <w:sz w:val="22"/>
          <w:szCs w:val="22"/>
        </w:rPr>
        <w:t>Lxera</w:t>
      </w:r>
      <w:r w:rsidRPr="00D673E5">
        <w:rPr>
          <w:rFonts w:ascii="Arial" w:hAnsi="Arial" w:cs="Arial"/>
          <w:sz w:val="22"/>
          <w:szCs w:val="22"/>
          <w:rtl/>
        </w:rPr>
        <w:t xml:space="preserve"> ربط بوابتك التعليمية بمجموعة من الأدوات الخارجية، لدعم إدارة النظام، تحسين تجربة المتعلمين، وتحليل الأداء بفعالية.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4077AF">
        <w:rPr>
          <w:rFonts w:ascii="Arial" w:hAnsi="Arial" w:cs="Arial" w:hint="cs"/>
          <w:sz w:val="22"/>
          <w:szCs w:val="22"/>
          <w:highlight w:val="green"/>
          <w:rtl/>
        </w:rPr>
        <w:t>ينصح بإضافة المزيد من التكاملات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AD90C59" w14:textId="77777777" w:rsidR="00564E7E" w:rsidRPr="00D673E5" w:rsidRDefault="00564E7E" w:rsidP="00564E7E">
      <w:pPr>
        <w:pStyle w:val="p1"/>
        <w:bidi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sz w:val="22"/>
          <w:szCs w:val="22"/>
        </w:rPr>
        <w:t>Bigbluebutton</w:t>
      </w:r>
      <w:r w:rsidRPr="00D673E5">
        <w:rPr>
          <w:rFonts w:ascii="Arial" w:hAnsi="Arial" w:cs="Arial"/>
          <w:sz w:val="22"/>
          <w:szCs w:val="22"/>
          <w:rtl/>
        </w:rPr>
        <w:t xml:space="preserve">، </w:t>
      </w:r>
      <w:r w:rsidRPr="00D673E5">
        <w:rPr>
          <w:rFonts w:ascii="Arial" w:hAnsi="Arial" w:cs="Arial"/>
          <w:b/>
          <w:bCs/>
          <w:sz w:val="22"/>
          <w:szCs w:val="22"/>
        </w:rPr>
        <w:t>Zoom, Google Analytics, Trengo, Intercom, Microsoft</w:t>
      </w:r>
    </w:p>
    <w:p w14:paraId="63BB7F22" w14:textId="77777777" w:rsidR="00564E7E" w:rsidRPr="00D673E5" w:rsidRDefault="00564E7E" w:rsidP="00564E7E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C00000"/>
          <w:sz w:val="22"/>
          <w:szCs w:val="22"/>
          <w:rtl/>
        </w:rPr>
        <w:t>وصف التصميم:</w:t>
      </w:r>
      <w:r w:rsidRPr="00D673E5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 xml:space="preserve">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(توضع شعارات للبرامج)</w:t>
      </w:r>
    </w:p>
    <w:p w14:paraId="2B09332A" w14:textId="77777777" w:rsidR="00564E7E" w:rsidRPr="00D673E5" w:rsidRDefault="00564E7E" w:rsidP="00564E7E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1AFC96BF" w14:textId="77777777" w:rsidR="00564E7E" w:rsidRPr="00D673E5" w:rsidRDefault="00564E7E" w:rsidP="00564E7E">
      <w:pPr>
        <w:bidi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/>
          <w:sz w:val="22"/>
          <w:szCs w:val="22"/>
          <w:rtl/>
        </w:rPr>
        <w:t>احجز عرض توضيحي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5D85D8FE" w14:textId="3E36D72B" w:rsidR="00564E7E" w:rsidRPr="00564E7E" w:rsidRDefault="00564E7E" w:rsidP="00564E7E">
      <w:pPr>
        <w:bidi/>
        <w:rPr>
          <w:rFonts w:ascii="Arial" w:hAnsi="Arial" w:cs="Arial"/>
          <w:sz w:val="22"/>
          <w:szCs w:val="22"/>
        </w:rPr>
      </w:pPr>
      <w:r w:rsidRPr="00D673E5">
        <w:rPr>
          <w:rFonts w:ascii="Arial" w:eastAsiaTheme="majorEastAsia" w:hAnsi="Arial" w:cs="Arial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F27D1" wp14:editId="69373AAA">
                <wp:simplePos x="0" y="0"/>
                <wp:positionH relativeFrom="column">
                  <wp:posOffset>0</wp:posOffset>
                </wp:positionH>
                <wp:positionV relativeFrom="paragraph">
                  <wp:posOffset>61754</wp:posOffset>
                </wp:positionV>
                <wp:extent cx="6048375" cy="0"/>
                <wp:effectExtent l="12700" t="12700" r="9525" b="12700"/>
                <wp:wrapNone/>
                <wp:docPr id="2809421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B6232" id="Straight Connector 1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5pt" to="476.2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" strokecolor="#0070c0" strokeweight="1.5pt">
                <v:stroke joinstyle="miter"/>
              </v:line>
            </w:pict>
          </mc:Fallback>
        </mc:AlternateContent>
      </w:r>
    </w:p>
    <w:sectPr w:rsidR="00564E7E" w:rsidRPr="00564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7E"/>
    <w:rsid w:val="004855E4"/>
    <w:rsid w:val="0056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E4C2E"/>
  <w15:chartTrackingRefBased/>
  <w15:docId w15:val="{23931AF5-0A15-DC4B-B1FB-BAF6F958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7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7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7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7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7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7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7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7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7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7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7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4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7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64E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2025-06-26T12:35:00Z</dcterms:created>
  <dcterms:modified xsi:type="dcterms:W3CDTF">2025-06-26T12:36:00Z</dcterms:modified>
</cp:coreProperties>
</file>