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13" w:rsidRDefault="003334D8">
      <w:pPr>
        <w:spacing w:after="1033"/>
        <w:ind w:right="1030" w:firstLine="0"/>
        <w:jc w:val="center"/>
      </w:pPr>
      <w:bookmarkStart w:id="0" w:name="_GoBack"/>
      <w:bookmarkEnd w:id="0"/>
      <w:r>
        <w:rPr>
          <w:sz w:val="34"/>
        </w:rPr>
        <w:t>Deep Learning vs. Statistical Models in Energy Production Forecasting: A Comprehensive Literature Review</w:t>
      </w:r>
    </w:p>
    <w:p w:rsidR="005E0313" w:rsidRDefault="003334D8">
      <w:pPr>
        <w:pStyle w:val="Heading1"/>
        <w:ind w:left="469" w:hanging="484"/>
      </w:pPr>
      <w:r>
        <w:t>Introduction</w:t>
      </w:r>
    </w:p>
    <w:p w:rsidR="005E0313" w:rsidRDefault="003334D8">
      <w:pPr>
        <w:ind w:left="-15" w:right="1425" w:firstLine="0"/>
      </w:pPr>
      <w:r>
        <w:t xml:space="preserve">Accurate forecasting of energy production is essential for the integration and management of renewable energy sources, such as solar, wind, and hydropower, into modern power grids. The literature reveals a clear trend: </w:t>
      </w:r>
      <w:r>
        <w:rPr>
          <w:b/>
        </w:rPr>
        <w:t>deep learning (DL) models and advance</w:t>
      </w:r>
      <w:r>
        <w:rPr>
          <w:b/>
        </w:rPr>
        <w:t xml:space="preserve">d machine learning (ML) techniques consistently outperform traditional statistical models </w:t>
      </w:r>
      <w:r>
        <w:t>in most energy forecasting scenarios, especially when dealing with complex, nonlinear, and high-dimensional data (Sedai et al., 2023; Cabello-L´opez et al., 2023; AlK</w:t>
      </w:r>
      <w:r>
        <w:t>andari &amp; Ahmad, 2020; Devaraj et al., 2021; Alkhayat &amp; Mehmood, 2021; Wang et al., 2019). While statistical models like ARIMA and SARIMA remain useful for simpler, linear, or short-term forecasting tasks, their limitations become apparent as the complexity</w:t>
      </w:r>
      <w:r>
        <w:t xml:space="preserve"> and variability of energy systems increase (Sedai et al., 2023; Haider et al., 2022; Cabello-L´opez et al., 2023; AlKandari &amp; Ahmad, 2020; Devaraj et al., 2021; Alkhayat &amp; Mehmood, 2021; Wang et al., 2019). Deep learning models—such as LSTM, GRU, CNN, and</w:t>
      </w:r>
      <w:r>
        <w:t xml:space="preserve"> hybrid architectures—excel in capturing temporal and spatial dependencies, handling large datasets, and adapting to non-stationary patterns, leading to significant improvements in forecast accuracy and reliability (Sedai et al., 2023; Cabello-L´opez et al</w:t>
      </w:r>
      <w:r>
        <w:t>., 2023; AlKandari &amp; Ahmad, 2020; Devaraj et al., 2021; Alkhayat &amp; Mehmood, 2021; Wang et al., 2019; Luo et al., 2021; Husein et al., 2024; Mirza et al., 2023). However, challenges remain regarding data requirements, computational costs, and interpretabili</w:t>
      </w:r>
      <w:r>
        <w:t xml:space="preserve">ty. This review synthesizes findings from recent comparative studies, meta-analyses, and case studies to provide a nuanced understanding of the strengths, weaknesses, and future directions for both statistical and deep learning models in energy production </w:t>
      </w:r>
      <w:r>
        <w:t>forecasting.</w:t>
      </w:r>
    </w:p>
    <w:p w:rsidR="005E0313" w:rsidRDefault="003334D8">
      <w:pPr>
        <w:spacing w:after="455" w:line="244" w:lineRule="auto"/>
        <w:ind w:right="882" w:firstLine="299"/>
        <w:jc w:val="left"/>
      </w:pPr>
      <w:r>
        <w:rPr>
          <w:i/>
        </w:rPr>
        <w:t>Figure 1. Consensus Meter: Do deep learning models outperform statistical models in forecasting energy production?</w:t>
      </w:r>
    </w:p>
    <w:p w:rsidR="005E0313" w:rsidRDefault="003334D8">
      <w:pPr>
        <w:pStyle w:val="Heading1"/>
        <w:spacing w:after="154"/>
        <w:ind w:left="469" w:hanging="484"/>
      </w:pPr>
      <w:r>
        <w:t>Results</w:t>
      </w:r>
    </w:p>
    <w:p w:rsidR="005E0313" w:rsidRDefault="003334D8">
      <w:pPr>
        <w:pStyle w:val="Heading2"/>
        <w:ind w:left="598" w:hanging="613"/>
      </w:pPr>
      <w:r>
        <w:t>Model Performance: Statistical vs. Deep Learning</w:t>
      </w:r>
    </w:p>
    <w:p w:rsidR="005E0313" w:rsidRDefault="003334D8">
      <w:pPr>
        <w:spacing w:after="336"/>
        <w:ind w:left="-15" w:right="1425" w:firstLine="0"/>
      </w:pPr>
      <w:r>
        <w:t>Multiple studies demonstrate that deep learning models (LSTM, GRU, CNN,</w:t>
      </w:r>
      <w:r>
        <w:t xml:space="preserve"> hybrid models) consistently outperform traditional statistical models (ARIMA, SARIMA, Prophet) in forecasting energy production, particularly for complex, nonlinear, and multivariate time series data (Sedai et al., 2023; Cabello-L´opez et al., 2023; Alkan</w:t>
      </w:r>
      <w:r>
        <w:t>dari &amp; Ahmad, 2020; Devaraj et al., 2021; Alkhayat &amp; Mehmood, 2021; Wang et al., 2019; Luo et al., 2021; Husein et al., 2024; Mirza et al., 2023). For example, deep learning models reduced mean absolute error by up to 47% compared to official statistical f</w:t>
      </w:r>
      <w:r>
        <w:t>orecasts in national-level solar energy prediction (Cabello-L´opez et al., 2023), and hybrid deep learning models achieved superior accuracy and stability in both short- and long-term forecasts (Li et al., 2020; Jamil et al., 2023; Venkateswaran &amp; Cho, 202</w:t>
      </w:r>
      <w:r>
        <w:t>4).</w:t>
      </w:r>
    </w:p>
    <w:p w:rsidR="005E0313" w:rsidRDefault="003334D8">
      <w:pPr>
        <w:pStyle w:val="Heading2"/>
        <w:spacing w:after="122"/>
        <w:ind w:left="598" w:hanging="613"/>
      </w:pPr>
      <w:r>
        <w:t>Application Domains and Case Studies</w:t>
      </w:r>
    </w:p>
    <w:p w:rsidR="005E0313" w:rsidRDefault="003334D8">
      <w:pPr>
        <w:numPr>
          <w:ilvl w:val="0"/>
          <w:numId w:val="1"/>
        </w:numPr>
        <w:spacing w:after="202"/>
        <w:ind w:right="1425" w:hanging="199"/>
      </w:pPr>
      <w:r>
        <w:rPr>
          <w:b/>
        </w:rPr>
        <w:t>Solar Energy</w:t>
      </w:r>
      <w:r>
        <w:t>: Deep learning models, especially CNN-LSTM hybrids, outperform statistical models in both short- and long-term solar irradiance and power output forecasting (Sedai et al., 2023; Cabello-L´opez et al., 2</w:t>
      </w:r>
      <w:r>
        <w:t>023; Bassey, 2023; Li et al., 2020; Jamil et al., 2023; Kumari &amp; Toshniwal, 2021; Luo et al., 2021; Husein et al., 2024; Venkateswaran &amp; Cho, 2024).</w:t>
      </w:r>
    </w:p>
    <w:p w:rsidR="005E0313" w:rsidRDefault="003334D8">
      <w:pPr>
        <w:numPr>
          <w:ilvl w:val="0"/>
          <w:numId w:val="1"/>
        </w:numPr>
        <w:spacing w:after="216"/>
        <w:ind w:right="1425" w:hanging="199"/>
      </w:pPr>
      <w:r>
        <w:rPr>
          <w:b/>
        </w:rPr>
        <w:t>Wind Energy</w:t>
      </w:r>
      <w:r>
        <w:t>: CNN and LSTM models show exceptional performance in wind speed and power prediction, capturing</w:t>
      </w:r>
      <w:r>
        <w:t xml:space="preserve"> complex patterns better than ARIMA or regression models (Abdelsattar et al., 2025; Li et al., 2023; Zafar et al., 2022; Alc´antara et al., 2022; Hu et al., 2020; Mirza et al., 2023).</w:t>
      </w:r>
    </w:p>
    <w:p w:rsidR="005E0313" w:rsidRDefault="003334D8">
      <w:pPr>
        <w:numPr>
          <w:ilvl w:val="0"/>
          <w:numId w:val="1"/>
        </w:numPr>
        <w:spacing w:after="334"/>
        <w:ind w:right="1425" w:hanging="199"/>
      </w:pPr>
      <w:r>
        <w:rPr>
          <w:b/>
        </w:rPr>
        <w:lastRenderedPageBreak/>
        <w:t>Hydropower and Load Forecasting</w:t>
      </w:r>
      <w:r>
        <w:t xml:space="preserve">: Deep learning models, including hybrid </w:t>
      </w:r>
      <w:r>
        <w:t>and probabilistic approaches, provide more accurate and reliable forecasts than statistical methods, especially for multivariate and probabilistic scenarios (Ehtearm et al., 2023; Mashlakov et al., 2021; Miroshnyk et al., 2021; Fan et al., 2024; Ramos et a</w:t>
      </w:r>
      <w:r>
        <w:t>l., 2023).</w:t>
      </w:r>
    </w:p>
    <w:p w:rsidR="005E0313" w:rsidRDefault="003334D8">
      <w:pPr>
        <w:pStyle w:val="Heading2"/>
        <w:ind w:left="598" w:hanging="613"/>
      </w:pPr>
      <w:r>
        <w:t>Hybrid and Ensemble Approaches</w:t>
      </w:r>
    </w:p>
    <w:p w:rsidR="005E0313" w:rsidRDefault="003334D8">
      <w:pPr>
        <w:spacing w:after="345"/>
        <w:ind w:left="-15" w:right="1425" w:firstLine="0"/>
      </w:pPr>
      <w:r>
        <w:t>Hybrid models that combine statistical and deep learning methods (e.g., SARIMA-Transformer, CNNLSTM, SSA-CNN-LSTM) further enhance forecasting accuracy, leveraging the strengths of both approaches (AlKandari &amp; Ahmad, 2020; Li et al., 2020; Husein et al., 2</w:t>
      </w:r>
      <w:r>
        <w:t>024; Venkateswaran &amp; Cho, 2024; Mirza et al., 2023; Padilha et al., 2022). Ensemble methods and attention mechanisms also contribute to improved performance, particularly in handling uncertainty and non-stationarity (AlKandari &amp; Ahmad, 2020; Garine &amp; Sharm</w:t>
      </w:r>
      <w:r>
        <w:t>a, 2025; Ofose et al., 2025; Mirza et al., 2023; Padilha et al., 2022).</w:t>
      </w:r>
    </w:p>
    <w:p w:rsidR="005E0313" w:rsidRDefault="003334D8">
      <w:pPr>
        <w:pStyle w:val="Heading2"/>
        <w:spacing w:after="122"/>
        <w:ind w:left="598" w:hanging="613"/>
      </w:pPr>
      <w:r>
        <w:t>Limitations and Challenges</w:t>
      </w:r>
    </w:p>
    <w:p w:rsidR="005E0313" w:rsidRDefault="003334D8">
      <w:pPr>
        <w:numPr>
          <w:ilvl w:val="0"/>
          <w:numId w:val="2"/>
        </w:numPr>
        <w:spacing w:after="194"/>
        <w:ind w:right="1350" w:hanging="199"/>
        <w:jc w:val="left"/>
      </w:pPr>
      <w:r>
        <w:rPr>
          <w:b/>
        </w:rPr>
        <w:t>Statistical Models</w:t>
      </w:r>
      <w:r>
        <w:t xml:space="preserve">: Struggle with nonlinearity, high-dimensionality, and long-term forecasting; performance degrades rapidly with increased forecast horizon </w:t>
      </w:r>
      <w:r>
        <w:t>or data complexity (Sedai et al., 2023; Cabello-L´opez et al., 2023; AlKandari &amp; Ahmad, 2020; Devaraj et al., 2021; Alkhayat &amp; Mehmood, 2021; Wang et al., 2019).</w:t>
      </w:r>
    </w:p>
    <w:p w:rsidR="005E0313" w:rsidRDefault="003334D8">
      <w:pPr>
        <w:numPr>
          <w:ilvl w:val="0"/>
          <w:numId w:val="2"/>
        </w:numPr>
        <w:spacing w:after="339" w:line="252" w:lineRule="auto"/>
        <w:ind w:right="1350" w:hanging="199"/>
        <w:jc w:val="left"/>
      </w:pPr>
      <w:r>
        <w:rPr>
          <w:b/>
        </w:rPr>
        <w:t>Deep Learning Models</w:t>
      </w:r>
      <w:r>
        <w:t>: Require large, high-quality datasets and significant computational resou</w:t>
      </w:r>
      <w:r>
        <w:t>rces; risk of overfitting and challenges in interpretability and hyperparameter tuning (Devaraj et al., 2021; Alkhayat &amp; Mehmood, 2021; Kumari &amp; Toshniwal, 2021; Luo et al., 2021; Husein et al., 2024; Alazemi et al., 2024).</w:t>
      </w:r>
    </w:p>
    <w:tbl>
      <w:tblPr>
        <w:tblStyle w:val="TableGrid"/>
        <w:tblpPr w:vertAnchor="page" w:horzAnchor="page" w:tblpX="1440" w:tblpY="10491"/>
        <w:tblOverlap w:val="never"/>
        <w:tblW w:w="10466" w:type="dxa"/>
        <w:tblInd w:w="0" w:type="dxa"/>
        <w:tblCellMar>
          <w:top w:w="3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9451"/>
      </w:tblGrid>
      <w:tr w:rsidR="005E0313">
        <w:trPr>
          <w:trHeight w:val="342"/>
        </w:trPr>
        <w:tc>
          <w:tcPr>
            <w:tcW w:w="1015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w="945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Name</w:t>
            </w:r>
          </w:p>
        </w:tc>
      </w:tr>
      <w:tr w:rsidR="005E0313">
        <w:trPr>
          <w:trHeight w:val="298"/>
        </w:trPr>
        <w:tc>
          <w:tcPr>
            <w:tcW w:w="101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Author</w:t>
            </w:r>
          </w:p>
        </w:tc>
        <w:tc>
          <w:tcPr>
            <w:tcW w:w="945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Huazhi Wang (Wang et al., 2019)</w:t>
            </w:r>
          </w:p>
        </w:tc>
      </w:tr>
      <w:tr w:rsidR="005E0313">
        <w:trPr>
          <w:trHeight w:val="239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Author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Ghadah Alkhayat (Alkhayat &amp; Mehmood, 2021)</w:t>
            </w:r>
          </w:p>
        </w:tc>
      </w:tr>
      <w:tr w:rsidR="005E0313">
        <w:trPr>
          <w:trHeight w:val="239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Author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Xing Luo (Luo et al., 2021)</w:t>
            </w:r>
          </w:p>
        </w:tc>
      </w:tr>
      <w:tr w:rsidR="005E0313">
        <w:trPr>
          <w:trHeight w:val="239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Journal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-74" w:firstLine="0"/>
            </w:pPr>
            <w:r>
              <w:t>Applied Energy (Cabello-L´opez et al., 2023; Mashlakov et al., 2021; Jamil et al., 2023; Luo et al., 2021; Dum</w:t>
            </w:r>
          </w:p>
        </w:tc>
      </w:tr>
      <w:tr w:rsidR="005E0313">
        <w:trPr>
          <w:trHeight w:val="239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Journal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Energies (Cantillo-Luna et al., 2023; Benrabia &amp; S¨offker, 2025; Khortsriwong et al., 2023)</w:t>
            </w:r>
          </w:p>
        </w:tc>
      </w:tr>
      <w:tr w:rsidR="005E0313">
        <w:trPr>
          <w:trHeight w:val="283"/>
        </w:trPr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t>Journal</w:t>
            </w:r>
          </w:p>
        </w:tc>
        <w:tc>
          <w:tcPr>
            <w:tcW w:w="94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Renewable Energy (Haider et al., 2022; Li et al., 2023; Hu et al., 2020; Mirza et al., 2023)</w:t>
            </w:r>
          </w:p>
        </w:tc>
      </w:tr>
    </w:tbl>
    <w:p w:rsidR="005E0313" w:rsidRDefault="003334D8">
      <w:pPr>
        <w:pStyle w:val="Heading2"/>
        <w:spacing w:after="123"/>
        <w:ind w:left="598" w:hanging="613"/>
      </w:pPr>
      <w:r>
        <w:t>Evaluation Metrics and Benchmarks</w:t>
      </w:r>
    </w:p>
    <w:p w:rsidR="005E0313" w:rsidRDefault="003334D8">
      <w:pPr>
        <w:ind w:left="-15" w:right="1425" w:firstLine="0"/>
      </w:pPr>
      <w:r>
        <w:t>Common metrics include MAE, RMSE, MAPE, and R</w:t>
      </w:r>
      <w:r>
        <w:rPr>
          <w:rFonts w:ascii="Calibri" w:eastAsia="Calibri" w:hAnsi="Calibri" w:cs="Calibri"/>
        </w:rPr>
        <w:t>²</w:t>
      </w:r>
      <w:r>
        <w:t>. Deep learning models consistently achieve lower error rates and higher R</w:t>
      </w:r>
      <w:r>
        <w:rPr>
          <w:rFonts w:ascii="Calibri" w:eastAsia="Calibri" w:hAnsi="Calibri" w:cs="Calibri"/>
        </w:rPr>
        <w:t xml:space="preserve">² </w:t>
      </w:r>
      <w:r>
        <w:t>values across diverse datasets and forecasting horizons (Sedai et al., 2023; Cabello-L´opez et al., 2023; Li et al., 2023; AlKandari &amp;</w:t>
      </w:r>
      <w:r>
        <w:t xml:space="preserve"> Ahmad, 2020; Devaraj et al., 2021;</w:t>
      </w:r>
    </w:p>
    <w:p w:rsidR="005E0313" w:rsidRDefault="003334D8">
      <w:pPr>
        <w:spacing w:after="205"/>
        <w:ind w:left="-15" w:right="1425" w:firstLine="0"/>
      </w:pPr>
      <w:r>
        <w:t>Li et al., 2020; Jamil et al., 2023; Kumari &amp; Toshniwal, 2021; Luo et al., 2021; Husein et al., 2024; Venkateswaran &amp; Cho, 2024; Mirza et al., 2023; Khortsriwong et al., 2023; Maleki et al., 2024).</w:t>
      </w:r>
    </w:p>
    <w:p w:rsidR="005E0313" w:rsidRDefault="003334D8">
      <w:pPr>
        <w:spacing w:after="235" w:line="265" w:lineRule="auto"/>
        <w:ind w:left="10" w:hanging="10"/>
        <w:jc w:val="center"/>
      </w:pPr>
      <w:r>
        <w:t>Table 1: Authors &amp; jou</w:t>
      </w:r>
      <w:r>
        <w:t>rnals that appeared most frequently in the included papers.</w:t>
      </w:r>
    </w:p>
    <w:p w:rsidR="005E0313" w:rsidRDefault="003334D8">
      <w:pPr>
        <w:pStyle w:val="Heading1"/>
        <w:spacing w:before="657"/>
        <w:ind w:left="469" w:hanging="484"/>
      </w:pPr>
      <w:r>
        <w:t>Discussion</w:t>
      </w:r>
    </w:p>
    <w:p w:rsidR="005E0313" w:rsidRDefault="003334D8">
      <w:pPr>
        <w:ind w:left="-15" w:right="1425" w:firstLine="0"/>
      </w:pPr>
      <w:r>
        <w:t>The literature strongly supports the superiority of deep learning models over traditional statistical models in most energy production forecasting scenarios, especially as data complexi</w:t>
      </w:r>
      <w:r>
        <w:t>ty and forecasting horizons increase (Sedai et al., 2023; Cabello-L´opez et al., 2023; AlKandari &amp; Ahmad, 2020; Devaraj et al., 2021; Alkhayat &amp; Mehmood, 2021; Wang et al., 2019; Luo et al., 2021; Husein et al., 2024; Mirza et al., 2023). Deep learning mod</w:t>
      </w:r>
      <w:r>
        <w:t>els excel at capturing nonlinearities, temporal dependencies, and high-dimensional relationships, making them particularly well-suited for renewable energy forecasting where weather and environmental factors play a significant role (Sedai et al., 2023; Cab</w:t>
      </w:r>
      <w:r>
        <w:t>ello-L´opez et al., 2023; AlKandari &amp; Ahmad, 2020; Devaraj et al., 2021; Alkhayat &amp; Mehmood, 2021; Wang et al., 2019; Luo et al., 2021; Husein et al., 2024; Mirza et al., 2023). Hybrid and ensemble approaches further enhance performance by combining the st</w:t>
      </w:r>
      <w:r>
        <w:t>rengths of both model types (AlKandari &amp; Ahmad, 2020; Li et al., 2020; Husein et al., 2024; Venkateswaran &amp; Cho, 2024; Mirza et al., 2023; Padilha et al., 2022).</w:t>
      </w:r>
    </w:p>
    <w:p w:rsidR="005E0313" w:rsidRDefault="003334D8">
      <w:pPr>
        <w:spacing w:after="436"/>
        <w:ind w:left="-15" w:right="1425"/>
      </w:pPr>
      <w:r>
        <w:t>However, deep learning models are not without challenges. They require substantial data and co</w:t>
      </w:r>
      <w:r>
        <w:t>mputational resources, and their ”black box” nature can hinder interpretability and trust in operational settings (Devaraj et al., 2021; Alkhayat &amp; Mehmood, 2021; Kumari &amp; Toshniwal, 2021; Luo et al., 2021; Husein et al., 2024; Alazemi et al., 2024). Stati</w:t>
      </w:r>
      <w:r>
        <w:t>stical models remain valuable for simpler, linear, or data-scarce scenarios, and their transparency and ease of implementation are advantageous in certain contexts (Sedai et al., 2023; Haider et al., 2022; Cabello-L´opez et al., 2023; AlKandari &amp; Ahmad, 20</w:t>
      </w:r>
      <w:r>
        <w:t>20; Devaraj et al., 2021; Alkhayat &amp; Mehmood, 2021; Wang et al., 2019).</w:t>
      </w:r>
    </w:p>
    <w:p w:rsidR="005E0313" w:rsidRDefault="003334D8">
      <w:pPr>
        <w:pStyle w:val="Heading1"/>
        <w:ind w:left="469" w:hanging="484"/>
      </w:pPr>
      <w:r>
        <w:t>Conclusion</w:t>
      </w:r>
    </w:p>
    <w:p w:rsidR="005E0313" w:rsidRDefault="003334D8">
      <w:pPr>
        <w:spacing w:after="329"/>
        <w:ind w:left="-15" w:right="1425" w:firstLine="0"/>
      </w:pPr>
      <w:r>
        <w:t>Recent advances in deep learning have revolutionized energy production forecasting, with DL models consistently outperforming traditional statistical approaches in accuracy, robustness, and adaptability to complex, nonlinear, and high-dimensional data. Hyb</w:t>
      </w:r>
      <w:r>
        <w:t>rid and ensemble models offer further improvements, while statistical models retain value in specific, simpler contexts. Ongoing challenges include data requirements, computational costs, and interpretability.</w:t>
      </w:r>
    </w:p>
    <w:p w:rsidR="005E0313" w:rsidRDefault="003334D8">
      <w:pPr>
        <w:pStyle w:val="Heading2"/>
        <w:ind w:left="598" w:hanging="613"/>
      </w:pPr>
      <w:r>
        <w:t>Research Gaps</w:t>
      </w:r>
    </w:p>
    <w:p w:rsidR="005E0313" w:rsidRDefault="003334D8">
      <w:pPr>
        <w:spacing w:after="197"/>
        <w:ind w:left="-15" w:right="1425" w:firstLine="0"/>
      </w:pPr>
      <w:r>
        <w:t>Despite significant progress, se</w:t>
      </w:r>
      <w:r>
        <w:t>veral gaps remain:</w:t>
      </w:r>
    </w:p>
    <w:p w:rsidR="005E0313" w:rsidRDefault="003334D8">
      <w:pPr>
        <w:numPr>
          <w:ilvl w:val="0"/>
          <w:numId w:val="3"/>
        </w:numPr>
        <w:spacing w:after="177"/>
        <w:ind w:right="1425" w:hanging="199"/>
      </w:pPr>
      <w:r>
        <w:t>Limited research on interpretability and explainability of deep learning models in operational energy forecasting.</w:t>
      </w:r>
    </w:p>
    <w:p w:rsidR="005E0313" w:rsidRDefault="003334D8">
      <w:pPr>
        <w:numPr>
          <w:ilvl w:val="0"/>
          <w:numId w:val="3"/>
        </w:numPr>
        <w:spacing w:after="195"/>
        <w:ind w:right="1425" w:hanging="199"/>
      </w:pPr>
      <w:r>
        <w:t>Insufficient studies on the performance of models in data-scarce or highly volatile environments.</w:t>
      </w:r>
    </w:p>
    <w:p w:rsidR="005E0313" w:rsidRDefault="003334D8">
      <w:pPr>
        <w:numPr>
          <w:ilvl w:val="0"/>
          <w:numId w:val="3"/>
        </w:numPr>
        <w:spacing w:after="561"/>
        <w:ind w:right="1425" w:hanging="199"/>
      </w:pPr>
      <w:r>
        <w:t>Few large-scale, standar</w:t>
      </w:r>
      <w:r>
        <w:t>dized benchmarks for cross-comparison of models across diverse geographies and energy types.</w:t>
      </w:r>
    </w:p>
    <w:p w:rsidR="005E0313" w:rsidRDefault="003334D8">
      <w:pPr>
        <w:pStyle w:val="Heading1"/>
        <w:numPr>
          <w:ilvl w:val="0"/>
          <w:numId w:val="0"/>
        </w:numPr>
        <w:ind w:left="-5"/>
      </w:pPr>
      <w:r>
        <w:t>References</w:t>
      </w:r>
    </w:p>
    <w:p w:rsidR="005E0313" w:rsidRDefault="003334D8">
      <w:pPr>
        <w:ind w:left="-15" w:right="1425" w:firstLine="0"/>
      </w:pPr>
      <w:r>
        <w:t>.5in1 Sedai, A., Dhakal, R., Gautam, S., Dhamala, A., Bilbao, A., Wang, Q., Wigington, A., &amp; Pol, S. (2023). Performance Analysis of Statistical, Machin</w:t>
      </w:r>
      <w:r>
        <w:t xml:space="preserve">e Learning and Deep Learning Models in Long-Term Forecasting of Solar Power Production. </w:t>
      </w:r>
      <w:r>
        <w:rPr>
          <w:i/>
        </w:rPr>
        <w:t>Forecasting</w:t>
      </w:r>
      <w:r>
        <w:t>. https://doi.org/10.3390/forecast5010014</w:t>
      </w:r>
    </w:p>
    <w:p w:rsidR="005E0313" w:rsidRDefault="003334D8">
      <w:pPr>
        <w:ind w:left="-15" w:right="-59"/>
      </w:pPr>
      <w:r>
        <w:t>Haider, S., Sajid, M., Sajid, H., Uddin, E., &amp; Ayaz, Y. (2022). Deep learning and statistical methods for short- an</w:t>
      </w:r>
      <w:r>
        <w:t xml:space="preserve">d long-term solar irradiance forecasting for Islamabad. </w:t>
      </w:r>
      <w:r>
        <w:rPr>
          <w:i/>
        </w:rPr>
        <w:t>Renewable Energy</w:t>
      </w:r>
      <w:r>
        <w:t>. https://doi.org/10.1016/j.renene.20 Abdelsattar, M., Ismeil, M., Menoufi, K., Abdelmoety, A., &amp; Emad-Eldeen, A. (2025). Evaluating Machine Learning and Deep Learning models for predi</w:t>
      </w:r>
      <w:r>
        <w:t xml:space="preserve">cting Wind Turbine power output from environmental factors. </w:t>
      </w:r>
      <w:r>
        <w:rPr>
          <w:i/>
        </w:rPr>
        <w:t>PLOS ONE</w:t>
      </w:r>
      <w:r>
        <w:t>, 20. https://doi.org/10.1371/journal.pone.0317619</w:t>
      </w:r>
    </w:p>
    <w:p w:rsidR="005E0313" w:rsidRDefault="003334D8">
      <w:pPr>
        <w:ind w:left="-15" w:right="1425"/>
      </w:pPr>
      <w:r>
        <w:t>Cabello-L´opez, T., Carranza-Garc´ıa, M., Riquelme, J., &amp; Garc´ıa-Gutierrez, J. (2023). Forecasting solar energy production in Spain: A c</w:t>
      </w:r>
      <w:r>
        <w:t xml:space="preserve">omparison of univariate and multivariate models at the national level. </w:t>
      </w:r>
      <w:r>
        <w:rPr>
          <w:i/>
        </w:rPr>
        <w:t>Applied Energy</w:t>
      </w:r>
      <w:r>
        <w:t>. https://doi.org/10.1016/j.apenergy.2023.121645</w:t>
      </w:r>
    </w:p>
    <w:p w:rsidR="005E0313" w:rsidRDefault="003334D8">
      <w:pPr>
        <w:ind w:left="-15" w:right="1425"/>
      </w:pPr>
      <w:r>
        <w:t>Li, X., Li, K., Shen, S., &amp; Tian, Y. (2023). Exploring Time Series Models for Wind Speed Forecasting: A Comparative Analys</w:t>
      </w:r>
      <w:r>
        <w:t xml:space="preserve">is. </w:t>
      </w:r>
      <w:r>
        <w:rPr>
          <w:i/>
        </w:rPr>
        <w:t>Energies</w:t>
      </w:r>
      <w:r>
        <w:t>. https://doi.org/10.3390/en16237785</w:t>
      </w:r>
    </w:p>
    <w:p w:rsidR="005E0313" w:rsidRDefault="003334D8">
      <w:pPr>
        <w:ind w:left="299" w:right="1425" w:firstLine="0"/>
      </w:pPr>
      <w:r>
        <w:t>Bassey, K. (2023). SOLAR ENERGY FORECASTING WITH DEEP LEARNING TECHNIQUE.</w:t>
      </w:r>
    </w:p>
    <w:p w:rsidR="005E0313" w:rsidRDefault="003334D8">
      <w:pPr>
        <w:ind w:left="-15" w:right="1425" w:firstLine="0"/>
      </w:pPr>
      <w:r>
        <w:rPr>
          <w:i/>
        </w:rPr>
        <w:t>Engineering Science &amp; Technology Journal</w:t>
      </w:r>
      <w:r>
        <w:t>. https://doi.org/10.51594/estj.v4i2.1286</w:t>
      </w:r>
    </w:p>
    <w:p w:rsidR="005E0313" w:rsidRDefault="003334D8">
      <w:pPr>
        <w:ind w:left="-15" w:right="-57"/>
      </w:pPr>
      <w:r>
        <w:t xml:space="preserve">AlKandari, M., &amp; Ahmad, I. (2020). Solar power generation forecasting using ensemble approach based on deep learning and statistical methods. </w:t>
      </w:r>
      <w:r>
        <w:rPr>
          <w:i/>
        </w:rPr>
        <w:t>Applied Computing and Informatics</w:t>
      </w:r>
      <w:r>
        <w:t>. https://doi.org/10.1016/j.aci.2019.11 Garine, R., &amp; Sharma, S. (2025). Probabil</w:t>
      </w:r>
      <w:r>
        <w:t xml:space="preserve">istic Deep Learning for Energy Time Series Forecasting: A Comparative Study. </w:t>
      </w:r>
      <w:r>
        <w:rPr>
          <w:i/>
        </w:rPr>
        <w:t>2025 13th International Symposium on Digital Forensics and Security (ISDFS)</w:t>
      </w:r>
      <w:r>
        <w:t>, 1-6. https://doi.org/10.1109/isdfs65363.2025.11011947</w:t>
      </w:r>
    </w:p>
    <w:p w:rsidR="005E0313" w:rsidRDefault="003334D8">
      <w:pPr>
        <w:ind w:left="-15" w:right="1425"/>
      </w:pPr>
      <w:r>
        <w:t>Devaraj, J., Elavarasan, R., Shafiullah, G., Jam</w:t>
      </w:r>
      <w:r>
        <w:t xml:space="preserve">al, T., &amp; Khan, I. (2021). A holistic review on energy forecasting using big data and deep learning models. </w:t>
      </w:r>
      <w:r>
        <w:rPr>
          <w:i/>
        </w:rPr>
        <w:t>International Journal of Energy Research</w:t>
      </w:r>
      <w:r>
        <w:t>, 45, 13489 - 13530. https://doi.org/10.1002/er.6679</w:t>
      </w:r>
    </w:p>
    <w:p w:rsidR="005E0313" w:rsidRDefault="003334D8">
      <w:pPr>
        <w:spacing w:after="30"/>
        <w:ind w:left="-15" w:right="1425"/>
      </w:pPr>
      <w:r>
        <w:t>Cantillo-Luna, S., Moreno-Chuquen, R., Celeita, D., &amp; A</w:t>
      </w:r>
      <w:r>
        <w:t xml:space="preserve">nders, G. (2023). Deep and Machine Learning Models to Forecast Photovoltaic Power Generation. </w:t>
      </w:r>
      <w:r>
        <w:rPr>
          <w:i/>
        </w:rPr>
        <w:t>Energies</w:t>
      </w:r>
      <w:r>
        <w:t>. https://doi.org/10.3390/en16104097 Zafar, M., Khan, N., Mansoor, M., Mirza, A., Moosavi, S., &amp; Sanfilippo, F. (2022). Adaptive MLbased technique for ren</w:t>
      </w:r>
      <w:r>
        <w:t xml:space="preserve">ewable energy system power forecasting in hybrid PV-Wind farms power conversion systems. </w:t>
      </w:r>
      <w:r>
        <w:rPr>
          <w:i/>
        </w:rPr>
        <w:t>Energy Conversion and Management</w:t>
      </w:r>
      <w:r>
        <w:t>. https://doi.org/10.1016/j.enconman.2022.115564</w:t>
      </w:r>
    </w:p>
    <w:p w:rsidR="005E0313" w:rsidRDefault="003334D8">
      <w:pPr>
        <w:ind w:left="-15" w:right="1425"/>
      </w:pPr>
      <w:r>
        <w:t>Ehtearm, M., Zadeh, H., Seifi, A., Fayazi, A., &amp; Dehghani, M. (2023). Predicting Hydro</w:t>
      </w:r>
      <w:r>
        <w:t xml:space="preserve">power Production Using Deep Learning CNN-ANN Hybridized with Gaussian Process Regression and Salp Algorithm. </w:t>
      </w:r>
      <w:r>
        <w:rPr>
          <w:i/>
        </w:rPr>
        <w:t>Water Resources Management</w:t>
      </w:r>
      <w:r>
        <w:t>, 37, 3671-3697. https://doi.org/10.1007/s11269-023-03521-0</w:t>
      </w:r>
    </w:p>
    <w:p w:rsidR="005E0313" w:rsidRDefault="003334D8">
      <w:pPr>
        <w:ind w:left="-15" w:right="1425"/>
      </w:pPr>
      <w:r>
        <w:t>Li, P., Zhou, K., Lu, X., &amp; Yang, S. (2020). A hybrid deep le</w:t>
      </w:r>
      <w:r>
        <w:t xml:space="preserve">arning model for short-term PV power forecasting. </w:t>
      </w:r>
      <w:r>
        <w:rPr>
          <w:i/>
        </w:rPr>
        <w:t>Applied Energy</w:t>
      </w:r>
      <w:r>
        <w:t>. https://doi.org/10.1016/j.apenergy.2019.114216</w:t>
      </w:r>
    </w:p>
    <w:p w:rsidR="005E0313" w:rsidRDefault="003334D8">
      <w:pPr>
        <w:ind w:left="-15" w:right="1425"/>
      </w:pPr>
      <w:r>
        <w:t>Mashlakov, A., Kuronen, T., Lensu, L., Kaarna, A., &amp; Honkapuro, S. (2021). Assessing the performance of deep learning models for multivariate p</w:t>
      </w:r>
      <w:r>
        <w:t xml:space="preserve">robabilistic energy forecasting. </w:t>
      </w:r>
      <w:r>
        <w:rPr>
          <w:i/>
        </w:rPr>
        <w:t>Applied Energy</w:t>
      </w:r>
      <w:r>
        <w:t>. https://doi.org/10.1016/j.apenergy.2020.116405</w:t>
      </w:r>
    </w:p>
    <w:p w:rsidR="005E0313" w:rsidRDefault="003334D8">
      <w:pPr>
        <w:ind w:left="-15" w:right="1425"/>
      </w:pPr>
      <w:r>
        <w:t xml:space="preserve">Alkhayat, G., &amp; Mehmood, R. (2021). A review and taxonomy of wind and solar energy forecasting methods based on deep learning. </w:t>
      </w:r>
      <w:r>
        <w:rPr>
          <w:i/>
        </w:rPr>
        <w:t>Energy and AI</w:t>
      </w:r>
      <w:r>
        <w:t>. https://doi.org/10</w:t>
      </w:r>
      <w:r>
        <w:t>.1016/j.egyai.2021.100060</w:t>
      </w:r>
    </w:p>
    <w:p w:rsidR="005E0313" w:rsidRDefault="003334D8">
      <w:pPr>
        <w:ind w:left="-15" w:right="1425"/>
      </w:pPr>
      <w:r>
        <w:t xml:space="preserve">Miroshnyk, V., Shymaniuk, P., &amp; Sychova, V. (2021). Short Term Renewable Energy Forecasting with Deep Learning Neural Networks. </w:t>
      </w:r>
      <w:r>
        <w:rPr>
          <w:i/>
        </w:rPr>
        <w:t>Power Systems Research and Operation</w:t>
      </w:r>
      <w:r>
        <w:t xml:space="preserve">. https://doi.org/10.1007/9783-030-82926-1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960" cy="5055"/>
                <wp:effectExtent l="0" t="0" r="0" b="0"/>
                <wp:docPr id="7646" name="Group 7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60" cy="5055"/>
                          <a:chOff x="0" y="0"/>
                          <a:chExt cx="37960" cy="505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37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6" style="width:2.989pt;height:0.398pt;mso-position-horizontal-relative:char;mso-position-vertical-relative:line" coordsize="379,50">
                <v:shape id="Shape 285" style="position:absolute;width:379;height:0;left:0;top:0;" coordsize="37960,0" path="m0,0l3796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6</w:t>
      </w:r>
    </w:p>
    <w:p w:rsidR="005E0313" w:rsidRDefault="003334D8">
      <w:pPr>
        <w:ind w:left="-15" w:right="1425"/>
      </w:pPr>
      <w:r>
        <w:t>Alc´antara, A., Galv</w:t>
      </w:r>
      <w:r>
        <w:t xml:space="preserve">´an, I., &amp; Aler, R. (2022). Deep neural networks for the quantile estimation of regional renewable energy production. </w:t>
      </w:r>
      <w:r>
        <w:rPr>
          <w:i/>
        </w:rPr>
        <w:t>Applied Intelligence</w:t>
      </w:r>
      <w:r>
        <w:t>, 53, 8318-8353. https://doi.org/10.1007/s10489022-03958-7</w:t>
      </w:r>
    </w:p>
    <w:p w:rsidR="005E0313" w:rsidRDefault="003334D8">
      <w:pPr>
        <w:ind w:left="-15" w:right="1425"/>
      </w:pPr>
      <w:r>
        <w:t>Jamil, I., Lucheng, H., Iqbal, S., Aurangzalb, M., Jamil, R</w:t>
      </w:r>
      <w:r>
        <w:t xml:space="preserve">., Kotb, H., Alkuhayli, A., &amp; AboRas, K. (2023). Predictive evaluation of solar energy variables for a large-scale solar power plant based on triple deep learning forecast models. </w:t>
      </w:r>
      <w:r>
        <w:rPr>
          <w:i/>
        </w:rPr>
        <w:t>Alexandria Engineering Journal</w:t>
      </w:r>
      <w:r>
        <w:t>. https://doi.org/10.1016/j.aej.2023.06.023 Of</w:t>
      </w:r>
      <w:r>
        <w:t xml:space="preserve">ose, B., Okpura, N., &amp; Udofia, K. (2025). Comparative Analysis of Hybrid Machine Learning Models for Photovoltaic Energy Output Prediction: A Case Study from Nigeria’s South-South Region. </w:t>
      </w:r>
      <w:r>
        <w:rPr>
          <w:i/>
        </w:rPr>
        <w:t>Journal of Engineering Research and Reports</w:t>
      </w:r>
      <w:r>
        <w:t>. https://doi.org/10.9734</w:t>
      </w:r>
      <w:r>
        <w:t>/jerr/2025/v27141481</w:t>
      </w:r>
    </w:p>
    <w:p w:rsidR="005E0313" w:rsidRDefault="003334D8">
      <w:pPr>
        <w:ind w:left="-15" w:right="808"/>
      </w:pPr>
      <w:r>
        <w:t xml:space="preserve">Kumari, P., &amp; Toshniwal, D. (2021). Deep learning models for solar irradiance forecasting: A comprehensive review. </w:t>
      </w:r>
      <w:r>
        <w:rPr>
          <w:i/>
        </w:rPr>
        <w:t>Journal of Cleaner Production</w:t>
      </w:r>
      <w:r>
        <w:t>, 318, 128566. https://doi.org/10.1016/j.jclepro.2021.128566</w:t>
      </w:r>
    </w:p>
    <w:p w:rsidR="005E0313" w:rsidRDefault="003334D8">
      <w:pPr>
        <w:ind w:left="-15" w:right="1425"/>
      </w:pPr>
      <w:r>
        <w:t xml:space="preserve">Wang, H., Lei, Z., Zhang, X., Zhou, B., &amp; Peng, J. (2019). A review of deep learning for renewable energy forecasting. </w:t>
      </w:r>
      <w:r>
        <w:rPr>
          <w:i/>
        </w:rPr>
        <w:t>Energy Conversion and Management</w:t>
      </w:r>
      <w:r>
        <w:t>. https://doi.org/10.1016/j.enconman.2019.11799</w:t>
      </w:r>
    </w:p>
    <w:p w:rsidR="005E0313" w:rsidRDefault="003334D8">
      <w:pPr>
        <w:ind w:left="-15" w:right="1116"/>
      </w:pPr>
      <w:r>
        <w:t>Luo, X., Zhang, D., &amp; Zhu, X. (2021). Deep learning based</w:t>
      </w:r>
      <w:r>
        <w:t xml:space="preserve"> forecasting of photovoltaic power generation by incorporating domain knowledge. </w:t>
      </w:r>
      <w:r>
        <w:rPr>
          <w:i/>
        </w:rPr>
        <w:t>Energy</w:t>
      </w:r>
      <w:r>
        <w:t>, 225, 120240. https://doi.org/10.1016/j.energy.2021.120240 Benrabia, I., &amp; S¨offker, D. (2025). Modeling and Evaluation of Forecasting Models for Energy Production in W</w:t>
      </w:r>
      <w:r>
        <w:t xml:space="preserve">ind and Photovoltaic Systems. </w:t>
      </w:r>
      <w:r>
        <w:rPr>
          <w:i/>
        </w:rPr>
        <w:t>Energies</w:t>
      </w:r>
      <w:r>
        <w:t>. https://doi.org/10.3390/en18030625</w:t>
      </w:r>
    </w:p>
    <w:p w:rsidR="005E0313" w:rsidRDefault="003334D8">
      <w:pPr>
        <w:ind w:left="-15" w:right="-42"/>
      </w:pPr>
      <w:r>
        <w:t xml:space="preserve">Husein, M., Gago, E., Hasan, B., &amp; Pegalajar, M. (2024). Towards energy efficiency: A comprehensive review of deep learning-based photovoltaic power forecasting strategies. </w:t>
      </w:r>
      <w:r>
        <w:rPr>
          <w:i/>
        </w:rPr>
        <w:t>Heliyon</w:t>
      </w:r>
      <w:r>
        <w:t>,</w:t>
      </w:r>
      <w:r>
        <w:t xml:space="preserve"> 10. https://doi.org/10.1016/j.heliyon.202</w:t>
      </w:r>
    </w:p>
    <w:p w:rsidR="005E0313" w:rsidRDefault="003334D8">
      <w:pPr>
        <w:ind w:left="-15" w:right="1425"/>
      </w:pPr>
      <w:r>
        <w:t xml:space="preserve">Dumas, J., Wehenkel, A., Lanaspeze, D., Cornelusse, B., &amp; Sutera, A. (2021). A deep generative model for probabilistic energy forecasting in power systems: normalizing flows. </w:t>
      </w:r>
      <w:r>
        <w:rPr>
          <w:i/>
        </w:rPr>
        <w:t>Applied Energy</w:t>
      </w:r>
      <w:r>
        <w:t>. https://doi.org/10.101</w:t>
      </w:r>
      <w:r>
        <w:t>6/j.apenergy.2021.117871</w:t>
      </w:r>
    </w:p>
    <w:p w:rsidR="005E0313" w:rsidRDefault="003334D8">
      <w:pPr>
        <w:ind w:left="-15" w:right="1425"/>
      </w:pPr>
      <w:r>
        <w:t xml:space="preserve">Hu, H., Wang, L., &amp; Lv, S. (2020). Forecasting energy consumption and wind power generation using deep echo state network. </w:t>
      </w:r>
      <w:r>
        <w:rPr>
          <w:i/>
        </w:rPr>
        <w:t>Renewable Energy</w:t>
      </w:r>
      <w:r>
        <w:t>, 154, 598-613. https://doi.org/10.1016/j.renene.2020.03.042</w:t>
      </w:r>
    </w:p>
    <w:p w:rsidR="005E0313" w:rsidRDefault="003334D8">
      <w:pPr>
        <w:ind w:left="-15" w:right="875"/>
      </w:pPr>
      <w:r>
        <w:t>Venkateswaran, D., &amp; Cho, Y. (2</w:t>
      </w:r>
      <w:r>
        <w:t xml:space="preserve">024). Efficient solar power generation forecasting for greenhouses: A hybrid deep learning approach. </w:t>
      </w:r>
      <w:r>
        <w:rPr>
          <w:i/>
        </w:rPr>
        <w:t>Alexandria Engineering Journal</w:t>
      </w:r>
      <w:r>
        <w:t>. https://doi.org/10.1016/j.aej.2024.02.004</w:t>
      </w:r>
    </w:p>
    <w:p w:rsidR="005E0313" w:rsidRDefault="003334D8">
      <w:pPr>
        <w:ind w:left="-15" w:right="742"/>
      </w:pPr>
      <w:r>
        <w:t xml:space="preserve">Alazemi, T., Darwish, M., &amp; Radi, M. (2024). Renewable energy sources integration via machine learning modelling: A systematic literature review. </w:t>
      </w:r>
      <w:r>
        <w:rPr>
          <w:i/>
        </w:rPr>
        <w:t>Heliyon</w:t>
      </w:r>
      <w:r>
        <w:t>, 10. https://doi.org/10.1016/j.heliyon.2024.e26088</w:t>
      </w:r>
    </w:p>
    <w:p w:rsidR="005E0313" w:rsidRDefault="003334D8">
      <w:pPr>
        <w:ind w:left="-15" w:right="1425"/>
      </w:pPr>
      <w:r>
        <w:t>Mirza, A., Shu, Z., Usman, M., Mansoor, M., &amp; Ling,</w:t>
      </w:r>
      <w:r>
        <w:t xml:space="preserve"> Q. (2023). Quantile-transformed multiattention residual framework (QT-MARF) for medium-term PV and wind power prediction. </w:t>
      </w:r>
      <w:r>
        <w:rPr>
          <w:i/>
        </w:rPr>
        <w:t>Renewable Energy</w:t>
      </w:r>
      <w:r>
        <w:t>. https://doi.org/10.1016/j.renene.2023.119604</w:t>
      </w:r>
    </w:p>
    <w:p w:rsidR="005E0313" w:rsidRDefault="003334D8">
      <w:pPr>
        <w:ind w:left="-15" w:right="1425"/>
      </w:pPr>
      <w:r>
        <w:t>Fan, G., Han, Y., Li, J., Peng, L., Yeh, Y., &amp; Hong, W. (2024). A hybr</w:t>
      </w:r>
      <w:r>
        <w:t xml:space="preserve">id model for deep learning short-term power load forecasting based on feature extraction statistics techniques. </w:t>
      </w:r>
      <w:r>
        <w:rPr>
          <w:i/>
        </w:rPr>
        <w:t>Expert Syst. Appl.</w:t>
      </w:r>
      <w:r>
        <w:t>, 238, 122012. https://doi.org/10.1016/j.eswa.2023.122012</w:t>
      </w:r>
    </w:p>
    <w:p w:rsidR="005E0313" w:rsidRDefault="003334D8">
      <w:pPr>
        <w:ind w:left="-15" w:right="1425"/>
      </w:pPr>
      <w:r>
        <w:t>Padilha, G., Ko, J., Jung, J., &amp; De Mattos Neto, P. (2022). Transfor</w:t>
      </w:r>
      <w:r>
        <w:t xml:space="preserve">mer-Based Hybrid Forecasting Model for Multivariate Renewable Energy. </w:t>
      </w:r>
      <w:r>
        <w:rPr>
          <w:i/>
        </w:rPr>
        <w:t>Applied Sciences</w:t>
      </w:r>
      <w:r>
        <w:t>. https://doi.org/10.3390/app122110985</w:t>
      </w:r>
    </w:p>
    <w:p w:rsidR="005E0313" w:rsidRDefault="003334D8">
      <w:pPr>
        <w:ind w:left="-15" w:right="1425"/>
      </w:pPr>
      <w:r>
        <w:t>Khortsriwong, N., Boonraksa, P., Boonraksa, T., Fangsuwanarak, T., Boonsrirat, A., Pinthurat, W., &amp; Marungsri, B. (2023). Performan</w:t>
      </w:r>
      <w:r>
        <w:t>ce of Deep Learning Techniques for Forecasting PV Power Generation:</w:t>
      </w:r>
    </w:p>
    <w:p w:rsidR="005E0313" w:rsidRDefault="003334D8">
      <w:pPr>
        <w:ind w:left="-15" w:right="1425" w:firstLine="0"/>
      </w:pPr>
      <w:r>
        <w:t xml:space="preserve">A Case Study on a 1.5 MWp Floating PV Power Plant. </w:t>
      </w:r>
      <w:r>
        <w:rPr>
          <w:i/>
        </w:rPr>
        <w:t>Energies</w:t>
      </w:r>
      <w:r>
        <w:t>. https://doi.org/10.3390/en16052119</w:t>
      </w:r>
    </w:p>
    <w:p w:rsidR="005E0313" w:rsidRDefault="003334D8">
      <w:pPr>
        <w:ind w:left="-15" w:right="1425"/>
      </w:pPr>
      <w:r>
        <w:t>Ramos, P., Villela, S., Silva, W., &amp; Dias, B. (2023). Residential energy consumption forecas</w:t>
      </w:r>
      <w:r>
        <w:t xml:space="preserve">ting using deep learning models. </w:t>
      </w:r>
      <w:r>
        <w:rPr>
          <w:i/>
        </w:rPr>
        <w:t>Applied Energy</w:t>
      </w:r>
      <w:r>
        <w:t>. https://doi.org/10.1016/j.apenergy.2023.121705</w:t>
      </w:r>
    </w:p>
    <w:p w:rsidR="005E0313" w:rsidRDefault="003334D8">
      <w:pPr>
        <w:ind w:left="-15" w:right="1425"/>
      </w:pPr>
      <w:r>
        <w:t xml:space="preserve">Maleki, N., Lundstr¨om, O., Musaddiq, A., Jeansson, J., Olsson, T., &amp; Ahlgren, F. (2024). Future energy insights: Time-series and deep learning models for city </w:t>
      </w:r>
      <w:r>
        <w:t xml:space="preserve">load forecasting. </w:t>
      </w:r>
      <w:r>
        <w:rPr>
          <w:i/>
        </w:rPr>
        <w:t>Applied Energy</w:t>
      </w:r>
      <w:r>
        <w:t>.</w:t>
      </w:r>
    </w:p>
    <w:p w:rsidR="005E0313" w:rsidRDefault="003334D8">
      <w:pPr>
        <w:ind w:left="-15" w:right="1425" w:firstLine="0"/>
      </w:pPr>
      <w:r>
        <w:t>https://doi.org/10.1016/j.apenergy.2024.124067</w:t>
      </w:r>
      <w:r>
        <w:br w:type="page"/>
      </w:r>
    </w:p>
    <w:tbl>
      <w:tblPr>
        <w:tblStyle w:val="TableGrid"/>
        <w:tblpPr w:vertAnchor="page" w:horzAnchor="page" w:tblpX="1440" w:tblpY="13738"/>
        <w:tblOverlap w:val="never"/>
        <w:tblW w:w="10466" w:type="dxa"/>
        <w:tblInd w:w="0" w:type="dxa"/>
        <w:tblCellMar>
          <w:top w:w="2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1967"/>
        <w:gridCol w:w="2011"/>
        <w:gridCol w:w="3103"/>
        <w:gridCol w:w="758"/>
      </w:tblGrid>
      <w:tr w:rsidR="005E0313">
        <w:trPr>
          <w:trHeight w:val="308"/>
        </w:trPr>
        <w:tc>
          <w:tcPr>
            <w:tcW w:w="2626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5E0313" w:rsidRDefault="005E0313">
            <w:pPr>
              <w:spacing w:after="160"/>
              <w:ind w:right="0" w:firstLine="0"/>
              <w:jc w:val="left"/>
            </w:pPr>
          </w:p>
        </w:tc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Solar Forecasting</w:t>
            </w:r>
          </w:p>
        </w:tc>
        <w:tc>
          <w:tcPr>
            <w:tcW w:w="201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Wind Forecasting</w:t>
            </w:r>
          </w:p>
        </w:tc>
        <w:tc>
          <w:tcPr>
            <w:tcW w:w="310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Hydropower Forecasting</w:t>
            </w:r>
          </w:p>
        </w:tc>
        <w:tc>
          <w:tcPr>
            <w:tcW w:w="75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-410" w:right="-52" w:firstLine="0"/>
              <w:jc w:val="right"/>
            </w:pPr>
            <w:r>
              <w:rPr>
                <w:b/>
              </w:rPr>
              <w:t>Load Foreca</w:t>
            </w:r>
          </w:p>
        </w:tc>
      </w:tr>
      <w:tr w:rsidR="005E0313">
        <w:trPr>
          <w:trHeight w:val="273"/>
        </w:trPr>
        <w:tc>
          <w:tcPr>
            <w:tcW w:w="26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E0313" w:rsidRDefault="005E0313">
            <w:pPr>
              <w:spacing w:after="160"/>
              <w:ind w:right="0" w:firstLine="0"/>
              <w:jc w:val="left"/>
            </w:pP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left="420" w:right="0" w:firstLine="0"/>
              <w:jc w:val="left"/>
            </w:pPr>
            <w:r>
              <w:rPr>
                <w:sz w:val="18"/>
              </w:rPr>
              <w:t>(# papers)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left="442" w:right="0" w:firstLine="0"/>
              <w:jc w:val="left"/>
            </w:pPr>
            <w:r>
              <w:rPr>
                <w:sz w:val="18"/>
              </w:rPr>
              <w:t>(# papers)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left="783" w:right="0" w:firstLine="0"/>
              <w:jc w:val="left"/>
            </w:pPr>
            <w:r>
              <w:rPr>
                <w:sz w:val="18"/>
              </w:rPr>
              <w:t>(# papers)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E0313" w:rsidRDefault="003334D8">
            <w:pPr>
              <w:spacing w:after="0"/>
              <w:ind w:right="-58" w:firstLine="0"/>
            </w:pPr>
            <w:r>
              <w:rPr>
                <w:sz w:val="18"/>
              </w:rPr>
              <w:t>(# papers</w:t>
            </w:r>
          </w:p>
        </w:tc>
      </w:tr>
      <w:tr w:rsidR="005E0313">
        <w:trPr>
          <w:trHeight w:val="300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rPr>
                <w:b/>
              </w:rPr>
              <w:t>Statistical Models</w:t>
            </w:r>
          </w:p>
        </w:tc>
        <w:tc>
          <w:tcPr>
            <w:tcW w:w="19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765" w:right="0" w:firstLine="0"/>
              <w:jc w:val="left"/>
            </w:pPr>
            <w:r>
              <w:t>12</w:t>
            </w:r>
          </w:p>
        </w:tc>
        <w:tc>
          <w:tcPr>
            <w:tcW w:w="201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239" w:firstLine="0"/>
              <w:jc w:val="center"/>
            </w:pPr>
            <w:r>
              <w:t>8</w:t>
            </w:r>
          </w:p>
        </w:tc>
        <w:tc>
          <w:tcPr>
            <w:tcW w:w="310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177" w:right="0" w:firstLine="0"/>
              <w:jc w:val="left"/>
            </w:pPr>
            <w:r>
              <w:t>2</w:t>
            </w: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left="130" w:right="0" w:firstLine="0"/>
              <w:jc w:val="center"/>
            </w:pPr>
            <w:r>
              <w:t>7</w:t>
            </w:r>
          </w:p>
        </w:tc>
      </w:tr>
      <w:tr w:rsidR="005E0313">
        <w:trPr>
          <w:trHeight w:val="239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rPr>
                <w:b/>
              </w:rPr>
              <w:t>Deep Learning Models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764" w:right="0" w:firstLine="0"/>
              <w:jc w:val="left"/>
            </w:pPr>
            <w:r>
              <w:t>18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786" w:right="0" w:firstLine="0"/>
              <w:jc w:val="left"/>
            </w:pPr>
            <w:r>
              <w:t>13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1177" w:right="0" w:firstLine="0"/>
              <w:jc w:val="left"/>
            </w:pPr>
            <w: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130" w:right="0" w:firstLine="0"/>
              <w:jc w:val="center"/>
            </w:pPr>
            <w:r>
              <w:t>10</w:t>
            </w:r>
          </w:p>
        </w:tc>
      </w:tr>
      <w:tr w:rsidR="005E0313">
        <w:trPr>
          <w:trHeight w:val="281"/>
        </w:trPr>
        <w:tc>
          <w:tcPr>
            <w:tcW w:w="262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left="120" w:right="0" w:firstLine="0"/>
              <w:jc w:val="left"/>
            </w:pPr>
            <w:r>
              <w:rPr>
                <w:b/>
              </w:rPr>
              <w:t>Probabilistic Forecasts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right="239" w:firstLine="0"/>
              <w:jc w:val="center"/>
            </w:pPr>
            <w:r>
              <w:t>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right="239" w:firstLine="0"/>
              <w:jc w:val="center"/>
            </w:pPr>
            <w:r>
              <w:t>4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left="1177" w:right="0" w:firstLine="0"/>
              <w:jc w:val="left"/>
            </w:pPr>
            <w:r>
              <w:t>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E0313" w:rsidRDefault="003334D8">
            <w:pPr>
              <w:spacing w:after="0"/>
              <w:ind w:left="130" w:right="0" w:firstLine="0"/>
              <w:jc w:val="center"/>
            </w:pPr>
            <w:r>
              <w:t>2</w:t>
            </w:r>
          </w:p>
        </w:tc>
      </w:tr>
    </w:tbl>
    <w:tbl>
      <w:tblPr>
        <w:tblStyle w:val="TableGrid"/>
        <w:tblpPr w:vertAnchor="text" w:tblpX="186" w:tblpY="510"/>
        <w:tblOverlap w:val="never"/>
        <w:tblW w:w="865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1373"/>
        <w:gridCol w:w="2507"/>
        <w:gridCol w:w="2268"/>
      </w:tblGrid>
      <w:tr w:rsidR="005E0313">
        <w:trPr>
          <w:trHeight w:val="497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Claim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Evidence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Strength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Reasoning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rPr>
                <w:b/>
              </w:rPr>
              <w:t>Papers</w:t>
            </w:r>
          </w:p>
        </w:tc>
      </w:tr>
      <w:tr w:rsidR="005E0313">
        <w:trPr>
          <w:trHeight w:val="2171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239" w:firstLine="0"/>
            </w:pPr>
            <w:r>
              <w:t>Deep learning models outperform statistical models in complex energy forecasting tasks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Strong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Multiple</w:t>
            </w:r>
            <w:r>
              <w:tab/>
              <w:t>comparative studies and meta-analyses show</w:t>
            </w:r>
            <w:r>
              <w:tab/>
              <w:t>lower</w:t>
            </w:r>
            <w:r>
              <w:tab/>
              <w:t>error</w:t>
            </w:r>
            <w:r>
              <w:tab/>
              <w:t>rates and higher accuracy for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DL models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</w:pPr>
            <w:r>
              <w:t>(Sedai et al., 2023; Cabello-L´opez et al., 2023; AlKandari &amp; Ahmad, 2020; Devaraj et al., 2021; Alkhayat &amp; Mehmood, 2021; Wang et al., 2019; Luo et al.</w:t>
            </w:r>
            <w:r>
              <w:t>, 2021; Husein et al., 2024; Mirza et al., 2023)</w:t>
            </w:r>
          </w:p>
        </w:tc>
      </w:tr>
    </w:tbl>
    <w:p w:rsidR="005E0313" w:rsidRDefault="003334D8">
      <w:pPr>
        <w:spacing w:after="0" w:line="265" w:lineRule="auto"/>
        <w:ind w:left="10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41935</wp:posOffset>
                </wp:positionH>
                <wp:positionV relativeFrom="paragraph">
                  <wp:posOffset>634023</wp:posOffset>
                </wp:positionV>
                <wp:extent cx="5647322" cy="6325"/>
                <wp:effectExtent l="0" t="0" r="0" b="0"/>
                <wp:wrapSquare wrapText="bothSides"/>
                <wp:docPr id="9496" name="Group 9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322" cy="6325"/>
                          <a:chOff x="0" y="0"/>
                          <a:chExt cx="5647322" cy="6325"/>
                        </a:xfrm>
                      </wpg:grpSpPr>
                      <wps:wsp>
                        <wps:cNvPr id="381" name="Shape 381"/>
                        <wps:cNvSpPr/>
                        <wps:spPr>
                          <a:xfrm>
                            <a:off x="0" y="0"/>
                            <a:ext cx="5647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322">
                                <a:moveTo>
                                  <a:pt x="0" y="0"/>
                                </a:moveTo>
                                <a:lnTo>
                                  <a:pt x="5647322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96" style="width:444.671pt;height:0.498pt;position:absolute;mso-position-horizontal-relative:text;mso-position-horizontal:absolute;margin-left:3.302pt;mso-position-vertical-relative:text;margin-top:49.9231pt;" coordsize="56473,63">
                <v:shape id="Shape 381" style="position:absolute;width:56473;height:0;left:0;top:0;" coordsize="5647322,0" path="m0,0l5647322,0">
                  <v:stroke weight="0.49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Table 2: Key claims and support evidence identified in these papers.</w:t>
      </w:r>
    </w:p>
    <w:p w:rsidR="005E0313" w:rsidRDefault="003334D8">
      <w:pPr>
        <w:spacing w:after="93"/>
        <w:ind w:left="6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47322" cy="10122"/>
                <wp:effectExtent l="0" t="0" r="0" b="0"/>
                <wp:docPr id="9495" name="Group 9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322" cy="10122"/>
                          <a:chOff x="0" y="0"/>
                          <a:chExt cx="5647322" cy="10122"/>
                        </a:xfrm>
                      </wpg:grpSpPr>
                      <wps:wsp>
                        <wps:cNvPr id="377" name="Shape 377"/>
                        <wps:cNvSpPr/>
                        <wps:spPr>
                          <a:xfrm>
                            <a:off x="0" y="0"/>
                            <a:ext cx="5647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322">
                                <a:moveTo>
                                  <a:pt x="0" y="0"/>
                                </a:moveTo>
                                <a:lnTo>
                                  <a:pt x="564732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5" style="width:444.671pt;height:0.797pt;mso-position-horizontal-relative:char;mso-position-vertical-relative:line" coordsize="56473,101">
                <v:shape id="Shape 377" style="position:absolute;width:56473;height:0;left:0;top:0;" coordsize="5647322,0" path="m0,0l5647322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893" w:type="dxa"/>
        <w:tblInd w:w="66" w:type="dxa"/>
        <w:tblCellMar>
          <w:top w:w="29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19"/>
        <w:gridCol w:w="2507"/>
        <w:gridCol w:w="1373"/>
        <w:gridCol w:w="2507"/>
        <w:gridCol w:w="2268"/>
        <w:gridCol w:w="119"/>
      </w:tblGrid>
      <w:tr w:rsidR="005E0313">
        <w:trPr>
          <w:trHeight w:val="1435"/>
        </w:trPr>
        <w:tc>
          <w:tcPr>
            <w:tcW w:w="2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9"/>
              <w:ind w:left="120" w:right="0" w:firstLine="0"/>
              <w:jc w:val="left"/>
            </w:pPr>
            <w:r>
              <w:t>Hybrid models (statistical</w:t>
            </w:r>
          </w:p>
          <w:p w:rsidR="005E0313" w:rsidRDefault="003334D8">
            <w:pPr>
              <w:spacing w:after="0"/>
              <w:ind w:left="120" w:right="0" w:firstLine="0"/>
              <w:jc w:val="left"/>
            </w:pPr>
            <w:r>
              <w:t>+ DL) further improve</w:t>
            </w:r>
          </w:p>
          <w:p w:rsidR="005E0313" w:rsidRDefault="003334D8">
            <w:pPr>
              <w:spacing w:after="0"/>
              <w:ind w:left="120" w:right="0" w:firstLine="0"/>
              <w:jc w:val="left"/>
            </w:pPr>
            <w:r>
              <w:t>forecasting accuracy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Strong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120" w:firstLine="0"/>
            </w:pPr>
            <w:r>
              <w:t>Hybrid and ensemble approaches leverage strengths of both model types, reducing errors and improving robustness</w:t>
            </w:r>
          </w:p>
        </w:tc>
        <w:tc>
          <w:tcPr>
            <w:tcW w:w="2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 w:line="272" w:lineRule="auto"/>
              <w:ind w:right="0" w:firstLine="0"/>
            </w:pPr>
            <w:r>
              <w:t>(AlKandari &amp; Ahmad, 2020; Li et al., 2020; Husein et al., 2024; Venkateswaran &amp; Cho, 2024; Mirza et al., 2023;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Padilha et al., 2022)</w:t>
            </w:r>
          </w:p>
        </w:tc>
      </w:tr>
      <w:tr w:rsidR="005E0313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20" w:type="dxa"/>
          <w:wAfter w:w="118" w:type="dxa"/>
          <w:trHeight w:val="1612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239" w:firstLine="0"/>
            </w:pPr>
            <w:r>
              <w:t>Statistica</w:t>
            </w:r>
            <w:r>
              <w:t>l models are suitable for simple, linear, or short-term forecasts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Moderate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Statistical models perform well</w:t>
            </w:r>
            <w:r>
              <w:tab/>
              <w:t>in</w:t>
            </w:r>
            <w:r>
              <w:tab/>
              <w:t>low-complexity, short-horizon,</w:t>
            </w:r>
            <w:r>
              <w:tab/>
              <w:t>or</w:t>
            </w:r>
            <w:r>
              <w:tab/>
              <w:t>datascarce scenarios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 w:line="275" w:lineRule="auto"/>
              <w:ind w:right="0" w:firstLine="0"/>
            </w:pPr>
            <w:r>
              <w:t>(Sedai et al., 2023; Haider et al., 2022; CabelloL´opez et al., 2023; AlKandari &amp; Ahmad,</w:t>
            </w:r>
          </w:p>
          <w:p w:rsidR="005E0313" w:rsidRDefault="003334D8">
            <w:pPr>
              <w:spacing w:after="9"/>
              <w:ind w:right="0" w:firstLine="0"/>
            </w:pPr>
            <w:r>
              <w:t>2020; Devaraj et al., 2021;</w:t>
            </w:r>
          </w:p>
          <w:p w:rsidR="005E0313" w:rsidRDefault="003334D8">
            <w:pPr>
              <w:tabs>
                <w:tab w:val="center" w:pos="1067"/>
                <w:tab w:val="right" w:pos="2268"/>
              </w:tabs>
              <w:spacing w:after="19"/>
              <w:ind w:right="0" w:firstLine="0"/>
              <w:jc w:val="left"/>
            </w:pPr>
            <w:r>
              <w:t>Alkhayat</w:t>
            </w:r>
            <w:r>
              <w:tab/>
              <w:t>&amp;</w:t>
            </w:r>
            <w:r>
              <w:tab/>
              <w:t>Mehmood,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2021; Wang et al., 2019)</w:t>
            </w:r>
          </w:p>
        </w:tc>
      </w:tr>
      <w:tr w:rsidR="005E0313">
        <w:tblPrEx>
          <w:tblCellMar>
            <w:right w:w="120" w:type="dxa"/>
          </w:tblCellMar>
        </w:tblPrEx>
        <w:trPr>
          <w:trHeight w:val="1435"/>
        </w:trPr>
        <w:tc>
          <w:tcPr>
            <w:tcW w:w="2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 w:line="256" w:lineRule="auto"/>
              <w:ind w:left="120" w:right="119" w:firstLine="0"/>
            </w:pPr>
            <w:r>
              <w:t>Deep learning models require large datasets and high computational re-</w:t>
            </w:r>
          </w:p>
          <w:p w:rsidR="005E0313" w:rsidRDefault="003334D8">
            <w:pPr>
              <w:spacing w:after="0"/>
              <w:ind w:left="120" w:right="0" w:firstLine="0"/>
              <w:jc w:val="left"/>
            </w:pPr>
            <w:r>
              <w:t>sources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Moderate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120" w:firstLine="0"/>
            </w:pPr>
            <w:r>
              <w:t>DL models’ performance depends on data volume and quality; computational costs can be significant</w:t>
            </w:r>
          </w:p>
        </w:tc>
        <w:tc>
          <w:tcPr>
            <w:tcW w:w="2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 w:line="264" w:lineRule="auto"/>
              <w:ind w:right="0" w:firstLine="0"/>
            </w:pPr>
            <w:r>
              <w:t>(Devaraj et al., 2021; Alkhayat &amp; Mehmood, 2021; Kumari &amp; Toshniwal, 2021; Luo et al., 2021; Husein et al., 2024;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Alazemi et al., 2024)</w:t>
            </w:r>
          </w:p>
        </w:tc>
      </w:tr>
      <w:tr w:rsidR="005E0313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20" w:type="dxa"/>
          <w:wAfter w:w="118" w:type="dxa"/>
          <w:trHeight w:val="1612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239" w:firstLine="0"/>
            </w:pPr>
            <w:r>
              <w:t>Interpretability and transparency are greater in statistical models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Moderate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Statistical</w:t>
            </w:r>
            <w:r>
              <w:tab/>
              <w:t>models</w:t>
            </w:r>
            <w:r>
              <w:tab/>
              <w:t>are more</w:t>
            </w:r>
            <w:r>
              <w:tab/>
              <w:t>transparent</w:t>
            </w:r>
            <w:r>
              <w:tab/>
              <w:t>and easier to interpret, aiding operational trust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5E0313" w:rsidRDefault="003334D8">
            <w:pPr>
              <w:spacing w:after="0" w:line="275" w:lineRule="auto"/>
              <w:ind w:right="0" w:firstLine="0"/>
            </w:pPr>
            <w:r>
              <w:t>(Sedai et al., 2023; Haider et al., 2022; CabelloL´opez et al., 2023; AlKandari &amp; Ahmad,</w:t>
            </w:r>
          </w:p>
          <w:p w:rsidR="005E0313" w:rsidRDefault="003334D8">
            <w:pPr>
              <w:spacing w:after="9"/>
              <w:ind w:right="0" w:firstLine="0"/>
            </w:pPr>
            <w:r>
              <w:t>2020; Devaraj et al., 2021;</w:t>
            </w:r>
          </w:p>
          <w:p w:rsidR="005E0313" w:rsidRDefault="003334D8">
            <w:pPr>
              <w:tabs>
                <w:tab w:val="center" w:pos="1067"/>
                <w:tab w:val="right" w:pos="2268"/>
              </w:tabs>
              <w:spacing w:after="19"/>
              <w:ind w:right="0" w:firstLine="0"/>
              <w:jc w:val="left"/>
            </w:pPr>
            <w:r>
              <w:t>Alkhayat</w:t>
            </w:r>
            <w:r>
              <w:tab/>
              <w:t>&amp;</w:t>
            </w:r>
            <w:r>
              <w:tab/>
              <w:t>Mehmood,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2021; Wang et al., 2019)</w:t>
            </w:r>
          </w:p>
        </w:tc>
      </w:tr>
      <w:tr w:rsidR="005E0313">
        <w:tblPrEx>
          <w:tblCellMar>
            <w:right w:w="120" w:type="dxa"/>
          </w:tblCellMar>
        </w:tblPrEx>
        <w:trPr>
          <w:trHeight w:val="1435"/>
        </w:trPr>
        <w:tc>
          <w:tcPr>
            <w:tcW w:w="2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left="120" w:right="119" w:firstLine="0"/>
            </w:pPr>
            <w:r>
              <w:t>Deep learning models risk overfitting and require careful tuning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Moderate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/>
              <w:ind w:right="0" w:firstLine="0"/>
              <w:jc w:val="left"/>
            </w:pPr>
            <w:r>
              <w:t>Overfitting</w:t>
            </w:r>
            <w:r>
              <w:tab/>
              <w:t>and</w:t>
            </w:r>
            <w:r>
              <w:tab/>
              <w:t>hyperparameter sensitivity are common challenges in DL model deployment</w:t>
            </w:r>
          </w:p>
        </w:tc>
        <w:tc>
          <w:tcPr>
            <w:tcW w:w="2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:rsidR="005E0313" w:rsidRDefault="003334D8">
            <w:pPr>
              <w:spacing w:after="0" w:line="264" w:lineRule="auto"/>
              <w:ind w:right="0" w:firstLine="0"/>
            </w:pPr>
            <w:r>
              <w:t>(Devaraj et al., 2021; Alkhayat &amp; Mehmood, 2021; Kumari &amp; Toshniwal, 2021; Luo et al., 2021; Husein et al., 2024;</w:t>
            </w:r>
          </w:p>
          <w:p w:rsidR="005E0313" w:rsidRDefault="003334D8">
            <w:pPr>
              <w:spacing w:after="0"/>
              <w:ind w:right="0" w:firstLine="0"/>
              <w:jc w:val="left"/>
            </w:pPr>
            <w:r>
              <w:t>Alazemi et al., 2024)</w:t>
            </w:r>
          </w:p>
        </w:tc>
      </w:tr>
    </w:tbl>
    <w:p w:rsidR="005E0313" w:rsidRDefault="003334D8">
      <w:pPr>
        <w:spacing w:after="697"/>
        <w:ind w:left="6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47322" cy="10122"/>
                <wp:effectExtent l="0" t="0" r="0" b="0"/>
                <wp:docPr id="9497" name="Group 9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322" cy="10122"/>
                          <a:chOff x="0" y="0"/>
                          <a:chExt cx="5647322" cy="10122"/>
                        </a:xfrm>
                      </wpg:grpSpPr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5647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322">
                                <a:moveTo>
                                  <a:pt x="0" y="0"/>
                                </a:moveTo>
                                <a:lnTo>
                                  <a:pt x="564732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7" style="width:444.671pt;height:0.797pt;mso-position-horizontal-relative:char;mso-position-vertical-relative:line" coordsize="56473,101">
                <v:shape id="Shape 485" style="position:absolute;width:56473;height:0;left:0;top:0;" coordsize="5647322,0" path="m0,0l5647322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5E0313" w:rsidRDefault="003334D8">
      <w:pPr>
        <w:ind w:left="154" w:right="1425" w:firstLine="0"/>
      </w:pPr>
      <w:r>
        <w:t>Table 3: Heatmap of research coverage by topic and model type; gaps indicate underexplored areas.</w:t>
      </w:r>
    </w:p>
    <w:sectPr w:rsidR="005E0313">
      <w:footerReference w:type="even" r:id="rId7"/>
      <w:footerReference w:type="default" r:id="rId8"/>
      <w:footerReference w:type="first" r:id="rId9"/>
      <w:pgSz w:w="11906" w:h="16838"/>
      <w:pgMar w:top="1501" w:right="0" w:bottom="1401" w:left="1440" w:header="72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34D8" w:rsidRDefault="003334D8">
      <w:pPr>
        <w:spacing w:after="0" w:line="240" w:lineRule="auto"/>
      </w:pPr>
      <w:r>
        <w:separator/>
      </w:r>
    </w:p>
  </w:endnote>
  <w:endnote w:type="continuationSeparator" w:id="0">
    <w:p w:rsidR="003334D8" w:rsidRDefault="0033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313" w:rsidRDefault="003334D8">
    <w:pPr>
      <w:spacing w:after="0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313" w:rsidRDefault="003334D8">
    <w:pPr>
      <w:spacing w:after="0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313" w:rsidRDefault="003334D8">
    <w:pPr>
      <w:spacing w:after="0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34D8" w:rsidRDefault="003334D8">
      <w:pPr>
        <w:spacing w:after="0" w:line="240" w:lineRule="auto"/>
      </w:pPr>
      <w:r>
        <w:separator/>
      </w:r>
    </w:p>
  </w:footnote>
  <w:footnote w:type="continuationSeparator" w:id="0">
    <w:p w:rsidR="003334D8" w:rsidRDefault="00333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E1D1E"/>
    <w:multiLevelType w:val="hybridMultilevel"/>
    <w:tmpl w:val="81FADA88"/>
    <w:lvl w:ilvl="0" w:tplc="3490D58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DAD87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66DC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2CA62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14FB5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A09BC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2A549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429BE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808A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45958"/>
    <w:multiLevelType w:val="hybridMultilevel"/>
    <w:tmpl w:val="78F0EB38"/>
    <w:lvl w:ilvl="0" w:tplc="43243EB8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FE65E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8C1CA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604C8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2E681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EC668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AD10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D81C0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EA6AE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D1614F"/>
    <w:multiLevelType w:val="hybridMultilevel"/>
    <w:tmpl w:val="D440265A"/>
    <w:lvl w:ilvl="0" w:tplc="D306148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784F9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52172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434A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004782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4C49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900DF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48407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8647A6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C66717"/>
    <w:multiLevelType w:val="multilevel"/>
    <w:tmpl w:val="54F4AA7A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13"/>
    <w:rsid w:val="003334D8"/>
    <w:rsid w:val="005E0313"/>
    <w:rsid w:val="00D7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5B2909-89CA-4B6B-B28D-965E98DE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/>
      <w:ind w:right="1440" w:firstLine="289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85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5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2864</Words>
  <Characters>16329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Elnagar</dc:creator>
  <cp:keywords/>
  <cp:lastModifiedBy>Abdelrahman Elnagar</cp:lastModifiedBy>
  <cp:revision>2</cp:revision>
  <dcterms:created xsi:type="dcterms:W3CDTF">2025-11-02T15:04:00Z</dcterms:created>
  <dcterms:modified xsi:type="dcterms:W3CDTF">2025-11-02T15:04:00Z</dcterms:modified>
</cp:coreProperties>
</file>