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1C16" w:rsidRDefault="00A73070">
      <w:pPr>
        <w:spacing w:after="91" w:line="259" w:lineRule="auto"/>
        <w:ind w:left="290" w:right="0" w:firstLine="0"/>
        <w:jc w:val="left"/>
      </w:pPr>
      <w:r>
        <w:rPr>
          <w:sz w:val="41"/>
        </w:rPr>
        <w:t>Statistical Models vs Deep Learning for Renewable</w:t>
      </w:r>
    </w:p>
    <w:p w:rsidR="00EA1C16" w:rsidRDefault="00A73070">
      <w:pPr>
        <w:spacing w:after="1383" w:line="304" w:lineRule="auto"/>
        <w:ind w:left="0" w:right="1048" w:firstLine="0"/>
        <w:jc w:val="center"/>
      </w:pPr>
      <w:r>
        <w:rPr>
          <w:sz w:val="41"/>
        </w:rPr>
        <w:t>Energy Production Forecasting with Weather Classification: A Focused Literature Review</w:t>
      </w:r>
    </w:p>
    <w:p w:rsidR="00EA1C16" w:rsidRDefault="00A73070">
      <w:pPr>
        <w:pStyle w:val="Heading1"/>
        <w:ind w:left="566" w:hanging="581"/>
      </w:pPr>
      <w:r>
        <w:t>Introduction</w:t>
      </w:r>
    </w:p>
    <w:p w:rsidR="00EA1C16" w:rsidRDefault="00A73070">
      <w:pPr>
        <w:spacing w:after="577"/>
        <w:ind w:left="-5" w:right="1425"/>
      </w:pPr>
      <w:r>
        <w:t>Accurate forecasting of renewable energy production is essential for grid stability and efficient energy management, especially given the intermittent nature of sources like solar and wind power. The integration of weather classification into forecasting m</w:t>
      </w:r>
      <w:r>
        <w:t>odels has become increasingly important, as weather conditions are a primary driver of renewable energy variability. Recent literature demonstrates that while traditional statistical models (such as ARIMA and regression) have been widely used, deep learnin</w:t>
      </w:r>
      <w:r>
        <w:t>g models—particularly those leveraging large, complex weather datasets—are increasingly outperforming statistical approaches in both accuracy and adaptability, especially when weather classification is incorporated (Devaraj et al., 2021; Kumari &amp; Toshniwal</w:t>
      </w:r>
      <w:r>
        <w:t xml:space="preserve">, 2021; Ahmed et al., 2020; Rajagukguk et al., 2020; Assaf et al., 2023; Alkhayat &amp; Mehmood, 2021; Gupta &amp; Singh, 2024; Zhang et al., 2024; Gupta &amp; Singh, 2021; Pombo et al., 2022). Hybrid and ensemble models that combine deep learning with statistical or </w:t>
      </w:r>
      <w:r>
        <w:t>machine learning tech</w:t>
      </w:r>
      <w:bookmarkStart w:id="0" w:name="_GoBack"/>
      <w:bookmarkEnd w:id="0"/>
      <w:r>
        <w:t>niques further enhance prediction performance, particularly in short-term forecasting scenarios (Souhe et al., 2024; Ahmed et al., 2020; Gupta &amp; Singh, 2024; Ferkous et al., 2024; Lipu et al., 2021). However, challenges remain regardin</w:t>
      </w:r>
      <w:r>
        <w:t>g model interpretability, computational demands, and the need for high-quality, weather-classified data. This review synthesizes the latest comparative research on statistical and deep learning models for renewable energy forecasting, with a specific focus</w:t>
      </w:r>
      <w:r>
        <w:t xml:space="preserve"> on studies that incorporate weather classification.</w:t>
      </w:r>
    </w:p>
    <w:p w:rsidR="00EA1C16" w:rsidRDefault="00A73070">
      <w:pPr>
        <w:pStyle w:val="Heading1"/>
        <w:spacing w:after="295"/>
        <w:ind w:left="566" w:hanging="581"/>
      </w:pPr>
      <w:r>
        <w:t>Results</w:t>
      </w:r>
    </w:p>
    <w:p w:rsidR="00EA1C16" w:rsidRDefault="00A73070">
      <w:pPr>
        <w:pStyle w:val="Heading2"/>
        <w:ind w:left="720" w:hanging="735"/>
      </w:pPr>
      <w:r>
        <w:t>Model Types and Weather Classification Approaches</w:t>
      </w:r>
    </w:p>
    <w:p w:rsidR="00EA1C16" w:rsidRDefault="00A73070">
      <w:pPr>
        <w:ind w:left="-5" w:right="1425"/>
      </w:pPr>
      <w:r>
        <w:t>Statistical models such as ARIMA, regression, and time series analysis have traditionally been used for renewable energy forecasting, often relyi</w:t>
      </w:r>
      <w:r>
        <w:t xml:space="preserve">ng on linear relationships and smaller datasets. Deep learning models—including LSTM, GRU, CNN, and hybrid </w:t>
      </w:r>
      <w:r>
        <w:lastRenderedPageBreak/>
        <w:t>architectures—excel at capturing nonlinearities and complex temporal dependencies, especially when large, weather-classified datasets are available (</w:t>
      </w:r>
      <w:r>
        <w:t>Devaraj et al., 2021; Kumari &amp; Toshniwal, 2021; Ahmed et al., 2020; Rajagukguk et al., 2020; Assaf et al., 2023;</w:t>
      </w:r>
    </w:p>
    <w:p w:rsidR="00EA1C16" w:rsidRDefault="00A73070">
      <w:pPr>
        <w:ind w:left="-5" w:right="1425"/>
      </w:pPr>
      <w:r>
        <w:t>Alkhayat &amp; Mehmood, 2021; Gupta &amp; Singh, 2024; Zhang et al., 2024; Gupta &amp; Singh, 2021; Pombo et al., 2022; Ferkous et al., 2024; Asghar et al.</w:t>
      </w:r>
      <w:r>
        <w:t>, 2024; Lipu et al., 2021).</w:t>
      </w:r>
    </w:p>
    <w:p w:rsidR="00EA1C16" w:rsidRDefault="00A73070">
      <w:pPr>
        <w:spacing w:after="445"/>
        <w:ind w:left="-15" w:right="1425" w:firstLine="351"/>
      </w:pPr>
      <w:r>
        <w:t>Weather classification is typically achieved through clustering, regime identification, or feature selection based on meteorological variables (e.g., cloud cover, wind speed, temperature). Studies consistently report that incorp</w:t>
      </w:r>
      <w:r>
        <w:t>orating weather classification improves model performance for both statistical and deep learning approaches, but the gains are more pronounced for deep learning models (Ahmed et al., 2020; Rajagukguk et al., 2020; Gupta &amp; Singh, 2024; Zhang et al., 2024; G</w:t>
      </w:r>
      <w:r>
        <w:t>upta &amp; Singh, 2021; Pombo et al., 2022).</w:t>
      </w:r>
    </w:p>
    <w:p w:rsidR="00EA1C16" w:rsidRDefault="00A73070">
      <w:pPr>
        <w:pStyle w:val="Heading2"/>
        <w:ind w:left="720" w:hanging="735"/>
      </w:pPr>
      <w:r>
        <w:t>Comparative Performance</w:t>
      </w:r>
    </w:p>
    <w:p w:rsidR="00EA1C16" w:rsidRDefault="00A73070">
      <w:pPr>
        <w:ind w:left="-5" w:right="1425"/>
      </w:pPr>
      <w:r>
        <w:t>Multiple reviews and empirical studies demonstrate that deep learning models, particularly LSTM and hybrid CNN-LSTM architectures, outperform statistical models in forecasting accuracy for bo</w:t>
      </w:r>
      <w:r>
        <w:t>th solar and wind energy when weather classification is included (Kumari &amp; Toshniwal, 2021; Ahmed et al., 2020; Rajagukguk et al., 2020; Assaf et al., 2023; Alkhayat &amp; Mehmood, 2021; Gupta &amp; Singh, 2024; Zhang et al., 2024; Gupta &amp; Singh, 2021; Pombo et al</w:t>
      </w:r>
      <w:r>
        <w:t>., 2022; Ferkous et al., 2024; Asghar et al., 2024; Lipu et al., 2021). For example, hybrid models combining CNN and LSTM have shown improvements in prediction accuracy of up to 37% over standalone deep learning models and even greater gains over statistic</w:t>
      </w:r>
      <w:r>
        <w:t>al models (Kumari &amp; Toshniwal, 2021; Rajagukguk et al., 2020; Ferkous et al., 2024).</w:t>
      </w:r>
    </w:p>
    <w:p w:rsidR="00EA1C16" w:rsidRDefault="00A73070">
      <w:pPr>
        <w:spacing w:after="455"/>
        <w:ind w:left="-15" w:right="1425" w:firstLine="351"/>
      </w:pPr>
      <w:r>
        <w:t>Statistical models remain competitive for short-term, linear, or data-sparse scenarios, but their performance plateaus with increasing data complexity, whereas deep learni</w:t>
      </w:r>
      <w:r>
        <w:t>ng models continue to improve with more data and richer weather features (Assaf et al., 2023; Gupta &amp; Singh, 2024; Gupta &amp; Singh, 2021; Pombo et al., 2022).</w:t>
      </w:r>
    </w:p>
    <w:p w:rsidR="00EA1C16" w:rsidRDefault="00A73070">
      <w:pPr>
        <w:pStyle w:val="Heading2"/>
        <w:ind w:left="720" w:hanging="735"/>
      </w:pPr>
      <w:r>
        <w:t>Hybrid and Ensemble Approaches</w:t>
      </w:r>
    </w:p>
    <w:p w:rsidR="00EA1C16" w:rsidRDefault="00A73070">
      <w:pPr>
        <w:ind w:left="-5" w:right="916"/>
      </w:pPr>
      <w:r>
        <w:t>Hybrid models that integrate statistical, machine learning, and deep learning techniques—often optimized with evolutionary algorithms—consistently achieve the highest accuracy, especially for short-term forecasting and in scenarios with high weather variab</w:t>
      </w:r>
      <w:r>
        <w:t>ility (Souhe et al., 2024; Ahmed et al., 2020; Gupta &amp; Singh, 2024; Ferkous et al., 2024; Lipu et al., 2021). Ensemble methods and physics-informed feature selection further enhance model robustness and generalizability (Pombo et al., 2022; Ferkous et al.,</w:t>
      </w:r>
      <w:r>
        <w:t xml:space="preserve"> 2024; Lipu et al., 2021).</w:t>
      </w:r>
    </w:p>
    <w:p w:rsidR="00EA1C16" w:rsidRDefault="00A73070">
      <w:pPr>
        <w:pStyle w:val="Heading2"/>
        <w:ind w:left="720" w:hanging="735"/>
      </w:pPr>
      <w:r>
        <w:t>Challenges and Limitations</w:t>
      </w:r>
    </w:p>
    <w:p w:rsidR="00EA1C16" w:rsidRDefault="00A73070">
      <w:pPr>
        <w:spacing w:after="334"/>
        <w:ind w:left="-5" w:right="1425"/>
      </w:pPr>
      <w:r>
        <w:t>Despite their superior performance, deep learning models face challenges related to interpretability, computational requirements, and the need for large, high-quality, weatherclassified datasets. Statis</w:t>
      </w:r>
      <w:r>
        <w:t>tical models, while more interpretable and less resource-intensive, struggle with nonlinearities and large-scale data (Assaf et al., 2023; Dou et al., 2023; Gupta &amp; Singh, 2021; Pombo et al., 2022; Lipu et al., 2021).</w:t>
      </w:r>
    </w:p>
    <w:p w:rsidR="00EA1C16" w:rsidRDefault="00A73070">
      <w:pPr>
        <w:spacing w:after="0" w:line="259" w:lineRule="auto"/>
        <w:jc w:val="center"/>
      </w:pPr>
      <w:r>
        <w:t>Table 1: Top Contributors</w:t>
      </w:r>
    </w:p>
    <w:tbl>
      <w:tblPr>
        <w:tblStyle w:val="TableGrid"/>
        <w:tblW w:w="7520" w:type="dxa"/>
        <w:tblInd w:w="753" w:type="dxa"/>
        <w:tblCellMar>
          <w:top w:w="39" w:type="dxa"/>
          <w:left w:w="0" w:type="dxa"/>
          <w:bottom w:w="0" w:type="dxa"/>
          <w:right w:w="119" w:type="dxa"/>
        </w:tblCellMar>
        <w:tblLook w:val="04A0" w:firstRow="1" w:lastRow="0" w:firstColumn="1" w:lastColumn="0" w:noHBand="0" w:noVBand="1"/>
      </w:tblPr>
      <w:tblGrid>
        <w:gridCol w:w="1209"/>
        <w:gridCol w:w="1657"/>
        <w:gridCol w:w="4654"/>
      </w:tblGrid>
      <w:tr w:rsidR="00EA1C16">
        <w:trPr>
          <w:trHeight w:val="394"/>
        </w:trPr>
        <w:tc>
          <w:tcPr>
            <w:tcW w:w="1209" w:type="dxa"/>
            <w:tcBorders>
              <w:top w:val="single" w:sz="7" w:space="0" w:color="000000"/>
              <w:left w:val="nil"/>
              <w:bottom w:val="single" w:sz="5" w:space="0" w:color="000000"/>
              <w:right w:val="nil"/>
            </w:tcBorders>
          </w:tcPr>
          <w:p w:rsidR="00EA1C16" w:rsidRDefault="00A73070">
            <w:pPr>
              <w:spacing w:after="0" w:line="259" w:lineRule="auto"/>
              <w:ind w:left="120" w:right="0" w:firstLine="0"/>
              <w:jc w:val="left"/>
            </w:pPr>
            <w:r>
              <w:rPr>
                <w:b/>
                <w:sz w:val="22"/>
              </w:rPr>
              <w:t>Type</w:t>
            </w:r>
          </w:p>
        </w:tc>
        <w:tc>
          <w:tcPr>
            <w:tcW w:w="1656" w:type="dxa"/>
            <w:tcBorders>
              <w:top w:val="single" w:sz="7" w:space="0" w:color="000000"/>
              <w:left w:val="nil"/>
              <w:bottom w:val="single" w:sz="5" w:space="0" w:color="000000"/>
              <w:right w:val="nil"/>
            </w:tcBorders>
          </w:tcPr>
          <w:p w:rsidR="00EA1C16" w:rsidRDefault="00A73070">
            <w:pPr>
              <w:spacing w:after="0" w:line="259" w:lineRule="auto"/>
              <w:ind w:left="0" w:right="0" w:firstLine="0"/>
              <w:jc w:val="left"/>
            </w:pPr>
            <w:r>
              <w:rPr>
                <w:b/>
                <w:sz w:val="22"/>
              </w:rPr>
              <w:t>Name</w:t>
            </w:r>
          </w:p>
        </w:tc>
        <w:tc>
          <w:tcPr>
            <w:tcW w:w="4655" w:type="dxa"/>
            <w:tcBorders>
              <w:top w:val="single" w:sz="7" w:space="0" w:color="000000"/>
              <w:left w:val="nil"/>
              <w:bottom w:val="single" w:sz="5" w:space="0" w:color="000000"/>
              <w:right w:val="nil"/>
            </w:tcBorders>
          </w:tcPr>
          <w:p w:rsidR="00EA1C16" w:rsidRDefault="00A73070">
            <w:pPr>
              <w:spacing w:after="0" w:line="259" w:lineRule="auto"/>
              <w:ind w:left="0" w:right="0" w:firstLine="0"/>
              <w:jc w:val="left"/>
            </w:pPr>
            <w:r>
              <w:rPr>
                <w:b/>
                <w:sz w:val="22"/>
              </w:rPr>
              <w:t>Pa</w:t>
            </w:r>
            <w:r>
              <w:rPr>
                <w:b/>
                <w:sz w:val="22"/>
              </w:rPr>
              <w:t>pers</w:t>
            </w:r>
          </w:p>
        </w:tc>
      </w:tr>
      <w:tr w:rsidR="00EA1C16">
        <w:trPr>
          <w:trHeight w:val="614"/>
        </w:trPr>
        <w:tc>
          <w:tcPr>
            <w:tcW w:w="1209" w:type="dxa"/>
            <w:tcBorders>
              <w:top w:val="single" w:sz="5" w:space="0" w:color="000000"/>
              <w:left w:val="nil"/>
              <w:bottom w:val="nil"/>
              <w:right w:val="nil"/>
            </w:tcBorders>
          </w:tcPr>
          <w:p w:rsidR="00EA1C16" w:rsidRDefault="00A73070">
            <w:pPr>
              <w:spacing w:after="0" w:line="259" w:lineRule="auto"/>
              <w:ind w:left="120" w:right="0" w:firstLine="0"/>
              <w:jc w:val="left"/>
            </w:pPr>
            <w:r>
              <w:rPr>
                <w:sz w:val="22"/>
              </w:rPr>
              <w:t>Author</w:t>
            </w:r>
          </w:p>
        </w:tc>
        <w:tc>
          <w:tcPr>
            <w:tcW w:w="1656" w:type="dxa"/>
            <w:tcBorders>
              <w:top w:val="single" w:sz="5" w:space="0" w:color="000000"/>
              <w:left w:val="nil"/>
              <w:bottom w:val="nil"/>
              <w:right w:val="nil"/>
            </w:tcBorders>
          </w:tcPr>
          <w:p w:rsidR="00EA1C16" w:rsidRDefault="00A73070">
            <w:pPr>
              <w:spacing w:after="0" w:line="259" w:lineRule="auto"/>
              <w:ind w:left="0" w:right="0" w:firstLine="0"/>
              <w:jc w:val="left"/>
            </w:pPr>
            <w:r>
              <w:rPr>
                <w:sz w:val="22"/>
              </w:rPr>
              <w:t>Krishan</w:t>
            </w:r>
            <w:r>
              <w:rPr>
                <w:sz w:val="22"/>
              </w:rPr>
              <w:tab/>
              <w:t>Kumar</w:t>
            </w:r>
          </w:p>
        </w:tc>
        <w:tc>
          <w:tcPr>
            <w:tcW w:w="4655" w:type="dxa"/>
            <w:tcBorders>
              <w:top w:val="single" w:sz="5" w:space="0" w:color="000000"/>
              <w:left w:val="nil"/>
              <w:bottom w:val="nil"/>
              <w:right w:val="nil"/>
            </w:tcBorders>
          </w:tcPr>
          <w:p w:rsidR="00EA1C16" w:rsidRDefault="00A73070">
            <w:pPr>
              <w:spacing w:after="0" w:line="259" w:lineRule="auto"/>
              <w:ind w:left="0" w:right="0" w:firstLine="0"/>
            </w:pPr>
            <w:r>
              <w:rPr>
                <w:sz w:val="22"/>
              </w:rPr>
              <w:t>(Kumar et al., 2024; Kumar et al., 2025; Kumar et al., 2024)</w:t>
            </w:r>
          </w:p>
        </w:tc>
      </w:tr>
      <w:tr w:rsidR="00EA1C16">
        <w:trPr>
          <w:trHeight w:val="542"/>
        </w:trPr>
        <w:tc>
          <w:tcPr>
            <w:tcW w:w="1209" w:type="dxa"/>
            <w:tcBorders>
              <w:top w:val="nil"/>
              <w:left w:val="nil"/>
              <w:bottom w:val="nil"/>
              <w:right w:val="nil"/>
            </w:tcBorders>
          </w:tcPr>
          <w:p w:rsidR="00EA1C16" w:rsidRDefault="00A73070">
            <w:pPr>
              <w:spacing w:after="0" w:line="259" w:lineRule="auto"/>
              <w:ind w:left="120" w:right="0" w:firstLine="0"/>
              <w:jc w:val="left"/>
            </w:pPr>
            <w:r>
              <w:rPr>
                <w:sz w:val="22"/>
              </w:rPr>
              <w:t>Author</w:t>
            </w:r>
          </w:p>
        </w:tc>
        <w:tc>
          <w:tcPr>
            <w:tcW w:w="1656" w:type="dxa"/>
            <w:tcBorders>
              <w:top w:val="nil"/>
              <w:left w:val="nil"/>
              <w:bottom w:val="nil"/>
              <w:right w:val="nil"/>
            </w:tcBorders>
          </w:tcPr>
          <w:p w:rsidR="00EA1C16" w:rsidRDefault="00A73070">
            <w:pPr>
              <w:tabs>
                <w:tab w:val="right" w:pos="1537"/>
              </w:tabs>
              <w:spacing w:line="259" w:lineRule="auto"/>
              <w:ind w:left="0" w:right="0" w:firstLine="0"/>
              <w:jc w:val="left"/>
            </w:pPr>
            <w:r>
              <w:rPr>
                <w:sz w:val="22"/>
              </w:rPr>
              <w:t>Priti</w:t>
            </w:r>
            <w:r>
              <w:rPr>
                <w:sz w:val="22"/>
              </w:rPr>
              <w:tab/>
              <w:t>Prab-</w:t>
            </w:r>
          </w:p>
          <w:p w:rsidR="00EA1C16" w:rsidRDefault="00A73070">
            <w:pPr>
              <w:spacing w:after="0" w:line="259" w:lineRule="auto"/>
              <w:ind w:left="0" w:right="0" w:firstLine="0"/>
              <w:jc w:val="left"/>
            </w:pPr>
            <w:r>
              <w:rPr>
                <w:sz w:val="22"/>
              </w:rPr>
              <w:t>hakar</w:t>
            </w:r>
          </w:p>
        </w:tc>
        <w:tc>
          <w:tcPr>
            <w:tcW w:w="4655" w:type="dxa"/>
            <w:tcBorders>
              <w:top w:val="nil"/>
              <w:left w:val="nil"/>
              <w:bottom w:val="nil"/>
              <w:right w:val="nil"/>
            </w:tcBorders>
          </w:tcPr>
          <w:p w:rsidR="00EA1C16" w:rsidRDefault="00A73070">
            <w:pPr>
              <w:spacing w:after="0" w:line="259" w:lineRule="auto"/>
              <w:ind w:left="0" w:right="0" w:firstLine="0"/>
            </w:pPr>
            <w:r>
              <w:rPr>
                <w:sz w:val="22"/>
              </w:rPr>
              <w:t>(Kumar et al., 2024; Kumar et al., 2025; Kumar et al., 2024)</w:t>
            </w:r>
          </w:p>
        </w:tc>
      </w:tr>
      <w:tr w:rsidR="00EA1C16">
        <w:trPr>
          <w:trHeight w:val="542"/>
        </w:trPr>
        <w:tc>
          <w:tcPr>
            <w:tcW w:w="1209" w:type="dxa"/>
            <w:tcBorders>
              <w:top w:val="nil"/>
              <w:left w:val="nil"/>
              <w:bottom w:val="nil"/>
              <w:right w:val="nil"/>
            </w:tcBorders>
          </w:tcPr>
          <w:p w:rsidR="00EA1C16" w:rsidRDefault="00A73070">
            <w:pPr>
              <w:spacing w:after="0" w:line="259" w:lineRule="auto"/>
              <w:ind w:left="120" w:right="0" w:firstLine="0"/>
              <w:jc w:val="left"/>
            </w:pPr>
            <w:r>
              <w:rPr>
                <w:sz w:val="22"/>
              </w:rPr>
              <w:t>Author</w:t>
            </w:r>
          </w:p>
        </w:tc>
        <w:tc>
          <w:tcPr>
            <w:tcW w:w="1656" w:type="dxa"/>
            <w:tcBorders>
              <w:top w:val="nil"/>
              <w:left w:val="nil"/>
              <w:bottom w:val="nil"/>
              <w:right w:val="nil"/>
            </w:tcBorders>
          </w:tcPr>
          <w:p w:rsidR="00EA1C16" w:rsidRDefault="00A73070">
            <w:pPr>
              <w:spacing w:after="0" w:line="259" w:lineRule="auto"/>
              <w:ind w:left="0" w:right="0" w:firstLine="0"/>
              <w:jc w:val="left"/>
            </w:pPr>
            <w:r>
              <w:rPr>
                <w:sz w:val="22"/>
              </w:rPr>
              <w:t>Avnesh Verma</w:t>
            </w:r>
          </w:p>
        </w:tc>
        <w:tc>
          <w:tcPr>
            <w:tcW w:w="4655" w:type="dxa"/>
            <w:tcBorders>
              <w:top w:val="nil"/>
              <w:left w:val="nil"/>
              <w:bottom w:val="nil"/>
              <w:right w:val="nil"/>
            </w:tcBorders>
          </w:tcPr>
          <w:p w:rsidR="00EA1C16" w:rsidRDefault="00A73070">
            <w:pPr>
              <w:spacing w:after="0" w:line="259" w:lineRule="auto"/>
              <w:ind w:left="0" w:right="0" w:firstLine="0"/>
            </w:pPr>
            <w:r>
              <w:rPr>
                <w:sz w:val="22"/>
              </w:rPr>
              <w:t>(Kumar et al., 2024; Kumar et al., 2025; Kumar et al., 2024)</w:t>
            </w:r>
          </w:p>
        </w:tc>
      </w:tr>
      <w:tr w:rsidR="00EA1C16">
        <w:trPr>
          <w:trHeight w:val="1084"/>
        </w:trPr>
        <w:tc>
          <w:tcPr>
            <w:tcW w:w="1209" w:type="dxa"/>
            <w:tcBorders>
              <w:top w:val="nil"/>
              <w:left w:val="nil"/>
              <w:bottom w:val="nil"/>
              <w:right w:val="nil"/>
            </w:tcBorders>
          </w:tcPr>
          <w:p w:rsidR="00EA1C16" w:rsidRDefault="00A73070">
            <w:pPr>
              <w:spacing w:after="0" w:line="259" w:lineRule="auto"/>
              <w:ind w:left="120" w:right="0" w:firstLine="0"/>
              <w:jc w:val="left"/>
            </w:pPr>
            <w:r>
              <w:rPr>
                <w:sz w:val="22"/>
              </w:rPr>
              <w:t>Journal</w:t>
            </w:r>
          </w:p>
        </w:tc>
        <w:tc>
          <w:tcPr>
            <w:tcW w:w="1656" w:type="dxa"/>
            <w:tcBorders>
              <w:top w:val="nil"/>
              <w:left w:val="nil"/>
              <w:bottom w:val="nil"/>
              <w:right w:val="nil"/>
            </w:tcBorders>
          </w:tcPr>
          <w:p w:rsidR="00EA1C16" w:rsidRDefault="00A73070">
            <w:pPr>
              <w:spacing w:after="0" w:line="259" w:lineRule="auto"/>
              <w:ind w:left="0" w:right="0" w:firstLine="0"/>
              <w:jc w:val="left"/>
            </w:pPr>
            <w:r>
              <w:rPr>
                <w:sz w:val="22"/>
              </w:rPr>
              <w:t>Energies</w:t>
            </w:r>
          </w:p>
        </w:tc>
        <w:tc>
          <w:tcPr>
            <w:tcW w:w="4655" w:type="dxa"/>
            <w:tcBorders>
              <w:top w:val="nil"/>
              <w:left w:val="nil"/>
              <w:bottom w:val="nil"/>
              <w:right w:val="nil"/>
            </w:tcBorders>
          </w:tcPr>
          <w:p w:rsidR="00EA1C16" w:rsidRDefault="00A73070">
            <w:pPr>
              <w:spacing w:after="0" w:line="252" w:lineRule="auto"/>
              <w:ind w:left="0" w:right="0" w:firstLine="0"/>
            </w:pPr>
            <w:r>
              <w:rPr>
                <w:sz w:val="22"/>
              </w:rPr>
              <w:t>(Rajagukguk et al., 2020; Liu et al., 2025; Gupta &amp; Singh, 2024; Runge &amp; Zmeureanu,</w:t>
            </w:r>
          </w:p>
          <w:p w:rsidR="00EA1C16" w:rsidRDefault="00A73070">
            <w:pPr>
              <w:spacing w:after="0" w:line="259" w:lineRule="auto"/>
              <w:ind w:left="0" w:right="0" w:firstLine="0"/>
            </w:pPr>
            <w:r>
              <w:rPr>
                <w:sz w:val="22"/>
              </w:rPr>
              <w:t>2021; Valdivia-Bautista et al., 2023; Hanifi et al., 2020; Gu &amp; Li, 2022)</w:t>
            </w:r>
          </w:p>
        </w:tc>
      </w:tr>
      <w:tr w:rsidR="00EA1C16">
        <w:trPr>
          <w:trHeight w:val="542"/>
        </w:trPr>
        <w:tc>
          <w:tcPr>
            <w:tcW w:w="1209" w:type="dxa"/>
            <w:tcBorders>
              <w:top w:val="nil"/>
              <w:left w:val="nil"/>
              <w:bottom w:val="nil"/>
              <w:right w:val="nil"/>
            </w:tcBorders>
          </w:tcPr>
          <w:p w:rsidR="00EA1C16" w:rsidRDefault="00A73070">
            <w:pPr>
              <w:spacing w:after="0" w:line="259" w:lineRule="auto"/>
              <w:ind w:left="120" w:right="0" w:firstLine="0"/>
              <w:jc w:val="left"/>
            </w:pPr>
            <w:r>
              <w:rPr>
                <w:sz w:val="22"/>
              </w:rPr>
              <w:t>Journal</w:t>
            </w:r>
          </w:p>
        </w:tc>
        <w:tc>
          <w:tcPr>
            <w:tcW w:w="1656" w:type="dxa"/>
            <w:tcBorders>
              <w:top w:val="nil"/>
              <w:left w:val="nil"/>
              <w:bottom w:val="nil"/>
              <w:right w:val="nil"/>
            </w:tcBorders>
          </w:tcPr>
          <w:p w:rsidR="00EA1C16" w:rsidRDefault="00A73070">
            <w:pPr>
              <w:spacing w:after="0" w:line="259" w:lineRule="auto"/>
              <w:ind w:left="0" w:right="0" w:firstLine="0"/>
              <w:jc w:val="left"/>
            </w:pPr>
            <w:r>
              <w:rPr>
                <w:sz w:val="22"/>
              </w:rPr>
              <w:t>IEEE Access</w:t>
            </w:r>
          </w:p>
        </w:tc>
        <w:tc>
          <w:tcPr>
            <w:tcW w:w="4655" w:type="dxa"/>
            <w:tcBorders>
              <w:top w:val="nil"/>
              <w:left w:val="nil"/>
              <w:bottom w:val="nil"/>
              <w:right w:val="nil"/>
            </w:tcBorders>
          </w:tcPr>
          <w:p w:rsidR="00EA1C16" w:rsidRDefault="00A73070">
            <w:pPr>
              <w:spacing w:after="19" w:line="259" w:lineRule="auto"/>
              <w:ind w:left="0" w:right="0" w:firstLine="0"/>
              <w:jc w:val="left"/>
            </w:pPr>
            <w:r>
              <w:rPr>
                <w:sz w:val="22"/>
              </w:rPr>
              <w:t>(Massaoudi et al., 2021; Gabotiaolelwe et al.,</w:t>
            </w:r>
          </w:p>
          <w:p w:rsidR="00EA1C16" w:rsidRDefault="00A73070">
            <w:pPr>
              <w:spacing w:after="0" w:line="259" w:lineRule="auto"/>
              <w:ind w:left="0" w:right="0" w:firstLine="0"/>
              <w:jc w:val="left"/>
            </w:pPr>
            <w:r>
              <w:rPr>
                <w:sz w:val="22"/>
              </w:rPr>
              <w:t>2023; Asghar et al., 2024; Lipu et al., 2021)</w:t>
            </w:r>
          </w:p>
        </w:tc>
      </w:tr>
      <w:tr w:rsidR="00EA1C16">
        <w:trPr>
          <w:trHeight w:val="864"/>
        </w:trPr>
        <w:tc>
          <w:tcPr>
            <w:tcW w:w="1209" w:type="dxa"/>
            <w:tcBorders>
              <w:top w:val="nil"/>
              <w:left w:val="nil"/>
              <w:bottom w:val="single" w:sz="7" w:space="0" w:color="000000"/>
              <w:right w:val="nil"/>
            </w:tcBorders>
          </w:tcPr>
          <w:p w:rsidR="00EA1C16" w:rsidRDefault="00A73070">
            <w:pPr>
              <w:spacing w:after="0" w:line="259" w:lineRule="auto"/>
              <w:ind w:left="120" w:right="0" w:firstLine="0"/>
              <w:jc w:val="left"/>
            </w:pPr>
            <w:r>
              <w:rPr>
                <w:sz w:val="22"/>
              </w:rPr>
              <w:t>Journal</w:t>
            </w:r>
          </w:p>
        </w:tc>
        <w:tc>
          <w:tcPr>
            <w:tcW w:w="1656" w:type="dxa"/>
            <w:tcBorders>
              <w:top w:val="nil"/>
              <w:left w:val="nil"/>
              <w:bottom w:val="single" w:sz="7" w:space="0" w:color="000000"/>
              <w:right w:val="nil"/>
            </w:tcBorders>
          </w:tcPr>
          <w:p w:rsidR="00EA1C16" w:rsidRDefault="00A73070">
            <w:pPr>
              <w:spacing w:after="0" w:line="259" w:lineRule="auto"/>
              <w:ind w:left="0" w:right="0" w:firstLine="0"/>
              <w:jc w:val="left"/>
            </w:pPr>
            <w:r>
              <w:rPr>
                <w:sz w:val="22"/>
              </w:rPr>
              <w:t>Journal</w:t>
            </w:r>
            <w:r>
              <w:rPr>
                <w:sz w:val="22"/>
              </w:rPr>
              <w:tab/>
              <w:t>of Cleaner</w:t>
            </w:r>
            <w:r>
              <w:rPr>
                <w:sz w:val="22"/>
              </w:rPr>
              <w:tab/>
              <w:t>Production</w:t>
            </w:r>
          </w:p>
        </w:tc>
        <w:tc>
          <w:tcPr>
            <w:tcW w:w="4655" w:type="dxa"/>
            <w:tcBorders>
              <w:top w:val="nil"/>
              <w:left w:val="nil"/>
              <w:bottom w:val="single" w:sz="7" w:space="0" w:color="000000"/>
              <w:right w:val="nil"/>
            </w:tcBorders>
          </w:tcPr>
          <w:p w:rsidR="00EA1C16" w:rsidRDefault="00A73070">
            <w:pPr>
              <w:spacing w:after="0" w:line="259" w:lineRule="auto"/>
              <w:ind w:left="0" w:right="0" w:firstLine="0"/>
              <w:jc w:val="left"/>
            </w:pPr>
            <w:r>
              <w:rPr>
                <w:sz w:val="22"/>
              </w:rPr>
              <w:t>(Kumari &amp; Toshniwal, 2021; Ghimire et al.,</w:t>
            </w:r>
          </w:p>
          <w:p w:rsidR="00EA1C16" w:rsidRDefault="00A73070">
            <w:pPr>
              <w:spacing w:after="0" w:line="259" w:lineRule="auto"/>
              <w:ind w:left="0" w:right="0" w:firstLine="0"/>
              <w:jc w:val="left"/>
            </w:pPr>
            <w:r>
              <w:rPr>
                <w:sz w:val="22"/>
              </w:rPr>
              <w:t>2019)</w:t>
            </w:r>
          </w:p>
        </w:tc>
      </w:tr>
    </w:tbl>
    <w:p w:rsidR="00EA1C16" w:rsidRDefault="00A73070">
      <w:pPr>
        <w:pStyle w:val="Heading1"/>
        <w:ind w:left="566" w:hanging="581"/>
      </w:pPr>
      <w:r>
        <w:t>Discussion</w:t>
      </w:r>
    </w:p>
    <w:p w:rsidR="00EA1C16" w:rsidRDefault="00A73070">
      <w:pPr>
        <w:ind w:left="-5" w:right="1425"/>
      </w:pPr>
      <w:r>
        <w:t>The literature strongly supports the conclusion that deep learning models, especially when combined with weather classification, outperform traditional statistical models in forecasting renewable energy production (Devaraj et al., 2021; Kumari &amp; Toshniwal,</w:t>
      </w:r>
      <w:r>
        <w:t xml:space="preserve"> 2021; Ahmed et al., 2020; Rajagukguk et al., 2020; Assaf et al., 2023; Alkhayat &amp; Mehmood, 2021; Gupta &amp; Singh, 2024; Zhang et al., 2024; Gupta &amp; Singh, 2021; Pombo et al., 2022; Ferkous et al., 2024; Asghar et al., 2024; Lipu et al., 2021). The ability o</w:t>
      </w:r>
      <w:r>
        <w:t xml:space="preserve">f deep learning to model nonlinearities and leverage large, complex datasets is particularly advantageous for capturing the variability inherent in renewable energy sources. Hybrid and ensemble models further enhance accuracy and robustness, though at the </w:t>
      </w:r>
      <w:r>
        <w:t>cost of increased computational complexity and reduced interpretability (Souhe et al., 2024; Ahmed et al., 2020; Gupta &amp; Singh, 2024; Ferkous et al., 2024; Lipu et al., 2021).</w:t>
      </w:r>
    </w:p>
    <w:p w:rsidR="00EA1C16" w:rsidRDefault="00A73070">
      <w:pPr>
        <w:spacing w:after="120"/>
        <w:ind w:left="-15" w:right="1425" w:firstLine="351"/>
      </w:pPr>
      <w:r>
        <w:t>However, the field faces several challenges. Deep learning models require substa</w:t>
      </w:r>
      <w:r>
        <w:t xml:space="preserve">ntial data and computational resources, and their ”black box” nature can hinder adoption in operational settings where transparency is critical (Assaf et al., 2023; Dou et al., 2023; Gupta &amp; Singh, 2021; Pombo et al., 2022; Lipu et al., 2021). Statistical </w:t>
      </w:r>
      <w:r>
        <w:t>models remain valuable for their simplicity and interpretability, especially in data-limited or highly linear scenarios.</w:t>
      </w:r>
    </w:p>
    <w:p w:rsidR="00EA1C16" w:rsidRDefault="00A73070">
      <w:pPr>
        <w:spacing w:after="0" w:line="259" w:lineRule="auto"/>
        <w:ind w:right="1083"/>
        <w:jc w:val="center"/>
      </w:pPr>
      <w:r>
        <w:t>Table 2: Claims and Evidence Table</w:t>
      </w:r>
    </w:p>
    <w:tbl>
      <w:tblPr>
        <w:tblStyle w:val="TableGrid"/>
        <w:tblW w:w="9460" w:type="dxa"/>
        <w:tblInd w:w="0" w:type="dxa"/>
        <w:tblCellMar>
          <w:top w:w="89" w:type="dxa"/>
          <w:left w:w="0" w:type="dxa"/>
          <w:bottom w:w="0" w:type="dxa"/>
          <w:right w:w="119" w:type="dxa"/>
        </w:tblCellMar>
        <w:tblLook w:val="04A0" w:firstRow="1" w:lastRow="0" w:firstColumn="1" w:lastColumn="0" w:noHBand="0" w:noVBand="1"/>
      </w:tblPr>
      <w:tblGrid>
        <w:gridCol w:w="3193"/>
        <w:gridCol w:w="1373"/>
        <w:gridCol w:w="2507"/>
        <w:gridCol w:w="2387"/>
      </w:tblGrid>
      <w:tr w:rsidR="00EA1C16">
        <w:trPr>
          <w:trHeight w:val="840"/>
        </w:trPr>
        <w:tc>
          <w:tcPr>
            <w:tcW w:w="3193" w:type="dxa"/>
            <w:tcBorders>
              <w:top w:val="single" w:sz="7" w:space="0" w:color="000000"/>
              <w:left w:val="nil"/>
              <w:bottom w:val="single" w:sz="5" w:space="0" w:color="000000"/>
              <w:right w:val="nil"/>
            </w:tcBorders>
          </w:tcPr>
          <w:p w:rsidR="00EA1C16" w:rsidRDefault="00A73070">
            <w:pPr>
              <w:spacing w:after="0" w:line="259" w:lineRule="auto"/>
              <w:ind w:left="120" w:right="0" w:firstLine="0"/>
              <w:jc w:val="left"/>
            </w:pPr>
            <w:r>
              <w:rPr>
                <w:b/>
              </w:rPr>
              <w:t>Claim</w:t>
            </w:r>
          </w:p>
        </w:tc>
        <w:tc>
          <w:tcPr>
            <w:tcW w:w="1373" w:type="dxa"/>
            <w:tcBorders>
              <w:top w:val="single" w:sz="7" w:space="0" w:color="000000"/>
              <w:left w:val="nil"/>
              <w:bottom w:val="single" w:sz="5" w:space="0" w:color="000000"/>
              <w:right w:val="nil"/>
            </w:tcBorders>
            <w:vAlign w:val="center"/>
          </w:tcPr>
          <w:p w:rsidR="00EA1C16" w:rsidRDefault="00A73070">
            <w:pPr>
              <w:spacing w:after="54" w:line="259" w:lineRule="auto"/>
              <w:ind w:left="0" w:right="0" w:firstLine="0"/>
              <w:jc w:val="left"/>
            </w:pPr>
            <w:r>
              <w:rPr>
                <w:b/>
              </w:rPr>
              <w:t>Evidence</w:t>
            </w:r>
          </w:p>
          <w:p w:rsidR="00EA1C16" w:rsidRDefault="00A73070">
            <w:pPr>
              <w:spacing w:after="0" w:line="259" w:lineRule="auto"/>
              <w:ind w:left="0" w:right="0" w:firstLine="0"/>
              <w:jc w:val="left"/>
            </w:pPr>
            <w:r>
              <w:rPr>
                <w:b/>
              </w:rPr>
              <w:t>Strength</w:t>
            </w:r>
          </w:p>
        </w:tc>
        <w:tc>
          <w:tcPr>
            <w:tcW w:w="2507" w:type="dxa"/>
            <w:tcBorders>
              <w:top w:val="single" w:sz="7" w:space="0" w:color="000000"/>
              <w:left w:val="nil"/>
              <w:bottom w:val="single" w:sz="5" w:space="0" w:color="000000"/>
              <w:right w:val="nil"/>
            </w:tcBorders>
          </w:tcPr>
          <w:p w:rsidR="00EA1C16" w:rsidRDefault="00A73070">
            <w:pPr>
              <w:spacing w:after="0" w:line="259" w:lineRule="auto"/>
              <w:ind w:left="0" w:right="0" w:firstLine="0"/>
              <w:jc w:val="left"/>
            </w:pPr>
            <w:r>
              <w:rPr>
                <w:b/>
              </w:rPr>
              <w:t>Reasoning</w:t>
            </w:r>
          </w:p>
        </w:tc>
        <w:tc>
          <w:tcPr>
            <w:tcW w:w="2387" w:type="dxa"/>
            <w:tcBorders>
              <w:top w:val="single" w:sz="7" w:space="0" w:color="000000"/>
              <w:left w:val="nil"/>
              <w:bottom w:val="single" w:sz="5" w:space="0" w:color="000000"/>
              <w:right w:val="nil"/>
            </w:tcBorders>
          </w:tcPr>
          <w:p w:rsidR="00EA1C16" w:rsidRDefault="00A73070">
            <w:pPr>
              <w:spacing w:after="0" w:line="259" w:lineRule="auto"/>
              <w:ind w:left="0" w:right="0" w:firstLine="0"/>
              <w:jc w:val="left"/>
            </w:pPr>
            <w:r>
              <w:rPr>
                <w:b/>
              </w:rPr>
              <w:t>Papers</w:t>
            </w:r>
          </w:p>
        </w:tc>
      </w:tr>
      <w:tr w:rsidR="00EA1C16">
        <w:trPr>
          <w:trHeight w:val="5096"/>
        </w:trPr>
        <w:tc>
          <w:tcPr>
            <w:tcW w:w="3193" w:type="dxa"/>
            <w:tcBorders>
              <w:top w:val="single" w:sz="5" w:space="0" w:color="000000"/>
              <w:left w:val="nil"/>
              <w:bottom w:val="single" w:sz="3" w:space="0" w:color="000000"/>
              <w:right w:val="nil"/>
            </w:tcBorders>
          </w:tcPr>
          <w:p w:rsidR="00EA1C16" w:rsidRDefault="00A73070">
            <w:pPr>
              <w:spacing w:after="0" w:line="259" w:lineRule="auto"/>
              <w:ind w:left="120" w:right="119" w:firstLine="0"/>
            </w:pPr>
            <w:r>
              <w:t>Deep learning models outperform statistical models for renewable energy forecasting with weather classification</w:t>
            </w:r>
          </w:p>
        </w:tc>
        <w:tc>
          <w:tcPr>
            <w:tcW w:w="1373" w:type="dxa"/>
            <w:tcBorders>
              <w:top w:val="single" w:sz="5" w:space="0" w:color="000000"/>
              <w:left w:val="nil"/>
              <w:bottom w:val="single" w:sz="3" w:space="0" w:color="000000"/>
              <w:right w:val="nil"/>
            </w:tcBorders>
          </w:tcPr>
          <w:p w:rsidR="00EA1C16" w:rsidRDefault="00A73070">
            <w:pPr>
              <w:spacing w:after="0" w:line="259" w:lineRule="auto"/>
              <w:ind w:left="0" w:right="0" w:firstLine="0"/>
              <w:jc w:val="left"/>
            </w:pPr>
            <w:r>
              <w:t>Strong</w:t>
            </w:r>
          </w:p>
        </w:tc>
        <w:tc>
          <w:tcPr>
            <w:tcW w:w="2507" w:type="dxa"/>
            <w:tcBorders>
              <w:top w:val="single" w:sz="5" w:space="0" w:color="000000"/>
              <w:left w:val="nil"/>
              <w:bottom w:val="single" w:sz="3" w:space="0" w:color="000000"/>
              <w:right w:val="nil"/>
            </w:tcBorders>
          </w:tcPr>
          <w:p w:rsidR="00EA1C16" w:rsidRDefault="00A73070">
            <w:pPr>
              <w:spacing w:after="0" w:line="340" w:lineRule="auto"/>
              <w:ind w:left="0" w:right="120" w:firstLine="0"/>
            </w:pPr>
            <w:r>
              <w:t>Multiple large-scale reviews and empirical studies show consistent accuracy improvements with</w:t>
            </w:r>
          </w:p>
          <w:p w:rsidR="00EA1C16" w:rsidRDefault="00A73070">
            <w:pPr>
              <w:spacing w:after="0" w:line="259" w:lineRule="auto"/>
              <w:ind w:left="0" w:right="0" w:firstLine="0"/>
              <w:jc w:val="left"/>
            </w:pPr>
            <w:r>
              <w:t>DL models</w:t>
            </w:r>
          </w:p>
        </w:tc>
        <w:tc>
          <w:tcPr>
            <w:tcW w:w="2387" w:type="dxa"/>
            <w:tcBorders>
              <w:top w:val="single" w:sz="5" w:space="0" w:color="000000"/>
              <w:left w:val="nil"/>
              <w:bottom w:val="single" w:sz="3" w:space="0" w:color="000000"/>
              <w:right w:val="nil"/>
            </w:tcBorders>
          </w:tcPr>
          <w:p w:rsidR="00EA1C16" w:rsidRDefault="00A73070">
            <w:pPr>
              <w:spacing w:after="0"/>
              <w:ind w:left="0" w:right="0" w:firstLine="0"/>
            </w:pPr>
            <w:r>
              <w:t>(Devaraj et al., 2021; Kumari &amp; Toshniwal, 2021; Ahmed et al., 2020; Rajagukguk et al., 2020; Assaf et al., 2023; Alkhayat &amp; Mehmood, 2021; Gupta &amp; Singh, 2024; Zhang et al., 2024; Gupta &amp; Singh, 2021; Pombo et al., 2022; Ferkous et al., 2024; Asghar et al</w:t>
            </w:r>
            <w:r>
              <w:t>., 2024;</w:t>
            </w:r>
          </w:p>
          <w:p w:rsidR="00EA1C16" w:rsidRDefault="00A73070">
            <w:pPr>
              <w:spacing w:after="0" w:line="259" w:lineRule="auto"/>
              <w:ind w:left="0" w:right="0" w:firstLine="0"/>
              <w:jc w:val="left"/>
            </w:pPr>
            <w:r>
              <w:t>Lipu et al., 2021)</w:t>
            </w:r>
          </w:p>
        </w:tc>
      </w:tr>
      <w:tr w:rsidR="00EA1C16">
        <w:trPr>
          <w:trHeight w:val="2159"/>
        </w:trPr>
        <w:tc>
          <w:tcPr>
            <w:tcW w:w="3193" w:type="dxa"/>
            <w:tcBorders>
              <w:top w:val="single" w:sz="3" w:space="0" w:color="000000"/>
              <w:left w:val="nil"/>
              <w:bottom w:val="single" w:sz="3" w:space="0" w:color="000000"/>
              <w:right w:val="nil"/>
            </w:tcBorders>
          </w:tcPr>
          <w:p w:rsidR="00EA1C16" w:rsidRDefault="00A73070">
            <w:pPr>
              <w:spacing w:after="0" w:line="259" w:lineRule="auto"/>
              <w:ind w:left="120" w:right="120" w:firstLine="0"/>
            </w:pPr>
            <w:r>
              <w:t>Hybrid and ensemble models (DL + statistical/ML) achieve highest accuracy</w:t>
            </w:r>
          </w:p>
        </w:tc>
        <w:tc>
          <w:tcPr>
            <w:tcW w:w="1373" w:type="dxa"/>
            <w:tcBorders>
              <w:top w:val="single" w:sz="3" w:space="0" w:color="000000"/>
              <w:left w:val="nil"/>
              <w:bottom w:val="single" w:sz="3" w:space="0" w:color="000000"/>
              <w:right w:val="nil"/>
            </w:tcBorders>
          </w:tcPr>
          <w:p w:rsidR="00EA1C16" w:rsidRDefault="00A73070">
            <w:pPr>
              <w:spacing w:after="0" w:line="259" w:lineRule="auto"/>
              <w:ind w:left="0" w:right="0" w:firstLine="0"/>
              <w:jc w:val="left"/>
            </w:pPr>
            <w:r>
              <w:t>Strong</w:t>
            </w:r>
          </w:p>
        </w:tc>
        <w:tc>
          <w:tcPr>
            <w:tcW w:w="2507" w:type="dxa"/>
            <w:tcBorders>
              <w:top w:val="single" w:sz="3" w:space="0" w:color="000000"/>
              <w:left w:val="nil"/>
              <w:bottom w:val="single" w:sz="3" w:space="0" w:color="000000"/>
              <w:right w:val="nil"/>
            </w:tcBorders>
          </w:tcPr>
          <w:p w:rsidR="00EA1C16" w:rsidRDefault="00A73070">
            <w:pPr>
              <w:spacing w:after="0" w:line="259" w:lineRule="auto"/>
              <w:ind w:left="0" w:right="120" w:firstLine="0"/>
            </w:pPr>
            <w:r>
              <w:t>Hybrid approaches leverage strengths of multiple models, consistently outperforming single-model methods</w:t>
            </w:r>
          </w:p>
        </w:tc>
        <w:tc>
          <w:tcPr>
            <w:tcW w:w="2387" w:type="dxa"/>
            <w:tcBorders>
              <w:top w:val="single" w:sz="3" w:space="0" w:color="000000"/>
              <w:left w:val="nil"/>
              <w:bottom w:val="single" w:sz="3" w:space="0" w:color="000000"/>
              <w:right w:val="nil"/>
            </w:tcBorders>
          </w:tcPr>
          <w:p w:rsidR="00EA1C16" w:rsidRDefault="00A73070">
            <w:pPr>
              <w:spacing w:after="0" w:line="305" w:lineRule="auto"/>
              <w:ind w:left="0" w:right="0" w:firstLine="0"/>
            </w:pPr>
            <w:r>
              <w:t>(Souhe et al., 2024; Ahmed et al., 2020; Gupta &amp; Singh, 2024; Ferkous et al., 2024;</w:t>
            </w:r>
          </w:p>
          <w:p w:rsidR="00EA1C16" w:rsidRDefault="00A73070">
            <w:pPr>
              <w:spacing w:after="0" w:line="259" w:lineRule="auto"/>
              <w:ind w:left="0" w:right="0" w:firstLine="0"/>
              <w:jc w:val="left"/>
            </w:pPr>
            <w:r>
              <w:t>Lipu et al., 2021)</w:t>
            </w:r>
          </w:p>
        </w:tc>
      </w:tr>
      <w:tr w:rsidR="00EA1C16">
        <w:trPr>
          <w:trHeight w:val="2546"/>
        </w:trPr>
        <w:tc>
          <w:tcPr>
            <w:tcW w:w="3193" w:type="dxa"/>
            <w:tcBorders>
              <w:top w:val="single" w:sz="3" w:space="0" w:color="000000"/>
              <w:left w:val="nil"/>
              <w:bottom w:val="double" w:sz="5" w:space="0" w:color="000000"/>
              <w:right w:val="nil"/>
            </w:tcBorders>
          </w:tcPr>
          <w:p w:rsidR="00EA1C16" w:rsidRDefault="00A73070">
            <w:pPr>
              <w:spacing w:after="0" w:line="259" w:lineRule="auto"/>
              <w:ind w:left="120" w:right="120" w:firstLine="0"/>
            </w:pPr>
            <w:r>
              <w:t>Weather classification improves forecasting accuracy for all model types</w:t>
            </w:r>
          </w:p>
        </w:tc>
        <w:tc>
          <w:tcPr>
            <w:tcW w:w="1373" w:type="dxa"/>
            <w:tcBorders>
              <w:top w:val="single" w:sz="3" w:space="0" w:color="000000"/>
              <w:left w:val="nil"/>
              <w:bottom w:val="double" w:sz="5" w:space="0" w:color="000000"/>
              <w:right w:val="nil"/>
            </w:tcBorders>
          </w:tcPr>
          <w:p w:rsidR="00EA1C16" w:rsidRDefault="00A73070">
            <w:pPr>
              <w:spacing w:after="0" w:line="259" w:lineRule="auto"/>
              <w:ind w:left="0" w:right="0" w:firstLine="0"/>
              <w:jc w:val="left"/>
            </w:pPr>
            <w:r>
              <w:t>Moderate</w:t>
            </w:r>
          </w:p>
        </w:tc>
        <w:tc>
          <w:tcPr>
            <w:tcW w:w="2507" w:type="dxa"/>
            <w:tcBorders>
              <w:top w:val="single" w:sz="3" w:space="0" w:color="000000"/>
              <w:left w:val="nil"/>
              <w:bottom w:val="double" w:sz="5" w:space="0" w:color="000000"/>
              <w:right w:val="nil"/>
            </w:tcBorders>
          </w:tcPr>
          <w:p w:rsidR="00EA1C16" w:rsidRDefault="00A73070">
            <w:pPr>
              <w:spacing w:after="0" w:line="259" w:lineRule="auto"/>
              <w:ind w:left="0" w:right="0" w:firstLine="0"/>
              <w:jc w:val="left"/>
            </w:pPr>
            <w:r>
              <w:t>Weather regime identification</w:t>
            </w:r>
            <w:r>
              <w:tab/>
              <w:t>enhances feature relevance and model</w:t>
            </w:r>
            <w:r>
              <w:tab/>
              <w:t>performance across approaches</w:t>
            </w:r>
          </w:p>
        </w:tc>
        <w:tc>
          <w:tcPr>
            <w:tcW w:w="2387" w:type="dxa"/>
            <w:tcBorders>
              <w:top w:val="single" w:sz="3" w:space="0" w:color="000000"/>
              <w:left w:val="nil"/>
              <w:bottom w:val="double" w:sz="5" w:space="0" w:color="000000"/>
              <w:right w:val="nil"/>
            </w:tcBorders>
          </w:tcPr>
          <w:p w:rsidR="00EA1C16" w:rsidRDefault="00A73070">
            <w:pPr>
              <w:spacing w:after="0" w:line="324" w:lineRule="auto"/>
              <w:ind w:left="0" w:right="0" w:firstLine="0"/>
            </w:pPr>
            <w:r>
              <w:t>(Ahmed et al., 2020; Rajagukguk et al., 2020; Gupta &amp; Singh, 2024; Zhang et al., 2024; Gupta &amp; Singh, 2021; Pombo et al.,</w:t>
            </w:r>
          </w:p>
          <w:p w:rsidR="00EA1C16" w:rsidRDefault="00A73070">
            <w:pPr>
              <w:spacing w:after="0" w:line="259" w:lineRule="auto"/>
              <w:ind w:left="0" w:right="0" w:firstLine="0"/>
              <w:jc w:val="left"/>
            </w:pPr>
            <w:r>
              <w:t>2022)</w:t>
            </w:r>
          </w:p>
        </w:tc>
      </w:tr>
    </w:tbl>
    <w:p w:rsidR="00EA1C16" w:rsidRDefault="00A73070">
      <w:pPr>
        <w:spacing w:after="76" w:line="259" w:lineRule="auto"/>
        <w:ind w:left="2211" w:right="1425"/>
      </w:pPr>
      <w:r>
        <w:t>Table 2: Claims and Evidence T</w:t>
      </w:r>
      <w:r>
        <w:t>able (continued)</w:t>
      </w:r>
    </w:p>
    <w:tbl>
      <w:tblPr>
        <w:tblStyle w:val="TableGrid"/>
        <w:tblW w:w="9460" w:type="dxa"/>
        <w:tblInd w:w="0" w:type="dxa"/>
        <w:tblCellMar>
          <w:top w:w="89" w:type="dxa"/>
          <w:left w:w="0" w:type="dxa"/>
          <w:bottom w:w="0" w:type="dxa"/>
          <w:right w:w="120" w:type="dxa"/>
        </w:tblCellMar>
        <w:tblLook w:val="04A0" w:firstRow="1" w:lastRow="0" w:firstColumn="1" w:lastColumn="0" w:noHBand="0" w:noVBand="1"/>
      </w:tblPr>
      <w:tblGrid>
        <w:gridCol w:w="3193"/>
        <w:gridCol w:w="1373"/>
        <w:gridCol w:w="2507"/>
        <w:gridCol w:w="2387"/>
      </w:tblGrid>
      <w:tr w:rsidR="00EA1C16">
        <w:trPr>
          <w:trHeight w:val="874"/>
        </w:trPr>
        <w:tc>
          <w:tcPr>
            <w:tcW w:w="3193" w:type="dxa"/>
            <w:tcBorders>
              <w:top w:val="single" w:sz="7" w:space="0" w:color="000000"/>
              <w:left w:val="nil"/>
              <w:bottom w:val="double" w:sz="4" w:space="0" w:color="000000"/>
              <w:right w:val="nil"/>
            </w:tcBorders>
          </w:tcPr>
          <w:p w:rsidR="00EA1C16" w:rsidRDefault="00A73070">
            <w:pPr>
              <w:spacing w:after="0" w:line="259" w:lineRule="auto"/>
              <w:ind w:left="120" w:right="0" w:firstLine="0"/>
              <w:jc w:val="left"/>
            </w:pPr>
            <w:r>
              <w:rPr>
                <w:b/>
              </w:rPr>
              <w:t>Claim</w:t>
            </w:r>
          </w:p>
        </w:tc>
        <w:tc>
          <w:tcPr>
            <w:tcW w:w="1373" w:type="dxa"/>
            <w:tcBorders>
              <w:top w:val="single" w:sz="7" w:space="0" w:color="000000"/>
              <w:left w:val="nil"/>
              <w:bottom w:val="double" w:sz="4" w:space="0" w:color="000000"/>
              <w:right w:val="nil"/>
            </w:tcBorders>
            <w:vAlign w:val="center"/>
          </w:tcPr>
          <w:p w:rsidR="00EA1C16" w:rsidRDefault="00A73070">
            <w:pPr>
              <w:spacing w:after="54" w:line="259" w:lineRule="auto"/>
              <w:ind w:left="0" w:right="0" w:firstLine="0"/>
              <w:jc w:val="left"/>
            </w:pPr>
            <w:r>
              <w:rPr>
                <w:b/>
              </w:rPr>
              <w:t>Evidence</w:t>
            </w:r>
          </w:p>
          <w:p w:rsidR="00EA1C16" w:rsidRDefault="00A73070">
            <w:pPr>
              <w:spacing w:after="0" w:line="259" w:lineRule="auto"/>
              <w:ind w:left="0" w:right="0" w:firstLine="0"/>
              <w:jc w:val="left"/>
            </w:pPr>
            <w:r>
              <w:rPr>
                <w:b/>
              </w:rPr>
              <w:t>Strength</w:t>
            </w:r>
          </w:p>
        </w:tc>
        <w:tc>
          <w:tcPr>
            <w:tcW w:w="2507" w:type="dxa"/>
            <w:tcBorders>
              <w:top w:val="single" w:sz="7" w:space="0" w:color="000000"/>
              <w:left w:val="nil"/>
              <w:bottom w:val="double" w:sz="4" w:space="0" w:color="000000"/>
              <w:right w:val="nil"/>
            </w:tcBorders>
          </w:tcPr>
          <w:p w:rsidR="00EA1C16" w:rsidRDefault="00A73070">
            <w:pPr>
              <w:spacing w:after="0" w:line="259" w:lineRule="auto"/>
              <w:ind w:left="0" w:right="0" w:firstLine="0"/>
              <w:jc w:val="left"/>
            </w:pPr>
            <w:r>
              <w:rPr>
                <w:b/>
              </w:rPr>
              <w:t>Reasoning</w:t>
            </w:r>
          </w:p>
        </w:tc>
        <w:tc>
          <w:tcPr>
            <w:tcW w:w="2387" w:type="dxa"/>
            <w:tcBorders>
              <w:top w:val="single" w:sz="7" w:space="0" w:color="000000"/>
              <w:left w:val="nil"/>
              <w:bottom w:val="double" w:sz="4" w:space="0" w:color="000000"/>
              <w:right w:val="nil"/>
            </w:tcBorders>
          </w:tcPr>
          <w:p w:rsidR="00EA1C16" w:rsidRDefault="00A73070">
            <w:pPr>
              <w:spacing w:after="0" w:line="259" w:lineRule="auto"/>
              <w:ind w:left="0" w:right="0" w:firstLine="0"/>
              <w:jc w:val="left"/>
            </w:pPr>
            <w:r>
              <w:rPr>
                <w:b/>
              </w:rPr>
              <w:t>Papers</w:t>
            </w:r>
          </w:p>
        </w:tc>
      </w:tr>
      <w:tr w:rsidR="00EA1C16">
        <w:trPr>
          <w:trHeight w:val="1836"/>
        </w:trPr>
        <w:tc>
          <w:tcPr>
            <w:tcW w:w="3193" w:type="dxa"/>
            <w:tcBorders>
              <w:top w:val="double" w:sz="4" w:space="0" w:color="000000"/>
              <w:left w:val="nil"/>
              <w:bottom w:val="single" w:sz="3" w:space="0" w:color="000000"/>
              <w:right w:val="nil"/>
            </w:tcBorders>
          </w:tcPr>
          <w:p w:rsidR="00EA1C16" w:rsidRDefault="00A73070">
            <w:pPr>
              <w:spacing w:after="0" w:line="315" w:lineRule="auto"/>
              <w:ind w:left="120" w:right="0" w:firstLine="0"/>
            </w:pPr>
            <w:r>
              <w:t>Statistical models are more interpretable and less</w:t>
            </w:r>
          </w:p>
          <w:p w:rsidR="00EA1C16" w:rsidRDefault="00A73070">
            <w:pPr>
              <w:spacing w:after="0" w:line="259" w:lineRule="auto"/>
              <w:ind w:left="120" w:right="0" w:firstLine="0"/>
              <w:jc w:val="left"/>
            </w:pPr>
            <w:r>
              <w:t>resource-intensive</w:t>
            </w:r>
          </w:p>
        </w:tc>
        <w:tc>
          <w:tcPr>
            <w:tcW w:w="1373" w:type="dxa"/>
            <w:tcBorders>
              <w:top w:val="double" w:sz="4" w:space="0" w:color="000000"/>
              <w:left w:val="nil"/>
              <w:bottom w:val="single" w:sz="3" w:space="0" w:color="000000"/>
              <w:right w:val="nil"/>
            </w:tcBorders>
          </w:tcPr>
          <w:p w:rsidR="00EA1C16" w:rsidRDefault="00A73070">
            <w:pPr>
              <w:spacing w:after="0" w:line="259" w:lineRule="auto"/>
              <w:ind w:left="0" w:right="0" w:firstLine="0"/>
              <w:jc w:val="left"/>
            </w:pPr>
            <w:r>
              <w:t>Moderate</w:t>
            </w:r>
          </w:p>
        </w:tc>
        <w:tc>
          <w:tcPr>
            <w:tcW w:w="2507" w:type="dxa"/>
            <w:tcBorders>
              <w:top w:val="double" w:sz="4" w:space="0" w:color="000000"/>
              <w:left w:val="nil"/>
              <w:bottom w:val="single" w:sz="3" w:space="0" w:color="000000"/>
              <w:right w:val="nil"/>
            </w:tcBorders>
          </w:tcPr>
          <w:p w:rsidR="00EA1C16" w:rsidRDefault="00A73070">
            <w:pPr>
              <w:spacing w:after="0" w:line="259" w:lineRule="auto"/>
              <w:ind w:left="0" w:right="119" w:firstLine="0"/>
            </w:pPr>
            <w:r>
              <w:t>Simpler structure and lower computational demands make statistical models easier to deploy and explain</w:t>
            </w:r>
          </w:p>
        </w:tc>
        <w:tc>
          <w:tcPr>
            <w:tcW w:w="2387" w:type="dxa"/>
            <w:tcBorders>
              <w:top w:val="double" w:sz="4" w:space="0" w:color="000000"/>
              <w:left w:val="nil"/>
              <w:bottom w:val="single" w:sz="3" w:space="0" w:color="000000"/>
              <w:right w:val="nil"/>
            </w:tcBorders>
          </w:tcPr>
          <w:p w:rsidR="00EA1C16" w:rsidRDefault="00A73070">
            <w:pPr>
              <w:spacing w:after="0" w:line="320" w:lineRule="auto"/>
              <w:ind w:left="0" w:right="0" w:firstLine="0"/>
            </w:pPr>
            <w:r>
              <w:t>(Assaf et al., 2023; Dou et al., 2023; Gupta &amp; Singh, 2021; Pombo et al., 2022;</w:t>
            </w:r>
          </w:p>
          <w:p w:rsidR="00EA1C16" w:rsidRDefault="00A73070">
            <w:pPr>
              <w:spacing w:after="0" w:line="259" w:lineRule="auto"/>
              <w:ind w:left="0" w:right="0" w:firstLine="0"/>
              <w:jc w:val="left"/>
            </w:pPr>
            <w:r>
              <w:t>Lipu et al., 2021)</w:t>
            </w:r>
          </w:p>
        </w:tc>
      </w:tr>
      <w:tr w:rsidR="00EA1C16">
        <w:trPr>
          <w:trHeight w:val="2159"/>
        </w:trPr>
        <w:tc>
          <w:tcPr>
            <w:tcW w:w="3193" w:type="dxa"/>
            <w:tcBorders>
              <w:top w:val="single" w:sz="3" w:space="0" w:color="000000"/>
              <w:left w:val="nil"/>
              <w:bottom w:val="single" w:sz="3" w:space="0" w:color="000000"/>
              <w:right w:val="nil"/>
            </w:tcBorders>
          </w:tcPr>
          <w:p w:rsidR="00EA1C16" w:rsidRDefault="00A73070">
            <w:pPr>
              <w:spacing w:after="0" w:line="259" w:lineRule="auto"/>
              <w:ind w:left="120" w:right="120" w:firstLine="0"/>
            </w:pPr>
            <w:r>
              <w:t>Deep learning models require large, high-quality, weather-classified datasets</w:t>
            </w:r>
          </w:p>
        </w:tc>
        <w:tc>
          <w:tcPr>
            <w:tcW w:w="1373" w:type="dxa"/>
            <w:tcBorders>
              <w:top w:val="single" w:sz="3" w:space="0" w:color="000000"/>
              <w:left w:val="nil"/>
              <w:bottom w:val="single" w:sz="3" w:space="0" w:color="000000"/>
              <w:right w:val="nil"/>
            </w:tcBorders>
          </w:tcPr>
          <w:p w:rsidR="00EA1C16" w:rsidRDefault="00A73070">
            <w:pPr>
              <w:spacing w:after="0" w:line="259" w:lineRule="auto"/>
              <w:ind w:left="0" w:right="0" w:firstLine="0"/>
              <w:jc w:val="left"/>
            </w:pPr>
            <w:r>
              <w:t>Moderate</w:t>
            </w:r>
          </w:p>
        </w:tc>
        <w:tc>
          <w:tcPr>
            <w:tcW w:w="2507" w:type="dxa"/>
            <w:tcBorders>
              <w:top w:val="single" w:sz="3" w:space="0" w:color="000000"/>
              <w:left w:val="nil"/>
              <w:bottom w:val="single" w:sz="3" w:space="0" w:color="000000"/>
              <w:right w:val="nil"/>
            </w:tcBorders>
          </w:tcPr>
          <w:p w:rsidR="00EA1C16" w:rsidRDefault="00A73070">
            <w:pPr>
              <w:spacing w:after="0" w:line="259" w:lineRule="auto"/>
              <w:ind w:left="0" w:right="119" w:firstLine="0"/>
            </w:pPr>
            <w:r>
              <w:t>Performance gains are most pronounced with abundant, well-labeled data; otherwise, gains are limited</w:t>
            </w:r>
          </w:p>
        </w:tc>
        <w:tc>
          <w:tcPr>
            <w:tcW w:w="2387" w:type="dxa"/>
            <w:tcBorders>
              <w:top w:val="single" w:sz="3" w:space="0" w:color="000000"/>
              <w:left w:val="nil"/>
              <w:bottom w:val="single" w:sz="3" w:space="0" w:color="000000"/>
              <w:right w:val="nil"/>
            </w:tcBorders>
          </w:tcPr>
          <w:p w:rsidR="00EA1C16" w:rsidRDefault="00A73070">
            <w:pPr>
              <w:spacing w:after="0" w:line="315" w:lineRule="auto"/>
              <w:ind w:left="0" w:right="0" w:firstLine="0"/>
            </w:pPr>
            <w:r>
              <w:t>(Assaf et al., 2023; Gupta &amp; Singh, 2024;</w:t>
            </w:r>
          </w:p>
          <w:p w:rsidR="00EA1C16" w:rsidRDefault="00A73070">
            <w:pPr>
              <w:spacing w:after="54" w:line="259" w:lineRule="auto"/>
              <w:ind w:left="0" w:right="0" w:firstLine="0"/>
              <w:jc w:val="left"/>
            </w:pPr>
            <w:r>
              <w:t>Gupta &amp; Singh, 2021;</w:t>
            </w:r>
          </w:p>
          <w:p w:rsidR="00EA1C16" w:rsidRDefault="00A73070">
            <w:pPr>
              <w:spacing w:after="0" w:line="259" w:lineRule="auto"/>
              <w:ind w:left="0" w:right="0" w:firstLine="0"/>
              <w:jc w:val="left"/>
            </w:pPr>
            <w:r>
              <w:t>Pombo et al., 2022)</w:t>
            </w:r>
          </w:p>
        </w:tc>
      </w:tr>
      <w:tr w:rsidR="00EA1C16">
        <w:trPr>
          <w:trHeight w:val="1847"/>
        </w:trPr>
        <w:tc>
          <w:tcPr>
            <w:tcW w:w="3193" w:type="dxa"/>
            <w:tcBorders>
              <w:top w:val="single" w:sz="3" w:space="0" w:color="000000"/>
              <w:left w:val="nil"/>
              <w:bottom w:val="single" w:sz="7" w:space="0" w:color="000000"/>
              <w:right w:val="nil"/>
            </w:tcBorders>
          </w:tcPr>
          <w:p w:rsidR="00EA1C16" w:rsidRDefault="00A73070">
            <w:pPr>
              <w:spacing w:after="0" w:line="259" w:lineRule="auto"/>
              <w:ind w:left="120" w:right="119" w:firstLine="0"/>
            </w:pPr>
            <w:r>
              <w:t>Model interpretability and computational cost remain barriers to DL adoption</w:t>
            </w:r>
          </w:p>
        </w:tc>
        <w:tc>
          <w:tcPr>
            <w:tcW w:w="1373" w:type="dxa"/>
            <w:tcBorders>
              <w:top w:val="single" w:sz="3" w:space="0" w:color="000000"/>
              <w:left w:val="nil"/>
              <w:bottom w:val="single" w:sz="7" w:space="0" w:color="000000"/>
              <w:right w:val="nil"/>
            </w:tcBorders>
          </w:tcPr>
          <w:p w:rsidR="00EA1C16" w:rsidRDefault="00A73070">
            <w:pPr>
              <w:spacing w:after="0" w:line="259" w:lineRule="auto"/>
              <w:ind w:left="0" w:right="0" w:firstLine="0"/>
              <w:jc w:val="left"/>
            </w:pPr>
            <w:r>
              <w:t>Moderate</w:t>
            </w:r>
          </w:p>
        </w:tc>
        <w:tc>
          <w:tcPr>
            <w:tcW w:w="2507" w:type="dxa"/>
            <w:tcBorders>
              <w:top w:val="single" w:sz="3" w:space="0" w:color="000000"/>
              <w:left w:val="nil"/>
              <w:bottom w:val="single" w:sz="7" w:space="0" w:color="000000"/>
              <w:right w:val="nil"/>
            </w:tcBorders>
          </w:tcPr>
          <w:p w:rsidR="00EA1C16" w:rsidRDefault="00A73070">
            <w:pPr>
              <w:spacing w:after="0" w:line="259" w:lineRule="auto"/>
              <w:ind w:left="0" w:right="0" w:firstLine="0"/>
              <w:jc w:val="left"/>
            </w:pPr>
            <w:r>
              <w:t>Black-box nature and hardware</w:t>
            </w:r>
            <w:r>
              <w:tab/>
              <w:t>requirements</w:t>
            </w:r>
            <w:r>
              <w:tab/>
              <w:t>limit</w:t>
            </w:r>
            <w:r>
              <w:tab/>
              <w:t>operational deployment in some settings</w:t>
            </w:r>
          </w:p>
        </w:tc>
        <w:tc>
          <w:tcPr>
            <w:tcW w:w="2387" w:type="dxa"/>
            <w:tcBorders>
              <w:top w:val="single" w:sz="3" w:space="0" w:color="000000"/>
              <w:left w:val="nil"/>
              <w:bottom w:val="single" w:sz="7" w:space="0" w:color="000000"/>
              <w:right w:val="nil"/>
            </w:tcBorders>
          </w:tcPr>
          <w:p w:rsidR="00EA1C16" w:rsidRDefault="00A73070">
            <w:pPr>
              <w:spacing w:after="0" w:line="320" w:lineRule="auto"/>
              <w:ind w:left="0" w:right="0" w:firstLine="0"/>
            </w:pPr>
            <w:r>
              <w:t>(Assaf et al., 2023; Dou et al., 2023; Gupta &amp; Singh, 2021; Pombo et al., 2022;</w:t>
            </w:r>
          </w:p>
          <w:p w:rsidR="00EA1C16" w:rsidRDefault="00A73070">
            <w:pPr>
              <w:spacing w:after="0" w:line="259" w:lineRule="auto"/>
              <w:ind w:left="0" w:right="0" w:firstLine="0"/>
              <w:jc w:val="left"/>
            </w:pPr>
            <w:r>
              <w:t>Lipu et al., 2021)</w:t>
            </w:r>
          </w:p>
        </w:tc>
      </w:tr>
    </w:tbl>
    <w:p w:rsidR="00EA1C16" w:rsidRDefault="00A73070">
      <w:pPr>
        <w:pStyle w:val="Heading1"/>
        <w:ind w:left="566" w:hanging="581"/>
      </w:pPr>
      <w:r>
        <w:t>Conclusion</w:t>
      </w:r>
    </w:p>
    <w:p w:rsidR="00EA1C16" w:rsidRDefault="00A73070">
      <w:pPr>
        <w:spacing w:after="445"/>
        <w:ind w:left="-5" w:right="1425"/>
      </w:pPr>
      <w:r>
        <w:t>Deep learning models, particularly when combined with weather classification and hybridized with other approaches, consistently outperform traditional statistical models in forecasting renewable energy production. However, challenges related to data requir</w:t>
      </w:r>
      <w:r>
        <w:t>ements, interpretability, and computational cost remain. Statistical models retain value for their simplicity and transparency, especially in data-limited contexts.</w:t>
      </w:r>
    </w:p>
    <w:p w:rsidR="00EA1C16" w:rsidRDefault="00A73070">
      <w:pPr>
        <w:pStyle w:val="Heading2"/>
        <w:ind w:left="720" w:hanging="735"/>
      </w:pPr>
      <w:r>
        <w:t>Research Gaps</w:t>
      </w:r>
    </w:p>
    <w:p w:rsidR="00EA1C16" w:rsidRDefault="00A73070">
      <w:pPr>
        <w:spacing w:after="445"/>
        <w:ind w:left="-5" w:right="1425"/>
      </w:pPr>
      <w:r>
        <w:t>Despite significant progress, several gaps persist in the literature, includi</w:t>
      </w:r>
      <w:r>
        <w:t>ng limited research on long-term forecasting, probabilistic forecasting with deep learning, and the generalizability of models across diverse geographic and climatic conditions.</w:t>
      </w:r>
    </w:p>
    <w:p w:rsidR="00EA1C16" w:rsidRDefault="00A73070">
      <w:pPr>
        <w:pStyle w:val="Heading2"/>
        <w:ind w:left="720" w:hanging="735"/>
      </w:pPr>
      <w:r>
        <w:t>Open Research Questions</w:t>
      </w:r>
    </w:p>
    <w:p w:rsidR="00EA1C16" w:rsidRDefault="00A73070">
      <w:pPr>
        <w:spacing w:line="259" w:lineRule="auto"/>
        <w:ind w:left="-5" w:right="1425"/>
      </w:pPr>
      <w:r>
        <w:t>Future research should address the following questions to advance the field:</w:t>
      </w:r>
    </w:p>
    <w:p w:rsidR="00EA1C16" w:rsidRDefault="00A73070">
      <w:pPr>
        <w:spacing w:line="259" w:lineRule="auto"/>
        <w:ind w:left="2913" w:right="1425"/>
      </w:pPr>
      <w:r>
        <w:t>Table 3: Research Gaps Matrix</w:t>
      </w:r>
    </w:p>
    <w:tbl>
      <w:tblPr>
        <w:tblStyle w:val="TableGrid"/>
        <w:tblW w:w="9322" w:type="dxa"/>
        <w:tblInd w:w="0" w:type="dxa"/>
        <w:tblCellMar>
          <w:top w:w="39" w:type="dxa"/>
          <w:left w:w="0" w:type="dxa"/>
          <w:bottom w:w="0" w:type="dxa"/>
          <w:right w:w="120" w:type="dxa"/>
        </w:tblCellMar>
        <w:tblLook w:val="04A0" w:firstRow="1" w:lastRow="0" w:firstColumn="1" w:lastColumn="0" w:noHBand="0" w:noVBand="1"/>
      </w:tblPr>
      <w:tblGrid>
        <w:gridCol w:w="2059"/>
        <w:gridCol w:w="1453"/>
        <w:gridCol w:w="1389"/>
        <w:gridCol w:w="1627"/>
        <w:gridCol w:w="1020"/>
        <w:gridCol w:w="1774"/>
      </w:tblGrid>
      <w:tr w:rsidR="00EA1C16">
        <w:trPr>
          <w:trHeight w:val="665"/>
        </w:trPr>
        <w:tc>
          <w:tcPr>
            <w:tcW w:w="2059" w:type="dxa"/>
            <w:tcBorders>
              <w:top w:val="single" w:sz="7" w:space="0" w:color="000000"/>
              <w:left w:val="nil"/>
              <w:bottom w:val="single" w:sz="5" w:space="0" w:color="000000"/>
              <w:right w:val="nil"/>
            </w:tcBorders>
          </w:tcPr>
          <w:p w:rsidR="00EA1C16" w:rsidRDefault="00A73070">
            <w:pPr>
              <w:tabs>
                <w:tab w:val="center" w:pos="1088"/>
                <w:tab w:val="right" w:pos="1940"/>
              </w:tabs>
              <w:spacing w:line="259" w:lineRule="auto"/>
              <w:ind w:left="0" w:right="0" w:firstLine="0"/>
              <w:jc w:val="left"/>
            </w:pPr>
            <w:r>
              <w:rPr>
                <w:b/>
                <w:sz w:val="22"/>
              </w:rPr>
              <w:t>Topic</w:t>
            </w:r>
            <w:r>
              <w:rPr>
                <w:b/>
                <w:sz w:val="22"/>
              </w:rPr>
              <w:tab/>
              <w:t>/</w:t>
            </w:r>
            <w:r>
              <w:rPr>
                <w:b/>
                <w:sz w:val="22"/>
              </w:rPr>
              <w:tab/>
              <w:t>At-</w:t>
            </w:r>
          </w:p>
          <w:p w:rsidR="00EA1C16" w:rsidRDefault="00A73070">
            <w:pPr>
              <w:spacing w:after="0" w:line="259" w:lineRule="auto"/>
              <w:ind w:left="120" w:right="0" w:firstLine="0"/>
              <w:jc w:val="left"/>
            </w:pPr>
            <w:r>
              <w:rPr>
                <w:b/>
                <w:sz w:val="22"/>
              </w:rPr>
              <w:t>tribute</w:t>
            </w:r>
          </w:p>
        </w:tc>
        <w:tc>
          <w:tcPr>
            <w:tcW w:w="1453" w:type="dxa"/>
            <w:tcBorders>
              <w:top w:val="single" w:sz="7" w:space="0" w:color="000000"/>
              <w:left w:val="nil"/>
              <w:bottom w:val="single" w:sz="5" w:space="0" w:color="000000"/>
              <w:right w:val="nil"/>
            </w:tcBorders>
          </w:tcPr>
          <w:p w:rsidR="00EA1C16" w:rsidRDefault="00A73070">
            <w:pPr>
              <w:spacing w:after="0" w:line="259" w:lineRule="auto"/>
              <w:ind w:left="0" w:right="0" w:firstLine="0"/>
              <w:jc w:val="left"/>
            </w:pPr>
            <w:r>
              <w:rPr>
                <w:b/>
                <w:sz w:val="22"/>
              </w:rPr>
              <w:t>Short-term</w:t>
            </w:r>
          </w:p>
        </w:tc>
        <w:tc>
          <w:tcPr>
            <w:tcW w:w="1389" w:type="dxa"/>
            <w:tcBorders>
              <w:top w:val="single" w:sz="7" w:space="0" w:color="000000"/>
              <w:left w:val="nil"/>
              <w:bottom w:val="single" w:sz="5" w:space="0" w:color="000000"/>
              <w:right w:val="nil"/>
            </w:tcBorders>
          </w:tcPr>
          <w:p w:rsidR="00EA1C16" w:rsidRDefault="00A73070">
            <w:pPr>
              <w:spacing w:after="0" w:line="259" w:lineRule="auto"/>
              <w:ind w:left="0" w:right="0" w:firstLine="0"/>
              <w:jc w:val="left"/>
            </w:pPr>
            <w:r>
              <w:rPr>
                <w:b/>
                <w:sz w:val="22"/>
              </w:rPr>
              <w:t>Long-term</w:t>
            </w:r>
          </w:p>
        </w:tc>
        <w:tc>
          <w:tcPr>
            <w:tcW w:w="1627" w:type="dxa"/>
            <w:tcBorders>
              <w:top w:val="single" w:sz="7" w:space="0" w:color="000000"/>
              <w:left w:val="nil"/>
              <w:bottom w:val="single" w:sz="5" w:space="0" w:color="000000"/>
              <w:right w:val="nil"/>
            </w:tcBorders>
          </w:tcPr>
          <w:p w:rsidR="00EA1C16" w:rsidRDefault="00A73070">
            <w:pPr>
              <w:spacing w:after="0" w:line="259" w:lineRule="auto"/>
              <w:ind w:left="0" w:right="0" w:firstLine="0"/>
              <w:jc w:val="left"/>
            </w:pPr>
            <w:r>
              <w:rPr>
                <w:b/>
                <w:sz w:val="22"/>
              </w:rPr>
              <w:t>Probabilistic</w:t>
            </w:r>
          </w:p>
        </w:tc>
        <w:tc>
          <w:tcPr>
            <w:tcW w:w="1020" w:type="dxa"/>
            <w:tcBorders>
              <w:top w:val="single" w:sz="7" w:space="0" w:color="000000"/>
              <w:left w:val="nil"/>
              <w:bottom w:val="single" w:sz="5" w:space="0" w:color="000000"/>
              <w:right w:val="nil"/>
            </w:tcBorders>
          </w:tcPr>
          <w:p w:rsidR="00EA1C16" w:rsidRDefault="00A73070">
            <w:pPr>
              <w:spacing w:after="0" w:line="259" w:lineRule="auto"/>
              <w:ind w:left="0" w:right="0" w:firstLine="0"/>
              <w:jc w:val="left"/>
            </w:pPr>
            <w:r>
              <w:rPr>
                <w:b/>
                <w:sz w:val="22"/>
              </w:rPr>
              <w:t>Hybrid</w:t>
            </w:r>
          </w:p>
        </w:tc>
        <w:tc>
          <w:tcPr>
            <w:tcW w:w="1774" w:type="dxa"/>
            <w:tcBorders>
              <w:top w:val="single" w:sz="7" w:space="0" w:color="000000"/>
              <w:left w:val="nil"/>
              <w:bottom w:val="single" w:sz="5" w:space="0" w:color="000000"/>
              <w:right w:val="nil"/>
            </w:tcBorders>
          </w:tcPr>
          <w:p w:rsidR="00EA1C16" w:rsidRDefault="00A73070">
            <w:pPr>
              <w:spacing w:after="0" w:line="259" w:lineRule="auto"/>
              <w:ind w:left="0" w:right="0" w:firstLine="0"/>
            </w:pPr>
            <w:r>
              <w:rPr>
                <w:b/>
                <w:sz w:val="22"/>
              </w:rPr>
              <w:t>Weather Class.</w:t>
            </w:r>
          </w:p>
        </w:tc>
      </w:tr>
      <w:tr w:rsidR="00EA1C16">
        <w:trPr>
          <w:trHeight w:val="343"/>
        </w:trPr>
        <w:tc>
          <w:tcPr>
            <w:tcW w:w="2059" w:type="dxa"/>
            <w:tcBorders>
              <w:top w:val="single" w:sz="5" w:space="0" w:color="000000"/>
              <w:left w:val="nil"/>
              <w:bottom w:val="nil"/>
              <w:right w:val="nil"/>
            </w:tcBorders>
          </w:tcPr>
          <w:p w:rsidR="00EA1C16" w:rsidRDefault="00A73070">
            <w:pPr>
              <w:spacing w:after="0" w:line="259" w:lineRule="auto"/>
              <w:ind w:left="120" w:right="0" w:firstLine="0"/>
              <w:jc w:val="left"/>
            </w:pPr>
            <w:r>
              <w:rPr>
                <w:sz w:val="22"/>
              </w:rPr>
              <w:t>Solar Energy</w:t>
            </w:r>
          </w:p>
        </w:tc>
        <w:tc>
          <w:tcPr>
            <w:tcW w:w="1453" w:type="dxa"/>
            <w:tcBorders>
              <w:top w:val="single" w:sz="5" w:space="0" w:color="000000"/>
              <w:left w:val="nil"/>
              <w:bottom w:val="nil"/>
              <w:right w:val="nil"/>
            </w:tcBorders>
          </w:tcPr>
          <w:p w:rsidR="00EA1C16" w:rsidRDefault="00A73070">
            <w:pPr>
              <w:spacing w:after="0" w:line="259" w:lineRule="auto"/>
              <w:ind w:left="498" w:right="0" w:firstLine="0"/>
              <w:jc w:val="left"/>
            </w:pPr>
            <w:r>
              <w:rPr>
                <w:sz w:val="22"/>
              </w:rPr>
              <w:t>18</w:t>
            </w:r>
          </w:p>
        </w:tc>
        <w:tc>
          <w:tcPr>
            <w:tcW w:w="1389" w:type="dxa"/>
            <w:tcBorders>
              <w:top w:val="single" w:sz="5" w:space="0" w:color="000000"/>
              <w:left w:val="nil"/>
              <w:bottom w:val="nil"/>
              <w:right w:val="nil"/>
            </w:tcBorders>
          </w:tcPr>
          <w:p w:rsidR="00EA1C16" w:rsidRDefault="00A73070">
            <w:pPr>
              <w:spacing w:after="0" w:line="259" w:lineRule="auto"/>
              <w:ind w:left="520" w:right="0" w:firstLine="0"/>
              <w:jc w:val="left"/>
            </w:pPr>
            <w:r>
              <w:rPr>
                <w:sz w:val="22"/>
              </w:rPr>
              <w:t>3</w:t>
            </w:r>
          </w:p>
        </w:tc>
        <w:tc>
          <w:tcPr>
            <w:tcW w:w="1627" w:type="dxa"/>
            <w:tcBorders>
              <w:top w:val="single" w:sz="5" w:space="0" w:color="000000"/>
              <w:left w:val="nil"/>
              <w:bottom w:val="nil"/>
              <w:right w:val="nil"/>
            </w:tcBorders>
          </w:tcPr>
          <w:p w:rsidR="00EA1C16" w:rsidRDefault="00A73070">
            <w:pPr>
              <w:spacing w:after="0" w:line="259" w:lineRule="auto"/>
              <w:ind w:left="639" w:right="0" w:firstLine="0"/>
              <w:jc w:val="left"/>
            </w:pPr>
            <w:r>
              <w:rPr>
                <w:sz w:val="22"/>
              </w:rPr>
              <w:t>2</w:t>
            </w:r>
          </w:p>
        </w:tc>
        <w:tc>
          <w:tcPr>
            <w:tcW w:w="1020" w:type="dxa"/>
            <w:tcBorders>
              <w:top w:val="single" w:sz="5" w:space="0" w:color="000000"/>
              <w:left w:val="nil"/>
              <w:bottom w:val="nil"/>
              <w:right w:val="nil"/>
            </w:tcBorders>
          </w:tcPr>
          <w:p w:rsidR="00EA1C16" w:rsidRDefault="00A73070">
            <w:pPr>
              <w:spacing w:after="0" w:line="259" w:lineRule="auto"/>
              <w:ind w:left="336" w:right="0" w:firstLine="0"/>
              <w:jc w:val="left"/>
            </w:pPr>
            <w:r>
              <w:rPr>
                <w:sz w:val="22"/>
              </w:rPr>
              <w:t>7</w:t>
            </w:r>
          </w:p>
        </w:tc>
        <w:tc>
          <w:tcPr>
            <w:tcW w:w="1774" w:type="dxa"/>
            <w:tcBorders>
              <w:top w:val="single" w:sz="5" w:space="0" w:color="000000"/>
              <w:left w:val="nil"/>
              <w:bottom w:val="nil"/>
              <w:right w:val="nil"/>
            </w:tcBorders>
          </w:tcPr>
          <w:p w:rsidR="00EA1C16" w:rsidRDefault="00A73070">
            <w:pPr>
              <w:spacing w:after="0" w:line="259" w:lineRule="auto"/>
              <w:ind w:left="0" w:right="0" w:firstLine="0"/>
              <w:jc w:val="center"/>
            </w:pPr>
            <w:r>
              <w:rPr>
                <w:sz w:val="22"/>
              </w:rPr>
              <w:t>15</w:t>
            </w:r>
          </w:p>
        </w:tc>
      </w:tr>
      <w:tr w:rsidR="00EA1C16">
        <w:trPr>
          <w:trHeight w:val="271"/>
        </w:trPr>
        <w:tc>
          <w:tcPr>
            <w:tcW w:w="2059" w:type="dxa"/>
            <w:tcBorders>
              <w:top w:val="nil"/>
              <w:left w:val="nil"/>
              <w:bottom w:val="nil"/>
              <w:right w:val="nil"/>
            </w:tcBorders>
          </w:tcPr>
          <w:p w:rsidR="00EA1C16" w:rsidRDefault="00A73070">
            <w:pPr>
              <w:spacing w:after="0" w:line="259" w:lineRule="auto"/>
              <w:ind w:left="120" w:right="0" w:firstLine="0"/>
              <w:jc w:val="left"/>
            </w:pPr>
            <w:r>
              <w:rPr>
                <w:sz w:val="22"/>
              </w:rPr>
              <w:t>Wind Energy</w:t>
            </w:r>
          </w:p>
        </w:tc>
        <w:tc>
          <w:tcPr>
            <w:tcW w:w="1453" w:type="dxa"/>
            <w:tcBorders>
              <w:top w:val="nil"/>
              <w:left w:val="nil"/>
              <w:bottom w:val="nil"/>
              <w:right w:val="nil"/>
            </w:tcBorders>
          </w:tcPr>
          <w:p w:rsidR="00EA1C16" w:rsidRDefault="00A73070">
            <w:pPr>
              <w:spacing w:after="0" w:line="259" w:lineRule="auto"/>
              <w:ind w:left="498" w:right="0" w:firstLine="0"/>
              <w:jc w:val="left"/>
            </w:pPr>
            <w:r>
              <w:rPr>
                <w:sz w:val="22"/>
              </w:rPr>
              <w:t>16</w:t>
            </w:r>
          </w:p>
        </w:tc>
        <w:tc>
          <w:tcPr>
            <w:tcW w:w="1389" w:type="dxa"/>
            <w:tcBorders>
              <w:top w:val="nil"/>
              <w:left w:val="nil"/>
              <w:bottom w:val="nil"/>
              <w:right w:val="nil"/>
            </w:tcBorders>
          </w:tcPr>
          <w:p w:rsidR="00EA1C16" w:rsidRDefault="00A73070">
            <w:pPr>
              <w:spacing w:after="0" w:line="259" w:lineRule="auto"/>
              <w:ind w:left="520" w:right="0" w:firstLine="0"/>
              <w:jc w:val="left"/>
            </w:pPr>
            <w:r>
              <w:rPr>
                <w:sz w:val="22"/>
              </w:rPr>
              <w:t>2</w:t>
            </w:r>
          </w:p>
        </w:tc>
        <w:tc>
          <w:tcPr>
            <w:tcW w:w="1627" w:type="dxa"/>
            <w:tcBorders>
              <w:top w:val="nil"/>
              <w:left w:val="nil"/>
              <w:bottom w:val="nil"/>
              <w:right w:val="nil"/>
            </w:tcBorders>
          </w:tcPr>
          <w:p w:rsidR="00EA1C16" w:rsidRDefault="00A73070">
            <w:pPr>
              <w:spacing w:after="0" w:line="259" w:lineRule="auto"/>
              <w:ind w:left="639" w:right="0" w:firstLine="0"/>
              <w:jc w:val="left"/>
            </w:pPr>
            <w:r>
              <w:rPr>
                <w:sz w:val="22"/>
              </w:rPr>
              <w:t>3</w:t>
            </w:r>
          </w:p>
        </w:tc>
        <w:tc>
          <w:tcPr>
            <w:tcW w:w="1020" w:type="dxa"/>
            <w:tcBorders>
              <w:top w:val="nil"/>
              <w:left w:val="nil"/>
              <w:bottom w:val="nil"/>
              <w:right w:val="nil"/>
            </w:tcBorders>
          </w:tcPr>
          <w:p w:rsidR="00EA1C16" w:rsidRDefault="00A73070">
            <w:pPr>
              <w:spacing w:after="0" w:line="259" w:lineRule="auto"/>
              <w:ind w:left="336" w:right="0" w:firstLine="0"/>
              <w:jc w:val="left"/>
            </w:pPr>
            <w:r>
              <w:rPr>
                <w:sz w:val="22"/>
              </w:rPr>
              <w:t>6</w:t>
            </w:r>
          </w:p>
        </w:tc>
        <w:tc>
          <w:tcPr>
            <w:tcW w:w="1774" w:type="dxa"/>
            <w:tcBorders>
              <w:top w:val="nil"/>
              <w:left w:val="nil"/>
              <w:bottom w:val="nil"/>
              <w:right w:val="nil"/>
            </w:tcBorders>
          </w:tcPr>
          <w:p w:rsidR="00EA1C16" w:rsidRDefault="00A73070">
            <w:pPr>
              <w:spacing w:after="0" w:line="259" w:lineRule="auto"/>
              <w:ind w:left="0" w:right="0" w:firstLine="0"/>
              <w:jc w:val="center"/>
            </w:pPr>
            <w:r>
              <w:rPr>
                <w:sz w:val="22"/>
              </w:rPr>
              <w:t>13</w:t>
            </w:r>
          </w:p>
        </w:tc>
      </w:tr>
      <w:tr w:rsidR="00EA1C16">
        <w:trPr>
          <w:trHeight w:val="542"/>
        </w:trPr>
        <w:tc>
          <w:tcPr>
            <w:tcW w:w="2059" w:type="dxa"/>
            <w:tcBorders>
              <w:top w:val="nil"/>
              <w:left w:val="nil"/>
              <w:bottom w:val="nil"/>
              <w:right w:val="nil"/>
            </w:tcBorders>
          </w:tcPr>
          <w:p w:rsidR="00EA1C16" w:rsidRDefault="00A73070">
            <w:pPr>
              <w:spacing w:after="0" w:line="259" w:lineRule="auto"/>
              <w:ind w:left="120" w:right="0" w:firstLine="0"/>
              <w:jc w:val="left"/>
            </w:pPr>
            <w:r>
              <w:rPr>
                <w:sz w:val="22"/>
              </w:rPr>
              <w:t>Hybrid (Solar +</w:t>
            </w:r>
          </w:p>
          <w:p w:rsidR="00EA1C16" w:rsidRDefault="00A73070">
            <w:pPr>
              <w:spacing w:after="0" w:line="259" w:lineRule="auto"/>
              <w:ind w:left="120" w:right="0" w:firstLine="0"/>
              <w:jc w:val="left"/>
            </w:pPr>
            <w:r>
              <w:rPr>
                <w:sz w:val="22"/>
              </w:rPr>
              <w:t>Wind)</w:t>
            </w:r>
          </w:p>
        </w:tc>
        <w:tc>
          <w:tcPr>
            <w:tcW w:w="1453" w:type="dxa"/>
            <w:tcBorders>
              <w:top w:val="nil"/>
              <w:left w:val="nil"/>
              <w:bottom w:val="nil"/>
              <w:right w:val="nil"/>
            </w:tcBorders>
          </w:tcPr>
          <w:p w:rsidR="00EA1C16" w:rsidRDefault="00A73070">
            <w:pPr>
              <w:spacing w:after="0" w:line="259" w:lineRule="auto"/>
              <w:ind w:left="552" w:right="0" w:firstLine="0"/>
              <w:jc w:val="left"/>
            </w:pPr>
            <w:r>
              <w:rPr>
                <w:sz w:val="22"/>
              </w:rPr>
              <w:t>4</w:t>
            </w:r>
          </w:p>
        </w:tc>
        <w:tc>
          <w:tcPr>
            <w:tcW w:w="1389" w:type="dxa"/>
            <w:tcBorders>
              <w:top w:val="nil"/>
              <w:left w:val="nil"/>
              <w:bottom w:val="nil"/>
              <w:right w:val="nil"/>
            </w:tcBorders>
          </w:tcPr>
          <w:p w:rsidR="00EA1C16" w:rsidRDefault="00A73070">
            <w:pPr>
              <w:spacing w:after="0" w:line="259" w:lineRule="auto"/>
              <w:ind w:left="520" w:right="0" w:firstLine="0"/>
              <w:jc w:val="left"/>
            </w:pPr>
            <w:r>
              <w:rPr>
                <w:sz w:val="22"/>
              </w:rPr>
              <w:t>1</w:t>
            </w:r>
          </w:p>
        </w:tc>
        <w:tc>
          <w:tcPr>
            <w:tcW w:w="1627" w:type="dxa"/>
            <w:tcBorders>
              <w:top w:val="nil"/>
              <w:left w:val="nil"/>
              <w:bottom w:val="nil"/>
              <w:right w:val="nil"/>
            </w:tcBorders>
          </w:tcPr>
          <w:p w:rsidR="00EA1C16" w:rsidRDefault="00A73070">
            <w:pPr>
              <w:spacing w:after="0" w:line="259" w:lineRule="auto"/>
              <w:ind w:left="639" w:right="0" w:firstLine="0"/>
              <w:jc w:val="left"/>
            </w:pPr>
            <w:r>
              <w:rPr>
                <w:sz w:val="22"/>
              </w:rPr>
              <w:t>1</w:t>
            </w:r>
          </w:p>
        </w:tc>
        <w:tc>
          <w:tcPr>
            <w:tcW w:w="1020" w:type="dxa"/>
            <w:tcBorders>
              <w:top w:val="nil"/>
              <w:left w:val="nil"/>
              <w:bottom w:val="nil"/>
              <w:right w:val="nil"/>
            </w:tcBorders>
          </w:tcPr>
          <w:p w:rsidR="00EA1C16" w:rsidRDefault="00A73070">
            <w:pPr>
              <w:spacing w:after="0" w:line="259" w:lineRule="auto"/>
              <w:ind w:left="336" w:right="0" w:firstLine="0"/>
              <w:jc w:val="left"/>
            </w:pPr>
            <w:r>
              <w:rPr>
                <w:sz w:val="22"/>
              </w:rPr>
              <w:t>2</w:t>
            </w:r>
          </w:p>
        </w:tc>
        <w:tc>
          <w:tcPr>
            <w:tcW w:w="1774" w:type="dxa"/>
            <w:tcBorders>
              <w:top w:val="nil"/>
              <w:left w:val="nil"/>
              <w:bottom w:val="nil"/>
              <w:right w:val="nil"/>
            </w:tcBorders>
          </w:tcPr>
          <w:p w:rsidR="00EA1C16" w:rsidRDefault="00A73070">
            <w:pPr>
              <w:spacing w:after="0" w:line="259" w:lineRule="auto"/>
              <w:ind w:left="0" w:right="0" w:firstLine="0"/>
              <w:jc w:val="center"/>
            </w:pPr>
            <w:r>
              <w:rPr>
                <w:sz w:val="22"/>
              </w:rPr>
              <w:t>3</w:t>
            </w:r>
          </w:p>
        </w:tc>
      </w:tr>
      <w:tr w:rsidR="00EA1C16">
        <w:trPr>
          <w:trHeight w:val="542"/>
        </w:trPr>
        <w:tc>
          <w:tcPr>
            <w:tcW w:w="2059" w:type="dxa"/>
            <w:tcBorders>
              <w:top w:val="nil"/>
              <w:left w:val="nil"/>
              <w:bottom w:val="nil"/>
              <w:right w:val="nil"/>
            </w:tcBorders>
          </w:tcPr>
          <w:p w:rsidR="00EA1C16" w:rsidRDefault="00A73070">
            <w:pPr>
              <w:tabs>
                <w:tab w:val="right" w:pos="1940"/>
              </w:tabs>
              <w:spacing w:line="259" w:lineRule="auto"/>
              <w:ind w:left="0" w:right="0" w:firstLine="0"/>
              <w:jc w:val="left"/>
            </w:pPr>
            <w:r>
              <w:rPr>
                <w:sz w:val="22"/>
              </w:rPr>
              <w:t>Building</w:t>
            </w:r>
            <w:r>
              <w:rPr>
                <w:sz w:val="22"/>
              </w:rPr>
              <w:tab/>
              <w:t>Energy</w:t>
            </w:r>
          </w:p>
          <w:p w:rsidR="00EA1C16" w:rsidRDefault="00A73070">
            <w:pPr>
              <w:spacing w:after="0" w:line="259" w:lineRule="auto"/>
              <w:ind w:left="120" w:right="0" w:firstLine="0"/>
              <w:jc w:val="left"/>
            </w:pPr>
            <w:r>
              <w:rPr>
                <w:sz w:val="22"/>
              </w:rPr>
              <w:t>Consumption</w:t>
            </w:r>
          </w:p>
        </w:tc>
        <w:tc>
          <w:tcPr>
            <w:tcW w:w="1453" w:type="dxa"/>
            <w:tcBorders>
              <w:top w:val="nil"/>
              <w:left w:val="nil"/>
              <w:bottom w:val="nil"/>
              <w:right w:val="nil"/>
            </w:tcBorders>
          </w:tcPr>
          <w:p w:rsidR="00EA1C16" w:rsidRDefault="00A73070">
            <w:pPr>
              <w:spacing w:after="0" w:line="259" w:lineRule="auto"/>
              <w:ind w:left="552" w:right="0" w:firstLine="0"/>
              <w:jc w:val="left"/>
            </w:pPr>
            <w:r>
              <w:rPr>
                <w:sz w:val="22"/>
              </w:rPr>
              <w:t>2</w:t>
            </w:r>
          </w:p>
        </w:tc>
        <w:tc>
          <w:tcPr>
            <w:tcW w:w="1389" w:type="dxa"/>
            <w:tcBorders>
              <w:top w:val="nil"/>
              <w:left w:val="nil"/>
              <w:bottom w:val="nil"/>
              <w:right w:val="nil"/>
            </w:tcBorders>
          </w:tcPr>
          <w:p w:rsidR="00EA1C16" w:rsidRDefault="00A73070">
            <w:pPr>
              <w:spacing w:after="0" w:line="259" w:lineRule="auto"/>
              <w:ind w:left="520" w:right="0" w:firstLine="0"/>
              <w:jc w:val="left"/>
            </w:pPr>
            <w:r>
              <w:rPr>
                <w:sz w:val="22"/>
              </w:rPr>
              <w:t>1</w:t>
            </w:r>
          </w:p>
        </w:tc>
        <w:tc>
          <w:tcPr>
            <w:tcW w:w="1627" w:type="dxa"/>
            <w:tcBorders>
              <w:top w:val="nil"/>
              <w:left w:val="nil"/>
              <w:bottom w:val="nil"/>
              <w:right w:val="nil"/>
            </w:tcBorders>
          </w:tcPr>
          <w:p w:rsidR="00EA1C16" w:rsidRDefault="00A73070">
            <w:pPr>
              <w:spacing w:after="0" w:line="259" w:lineRule="auto"/>
              <w:ind w:left="452" w:right="0" w:firstLine="0"/>
              <w:jc w:val="left"/>
            </w:pPr>
            <w:r>
              <w:rPr>
                <w:sz w:val="22"/>
              </w:rPr>
              <w:t>GAP</w:t>
            </w:r>
          </w:p>
        </w:tc>
        <w:tc>
          <w:tcPr>
            <w:tcW w:w="1020" w:type="dxa"/>
            <w:tcBorders>
              <w:top w:val="nil"/>
              <w:left w:val="nil"/>
              <w:bottom w:val="nil"/>
              <w:right w:val="nil"/>
            </w:tcBorders>
          </w:tcPr>
          <w:p w:rsidR="00EA1C16" w:rsidRDefault="00A73070">
            <w:pPr>
              <w:spacing w:after="0" w:line="259" w:lineRule="auto"/>
              <w:ind w:left="336" w:right="0" w:firstLine="0"/>
              <w:jc w:val="left"/>
            </w:pPr>
            <w:r>
              <w:rPr>
                <w:sz w:val="22"/>
              </w:rPr>
              <w:t>1</w:t>
            </w:r>
          </w:p>
        </w:tc>
        <w:tc>
          <w:tcPr>
            <w:tcW w:w="1774" w:type="dxa"/>
            <w:tcBorders>
              <w:top w:val="nil"/>
              <w:left w:val="nil"/>
              <w:bottom w:val="nil"/>
              <w:right w:val="nil"/>
            </w:tcBorders>
          </w:tcPr>
          <w:p w:rsidR="00EA1C16" w:rsidRDefault="00A73070">
            <w:pPr>
              <w:spacing w:after="0" w:line="259" w:lineRule="auto"/>
              <w:ind w:left="0" w:right="0" w:firstLine="0"/>
              <w:jc w:val="center"/>
            </w:pPr>
            <w:r>
              <w:rPr>
                <w:sz w:val="22"/>
              </w:rPr>
              <w:t>2</w:t>
            </w:r>
          </w:p>
        </w:tc>
      </w:tr>
      <w:tr w:rsidR="00EA1C16">
        <w:trPr>
          <w:trHeight w:val="593"/>
        </w:trPr>
        <w:tc>
          <w:tcPr>
            <w:tcW w:w="2059" w:type="dxa"/>
            <w:tcBorders>
              <w:top w:val="nil"/>
              <w:left w:val="nil"/>
              <w:bottom w:val="single" w:sz="7" w:space="0" w:color="000000"/>
              <w:right w:val="nil"/>
            </w:tcBorders>
          </w:tcPr>
          <w:p w:rsidR="00EA1C16" w:rsidRDefault="00A73070">
            <w:pPr>
              <w:tabs>
                <w:tab w:val="right" w:pos="1940"/>
              </w:tabs>
              <w:spacing w:line="259" w:lineRule="auto"/>
              <w:ind w:left="0" w:right="0" w:firstLine="0"/>
              <w:jc w:val="left"/>
            </w:pPr>
            <w:r>
              <w:rPr>
                <w:sz w:val="22"/>
              </w:rPr>
              <w:t>General</w:t>
            </w:r>
            <w:r>
              <w:rPr>
                <w:sz w:val="22"/>
              </w:rPr>
              <w:tab/>
              <w:t>Energy</w:t>
            </w:r>
          </w:p>
          <w:p w:rsidR="00EA1C16" w:rsidRDefault="00A73070">
            <w:pPr>
              <w:spacing w:after="0" w:line="259" w:lineRule="auto"/>
              <w:ind w:left="120" w:right="0" w:firstLine="0"/>
              <w:jc w:val="left"/>
            </w:pPr>
            <w:r>
              <w:rPr>
                <w:sz w:val="22"/>
              </w:rPr>
              <w:t>Systems</w:t>
            </w:r>
          </w:p>
        </w:tc>
        <w:tc>
          <w:tcPr>
            <w:tcW w:w="1453" w:type="dxa"/>
            <w:tcBorders>
              <w:top w:val="nil"/>
              <w:left w:val="nil"/>
              <w:bottom w:val="single" w:sz="7" w:space="0" w:color="000000"/>
              <w:right w:val="nil"/>
            </w:tcBorders>
          </w:tcPr>
          <w:p w:rsidR="00EA1C16" w:rsidRDefault="00A73070">
            <w:pPr>
              <w:spacing w:after="0" w:line="259" w:lineRule="auto"/>
              <w:ind w:left="552" w:right="0" w:firstLine="0"/>
              <w:jc w:val="left"/>
            </w:pPr>
            <w:r>
              <w:rPr>
                <w:sz w:val="22"/>
              </w:rPr>
              <w:t>5</w:t>
            </w:r>
          </w:p>
        </w:tc>
        <w:tc>
          <w:tcPr>
            <w:tcW w:w="1389" w:type="dxa"/>
            <w:tcBorders>
              <w:top w:val="nil"/>
              <w:left w:val="nil"/>
              <w:bottom w:val="single" w:sz="7" w:space="0" w:color="000000"/>
              <w:right w:val="nil"/>
            </w:tcBorders>
          </w:tcPr>
          <w:p w:rsidR="00EA1C16" w:rsidRDefault="00A73070">
            <w:pPr>
              <w:spacing w:after="0" w:line="259" w:lineRule="auto"/>
              <w:ind w:left="520" w:right="0" w:firstLine="0"/>
              <w:jc w:val="left"/>
            </w:pPr>
            <w:r>
              <w:rPr>
                <w:sz w:val="22"/>
              </w:rPr>
              <w:t>2</w:t>
            </w:r>
          </w:p>
        </w:tc>
        <w:tc>
          <w:tcPr>
            <w:tcW w:w="1627" w:type="dxa"/>
            <w:tcBorders>
              <w:top w:val="nil"/>
              <w:left w:val="nil"/>
              <w:bottom w:val="single" w:sz="7" w:space="0" w:color="000000"/>
              <w:right w:val="nil"/>
            </w:tcBorders>
          </w:tcPr>
          <w:p w:rsidR="00EA1C16" w:rsidRDefault="00A73070">
            <w:pPr>
              <w:spacing w:after="0" w:line="259" w:lineRule="auto"/>
              <w:ind w:left="639" w:right="0" w:firstLine="0"/>
              <w:jc w:val="left"/>
            </w:pPr>
            <w:r>
              <w:rPr>
                <w:sz w:val="22"/>
              </w:rPr>
              <w:t>1</w:t>
            </w:r>
          </w:p>
        </w:tc>
        <w:tc>
          <w:tcPr>
            <w:tcW w:w="1020" w:type="dxa"/>
            <w:tcBorders>
              <w:top w:val="nil"/>
              <w:left w:val="nil"/>
              <w:bottom w:val="single" w:sz="7" w:space="0" w:color="000000"/>
              <w:right w:val="nil"/>
            </w:tcBorders>
          </w:tcPr>
          <w:p w:rsidR="00EA1C16" w:rsidRDefault="00A73070">
            <w:pPr>
              <w:spacing w:after="0" w:line="259" w:lineRule="auto"/>
              <w:ind w:left="336" w:right="0" w:firstLine="0"/>
              <w:jc w:val="left"/>
            </w:pPr>
            <w:r>
              <w:rPr>
                <w:sz w:val="22"/>
              </w:rPr>
              <w:t>3</w:t>
            </w:r>
          </w:p>
        </w:tc>
        <w:tc>
          <w:tcPr>
            <w:tcW w:w="1774" w:type="dxa"/>
            <w:tcBorders>
              <w:top w:val="nil"/>
              <w:left w:val="nil"/>
              <w:bottom w:val="single" w:sz="7" w:space="0" w:color="000000"/>
              <w:right w:val="nil"/>
            </w:tcBorders>
          </w:tcPr>
          <w:p w:rsidR="00EA1C16" w:rsidRDefault="00A73070">
            <w:pPr>
              <w:spacing w:after="0" w:line="259" w:lineRule="auto"/>
              <w:ind w:left="0" w:right="0" w:firstLine="0"/>
              <w:jc w:val="center"/>
            </w:pPr>
            <w:r>
              <w:rPr>
                <w:sz w:val="22"/>
              </w:rPr>
              <w:t>4</w:t>
            </w:r>
          </w:p>
        </w:tc>
      </w:tr>
    </w:tbl>
    <w:p w:rsidR="00EA1C16" w:rsidRDefault="00A73070">
      <w:pPr>
        <w:spacing w:line="259" w:lineRule="auto"/>
        <w:ind w:left="2747" w:right="1425"/>
      </w:pPr>
      <w:r>
        <w:t>Table 4: Open Research Questions</w:t>
      </w:r>
    </w:p>
    <w:tbl>
      <w:tblPr>
        <w:tblStyle w:val="TableGrid"/>
        <w:tblW w:w="8415" w:type="dxa"/>
        <w:tblInd w:w="305" w:type="dxa"/>
        <w:tblCellMar>
          <w:top w:w="39" w:type="dxa"/>
          <w:left w:w="0" w:type="dxa"/>
          <w:bottom w:w="0" w:type="dxa"/>
          <w:right w:w="120" w:type="dxa"/>
        </w:tblCellMar>
        <w:tblLook w:val="04A0" w:firstRow="1" w:lastRow="0" w:firstColumn="1" w:lastColumn="0" w:noHBand="0" w:noVBand="1"/>
      </w:tblPr>
      <w:tblGrid>
        <w:gridCol w:w="4327"/>
        <w:gridCol w:w="4088"/>
      </w:tblGrid>
      <w:tr w:rsidR="00EA1C16">
        <w:trPr>
          <w:trHeight w:val="394"/>
        </w:trPr>
        <w:tc>
          <w:tcPr>
            <w:tcW w:w="4327" w:type="dxa"/>
            <w:tcBorders>
              <w:top w:val="single" w:sz="7" w:space="0" w:color="000000"/>
              <w:left w:val="nil"/>
              <w:bottom w:val="single" w:sz="5" w:space="0" w:color="000000"/>
              <w:right w:val="nil"/>
            </w:tcBorders>
          </w:tcPr>
          <w:p w:rsidR="00EA1C16" w:rsidRDefault="00A73070">
            <w:pPr>
              <w:spacing w:after="0" w:line="259" w:lineRule="auto"/>
              <w:ind w:left="120" w:right="0" w:firstLine="0"/>
              <w:jc w:val="left"/>
            </w:pPr>
            <w:r>
              <w:rPr>
                <w:b/>
                <w:sz w:val="22"/>
              </w:rPr>
              <w:t>Question</w:t>
            </w:r>
          </w:p>
        </w:tc>
        <w:tc>
          <w:tcPr>
            <w:tcW w:w="4088" w:type="dxa"/>
            <w:tcBorders>
              <w:top w:val="single" w:sz="7" w:space="0" w:color="000000"/>
              <w:left w:val="nil"/>
              <w:bottom w:val="single" w:sz="5" w:space="0" w:color="000000"/>
              <w:right w:val="nil"/>
            </w:tcBorders>
          </w:tcPr>
          <w:p w:rsidR="00EA1C16" w:rsidRDefault="00A73070">
            <w:pPr>
              <w:spacing w:after="0" w:line="259" w:lineRule="auto"/>
              <w:ind w:left="0" w:right="0" w:firstLine="0"/>
              <w:jc w:val="left"/>
            </w:pPr>
            <w:r>
              <w:rPr>
                <w:b/>
                <w:sz w:val="22"/>
              </w:rPr>
              <w:t>Why</w:t>
            </w:r>
          </w:p>
        </w:tc>
      </w:tr>
      <w:tr w:rsidR="00EA1C16">
        <w:trPr>
          <w:trHeight w:val="885"/>
        </w:trPr>
        <w:tc>
          <w:tcPr>
            <w:tcW w:w="4327" w:type="dxa"/>
            <w:tcBorders>
              <w:top w:val="single" w:sz="5" w:space="0" w:color="000000"/>
              <w:left w:val="nil"/>
              <w:bottom w:val="nil"/>
              <w:right w:val="nil"/>
            </w:tcBorders>
          </w:tcPr>
          <w:p w:rsidR="00EA1C16" w:rsidRDefault="00A73070">
            <w:pPr>
              <w:spacing w:after="0" w:line="259" w:lineRule="auto"/>
              <w:ind w:left="120" w:right="120" w:firstLine="0"/>
            </w:pPr>
            <w:r>
              <w:rPr>
                <w:sz w:val="22"/>
              </w:rPr>
              <w:t>How can deep learning models be made more interpretable for operational use in energy forecasting?</w:t>
            </w:r>
          </w:p>
        </w:tc>
        <w:tc>
          <w:tcPr>
            <w:tcW w:w="4088" w:type="dxa"/>
            <w:tcBorders>
              <w:top w:val="single" w:sz="5" w:space="0" w:color="000000"/>
              <w:left w:val="nil"/>
              <w:bottom w:val="nil"/>
              <w:right w:val="nil"/>
            </w:tcBorders>
          </w:tcPr>
          <w:p w:rsidR="00EA1C16" w:rsidRDefault="00A73070">
            <w:pPr>
              <w:spacing w:after="0" w:line="259" w:lineRule="auto"/>
              <w:ind w:left="0" w:right="0" w:firstLine="0"/>
            </w:pPr>
            <w:r>
              <w:rPr>
                <w:sz w:val="22"/>
              </w:rPr>
              <w:t>Interpretability is crucial for adoption in grid operations and regulatory compliance.</w:t>
            </w:r>
          </w:p>
        </w:tc>
      </w:tr>
      <w:tr w:rsidR="00EA1C16">
        <w:trPr>
          <w:trHeight w:val="813"/>
        </w:trPr>
        <w:tc>
          <w:tcPr>
            <w:tcW w:w="4327" w:type="dxa"/>
            <w:tcBorders>
              <w:top w:val="nil"/>
              <w:left w:val="nil"/>
              <w:bottom w:val="nil"/>
              <w:right w:val="nil"/>
            </w:tcBorders>
          </w:tcPr>
          <w:p w:rsidR="00EA1C16" w:rsidRDefault="00A73070">
            <w:pPr>
              <w:spacing w:after="0" w:line="259" w:lineRule="auto"/>
              <w:ind w:left="120" w:right="120" w:firstLine="0"/>
            </w:pPr>
            <w:r>
              <w:rPr>
                <w:sz w:val="22"/>
              </w:rPr>
              <w:t>What are the best practices for probabilistic forecasting using deep learning with weather classification?</w:t>
            </w:r>
          </w:p>
        </w:tc>
        <w:tc>
          <w:tcPr>
            <w:tcW w:w="4088" w:type="dxa"/>
            <w:tcBorders>
              <w:top w:val="nil"/>
              <w:left w:val="nil"/>
              <w:bottom w:val="nil"/>
              <w:right w:val="nil"/>
            </w:tcBorders>
          </w:tcPr>
          <w:p w:rsidR="00EA1C16" w:rsidRDefault="00A73070">
            <w:pPr>
              <w:spacing w:after="0" w:line="259" w:lineRule="auto"/>
              <w:ind w:left="0" w:right="0" w:firstLine="0"/>
            </w:pPr>
            <w:r>
              <w:rPr>
                <w:sz w:val="22"/>
              </w:rPr>
              <w:t>Probabilistic forecasts are essential for risk management and decision-making in energy markets.</w:t>
            </w:r>
          </w:p>
        </w:tc>
      </w:tr>
      <w:tr w:rsidR="00EA1C16">
        <w:trPr>
          <w:trHeight w:val="864"/>
        </w:trPr>
        <w:tc>
          <w:tcPr>
            <w:tcW w:w="4327" w:type="dxa"/>
            <w:tcBorders>
              <w:top w:val="nil"/>
              <w:left w:val="nil"/>
              <w:bottom w:val="single" w:sz="7" w:space="0" w:color="000000"/>
              <w:right w:val="nil"/>
            </w:tcBorders>
          </w:tcPr>
          <w:p w:rsidR="00EA1C16" w:rsidRDefault="00A73070">
            <w:pPr>
              <w:spacing w:after="0" w:line="259" w:lineRule="auto"/>
              <w:ind w:left="120" w:right="0" w:firstLine="0"/>
            </w:pPr>
            <w:r>
              <w:rPr>
                <w:sz w:val="22"/>
              </w:rPr>
              <w:t>How can models be generalized across different geographic and climatic regions?</w:t>
            </w:r>
          </w:p>
        </w:tc>
        <w:tc>
          <w:tcPr>
            <w:tcW w:w="4088" w:type="dxa"/>
            <w:tcBorders>
              <w:top w:val="nil"/>
              <w:left w:val="nil"/>
              <w:bottom w:val="single" w:sz="7" w:space="0" w:color="000000"/>
              <w:right w:val="nil"/>
            </w:tcBorders>
          </w:tcPr>
          <w:p w:rsidR="00EA1C16" w:rsidRDefault="00A73070">
            <w:pPr>
              <w:spacing w:after="0" w:line="259" w:lineRule="auto"/>
              <w:ind w:left="0" w:right="0" w:firstLine="0"/>
            </w:pPr>
            <w:r>
              <w:rPr>
                <w:sz w:val="22"/>
              </w:rPr>
              <w:t xml:space="preserve">Generalizability ensures that forecasting models are robust and applicable in </w:t>
            </w:r>
            <w:r>
              <w:rPr>
                <w:sz w:val="22"/>
              </w:rPr>
              <w:t>diverse real-world settings.</w:t>
            </w:r>
          </w:p>
        </w:tc>
      </w:tr>
    </w:tbl>
    <w:p w:rsidR="00EA1C16" w:rsidRDefault="00A73070">
      <w:pPr>
        <w:pStyle w:val="Heading1"/>
        <w:numPr>
          <w:ilvl w:val="0"/>
          <w:numId w:val="0"/>
        </w:numPr>
        <w:ind w:left="-5"/>
      </w:pPr>
      <w:r>
        <w:t>References</w:t>
      </w:r>
    </w:p>
    <w:p w:rsidR="00EA1C16" w:rsidRDefault="00A73070">
      <w:pPr>
        <w:ind w:left="-5" w:right="1425"/>
      </w:pPr>
      <w:r>
        <w:t xml:space="preserve">.25in1 Devaraj, J., Elavarasan, R., Shafiullah, G., Jamal, T., &amp; Khan, I. (2021). A holistic review on energy forecasting using big data and deep learning models. </w:t>
      </w:r>
      <w:r>
        <w:rPr>
          <w:i/>
        </w:rPr>
        <w:t>International Journal of Energy Research</w:t>
      </w:r>
      <w:r>
        <w:t>, 45, 13489 - 13530. https://doi.org/10.1002/er.6679</w:t>
      </w:r>
    </w:p>
    <w:p w:rsidR="00EA1C16" w:rsidRDefault="00A73070">
      <w:pPr>
        <w:ind w:left="-15" w:right="-12" w:firstLine="351"/>
      </w:pPr>
      <w:r>
        <w:t xml:space="preserve">Kumari, P., &amp; Toshniwal, D. (2021). Deep learning models for solar irradiance forecasting: A comprehensive review. </w:t>
      </w:r>
      <w:r>
        <w:rPr>
          <w:i/>
        </w:rPr>
        <w:t>Journal of Cleaner Production</w:t>
      </w:r>
      <w:r>
        <w:t>, 318, 128566. https://doi.org/10.1016/</w:t>
      </w:r>
    </w:p>
    <w:p w:rsidR="00EA1C16" w:rsidRDefault="00A73070">
      <w:pPr>
        <w:ind w:left="-15" w:right="1425" w:firstLine="351"/>
      </w:pPr>
      <w:r>
        <w:t>Souhe, F., Mbey, C.</w:t>
      </w:r>
      <w:r>
        <w:t xml:space="preserve">, Kakeu, V., Meyo, A., &amp; Boum, A. (2024). Optimized forecasting of photovoltaic power generation using hybrid deep learning model based on GRU and SVM. </w:t>
      </w:r>
      <w:r>
        <w:rPr>
          <w:i/>
        </w:rPr>
        <w:t>Electrical Engineering</w:t>
      </w:r>
      <w:r>
        <w:t>. https://doi.org/10.1007/s00202-024-02492-8</w:t>
      </w:r>
    </w:p>
    <w:p w:rsidR="00EA1C16" w:rsidRDefault="00A73070">
      <w:pPr>
        <w:ind w:left="-15" w:right="1425" w:firstLine="351"/>
      </w:pPr>
      <w:r>
        <w:t>Ahmed, R., Sreeram, V., Mishra, Y., &amp;</w:t>
      </w:r>
      <w:r>
        <w:t xml:space="preserve"> Arif, M. (2020). A review and evaluation of the state-of-the-art in PV solar power forecasting: Techniques and optimization. </w:t>
      </w:r>
      <w:r>
        <w:rPr>
          <w:i/>
        </w:rPr>
        <w:t>Renewable &amp; Sustainable Energy Reviews</w:t>
      </w:r>
      <w:r>
        <w:t>, 124, 109792. https://doi.org/10.1016/j.rser.2020.109792</w:t>
      </w:r>
    </w:p>
    <w:p w:rsidR="00EA1C16" w:rsidRDefault="00A73070">
      <w:pPr>
        <w:ind w:left="-15" w:right="1425" w:firstLine="351"/>
      </w:pPr>
      <w:r>
        <w:t>Rajagukguk, R., Ramadhan, R., &amp; Le</w:t>
      </w:r>
      <w:r>
        <w:t xml:space="preserve">e, H. (2020). A Review on Deep Learning Models for Forecasting Time Series Data of Solar Irradiance and Photovoltaic Power. </w:t>
      </w:r>
      <w:r>
        <w:rPr>
          <w:i/>
        </w:rPr>
        <w:t>Energies</w:t>
      </w:r>
      <w:r>
        <w:t>. https://doi.org/10.3390/en13246623</w:t>
      </w:r>
    </w:p>
    <w:p w:rsidR="00EA1C16" w:rsidRDefault="00A73070">
      <w:pPr>
        <w:ind w:left="-15" w:right="1425" w:firstLine="351"/>
      </w:pPr>
      <w:r>
        <w:t>Assaf, A., Haron, H., Hamed, H., Ghaleb, F., Qasem, S., &amp; Albarrak, A. (2023). A Review</w:t>
      </w:r>
      <w:r>
        <w:t xml:space="preserve"> on Neural Network Based Models for Short Term Solar Irradiance Forecasting. </w:t>
      </w:r>
      <w:r>
        <w:rPr>
          <w:i/>
        </w:rPr>
        <w:t>Applied Sciences</w:t>
      </w:r>
      <w:r>
        <w:t>. https://doi.org/10.3390/app13148332</w:t>
      </w:r>
    </w:p>
    <w:p w:rsidR="00EA1C16" w:rsidRDefault="00A73070">
      <w:pPr>
        <w:ind w:left="-15" w:right="-115" w:firstLine="351"/>
      </w:pPr>
      <w:r>
        <w:t>Alkhayat, G., &amp; Mehmood, R. (2021). A review and taxonomy of wind and solar energy forecasting methods based on deep learning</w:t>
      </w:r>
      <w:r>
        <w:t xml:space="preserve">. </w:t>
      </w:r>
      <w:r>
        <w:rPr>
          <w:i/>
        </w:rPr>
        <w:t>Energy and AI</w:t>
      </w:r>
      <w:r>
        <w:t xml:space="preserve">. https://doi.org/10.1016/j.egyai.2021.10 Liu, Z., Guo, H., Zhang, Y., &amp; Zuo, Z. (2025). A Comprehensive Review of Wind Power Prediction Based on Machine Learning: Models, Applications, and Challenges. </w:t>
      </w:r>
      <w:r>
        <w:rPr>
          <w:i/>
        </w:rPr>
        <w:t>Energies</w:t>
      </w:r>
      <w:r>
        <w:t>. https://doi.org/10.3390/en180</w:t>
      </w:r>
      <w:r>
        <w:t>20350</w:t>
      </w:r>
    </w:p>
    <w:p w:rsidR="00EA1C16" w:rsidRDefault="00A73070">
      <w:pPr>
        <w:spacing w:after="28"/>
        <w:ind w:left="-15" w:right="-61" w:firstLine="351"/>
      </w:pPr>
      <w:r>
        <w:t xml:space="preserve">Ghimire, S., Deo, R., Downs, N., &amp; Raj, N. (2019). Global solar radiation prediction by ANN integrated with European Centre for medium range weather forecast fields in solar rich cities of Queensland Australia. </w:t>
      </w:r>
      <w:r>
        <w:rPr>
          <w:i/>
        </w:rPr>
        <w:t>Journal of Cleaner Production</w:t>
      </w:r>
      <w:r>
        <w:t>. https://</w:t>
      </w:r>
      <w:r>
        <w:t>doi.org/10.1016/j.jclepro.</w:t>
      </w:r>
    </w:p>
    <w:p w:rsidR="00EA1C16" w:rsidRDefault="00A73070">
      <w:pPr>
        <w:ind w:left="-15" w:right="1425" w:firstLine="351"/>
      </w:pPr>
      <w:r>
        <w:t>Gupta, A., &amp; Singh, R. (2024). A review of the state of the art in solar photovoltaic output power forecasting using data-driven models. Electrical Engineering. https://doi.org/10.1007/s00202-024-02759-0</w:t>
      </w:r>
    </w:p>
    <w:p w:rsidR="00EA1C16" w:rsidRDefault="00A73070">
      <w:pPr>
        <w:ind w:left="-15" w:right="1425" w:firstLine="351"/>
      </w:pPr>
      <w:r>
        <w:t>Zhang, Q., Lei, B., Zhou,</w:t>
      </w:r>
      <w:r>
        <w:t xml:space="preserve"> J., &amp; Liu, Y. (2024). A Review of Photovoltaic Power Generation Forecasting Techniques and Deep Learning Models. 2024 The 9th International</w:t>
      </w:r>
    </w:p>
    <w:p w:rsidR="00EA1C16" w:rsidRDefault="00A73070">
      <w:pPr>
        <w:spacing w:after="54" w:line="259" w:lineRule="auto"/>
        <w:ind w:left="-5" w:right="-30"/>
      </w:pPr>
      <w:r>
        <w:t>Conference on Power and Renewable Energy (ICPRE), 1342-1347. https://doi.org/10.1109/icprec52586.</w:t>
      </w:r>
    </w:p>
    <w:p w:rsidR="00EA1C16" w:rsidRDefault="00A73070">
      <w:pPr>
        <w:ind w:left="-15" w:right="1425" w:firstLine="351"/>
      </w:pPr>
      <w:r>
        <w:t>Kumar, K., Prabha</w:t>
      </w:r>
      <w:r>
        <w:t>kar, P., &amp; Verma, A. (2024). Wind power forecasting technologies: A review. Energy Storage and Conversion. https://doi.org/10.59400/esc.v2i2.538</w:t>
      </w:r>
    </w:p>
    <w:p w:rsidR="00EA1C16" w:rsidRDefault="00A73070">
      <w:pPr>
        <w:ind w:left="-15" w:right="1425" w:firstLine="351"/>
      </w:pPr>
      <w:r>
        <w:t>Kumar, K., Prabhakar, P., &amp; Verma, A. (2025). Advancements in Wind Power Forecasting: A Comprehensive Review. J</w:t>
      </w:r>
      <w:r>
        <w:t>ournal of Electronics and Electrical Engineering. https://doi.org/10.37256/jeee.4120256317</w:t>
      </w:r>
    </w:p>
    <w:p w:rsidR="00EA1C16" w:rsidRDefault="00A73070">
      <w:pPr>
        <w:tabs>
          <w:tab w:val="center" w:pos="2293"/>
          <w:tab w:val="center" w:pos="6731"/>
        </w:tabs>
        <w:spacing w:line="259" w:lineRule="auto"/>
        <w:ind w:left="0" w:right="0" w:firstLine="0"/>
        <w:jc w:val="left"/>
      </w:pPr>
      <w:r>
        <w:rPr>
          <w:rFonts w:ascii="Calibri" w:eastAsia="Calibri" w:hAnsi="Calibri" w:cs="Calibri"/>
          <w:sz w:val="22"/>
        </w:rPr>
        <w:tab/>
      </w:r>
      <w:r>
        <w:t>Runge, J., &amp; Zmeureanu, R. (2021).</w:t>
      </w:r>
      <w:r>
        <w:tab/>
        <w:t>A Review of Deep Learning Techniques for</w:t>
      </w:r>
    </w:p>
    <w:p w:rsidR="00EA1C16" w:rsidRDefault="00A73070">
      <w:pPr>
        <w:spacing w:after="54" w:line="259" w:lineRule="auto"/>
        <w:ind w:left="-5" w:right="1425"/>
      </w:pPr>
      <w:r>
        <w:t>Forecasting Energy Use in Buildings. Energies. https://doi.org/10.3390/en14030608</w:t>
      </w:r>
    </w:p>
    <w:p w:rsidR="00EA1C16" w:rsidRDefault="00A73070">
      <w:pPr>
        <w:ind w:left="-15" w:right="1425" w:firstLine="351"/>
      </w:pPr>
      <w:r>
        <w:t>Kumar, K., Prabhakar, P., Verma, A., Saroha, S., &amp; Singh, K. (2024). Advancements in wind power forecasting: A comprehensive review of artificial intelligence-based approaches. Multim. Tools Appl., 84, 8331-8360. https://doi.org/10.1007/s11042-02418916-3</w:t>
      </w:r>
    </w:p>
    <w:p w:rsidR="00EA1C16" w:rsidRDefault="00A73070">
      <w:pPr>
        <w:ind w:left="-15" w:right="1425" w:firstLine="351"/>
      </w:pPr>
      <w:r>
        <w:t>D</w:t>
      </w:r>
      <w:r>
        <w:t>ou, Y., Tan, S., &amp; Xie, D. (2023). Comparison of machine learning and statistical methods in the field of renewable energy power generation forecasting: a mini review. Frontiers in Energy Research. https://doi.org/10.3389/fenrg.2023.1218603</w:t>
      </w:r>
    </w:p>
    <w:p w:rsidR="00EA1C16" w:rsidRDefault="00A73070">
      <w:pPr>
        <w:ind w:left="-15" w:right="1425" w:firstLine="351"/>
      </w:pPr>
      <w:r>
        <w:t xml:space="preserve">Massacudi, M., </w:t>
      </w:r>
      <w:r>
        <w:t>Chihi, I., Abu-Rub, H., Refaat, S., &amp; Oueslati, F. (2021). Convergence of Photovoltaic Power Forecasting and Deep Learning: State-of-Art Review. IEEE Access, 9, 136593-136615. https://doi.org/10.1109/access.2021.3117004</w:t>
      </w:r>
    </w:p>
    <w:p w:rsidR="00EA1C16" w:rsidRDefault="00A73070">
      <w:pPr>
        <w:ind w:left="-15" w:right="1425" w:firstLine="351"/>
      </w:pPr>
      <w:r>
        <w:t>Gabotiadelwe, J., Zungeru, A., Yahya</w:t>
      </w:r>
      <w:r>
        <w:t>, A., Lebekwe, C., Vinod, D., &amp; Salau, A. (2023). Machine Learning Based Solar Photovoltaic Power Forecasting: A Review and Comparison. IEEE Access, 11, 40820-40845. https://doi.org/10.1109/access.2023.3270041</w:t>
      </w:r>
    </w:p>
    <w:p w:rsidR="00EA1C16" w:rsidRDefault="00A73070">
      <w:pPr>
        <w:ind w:left="-15" w:right="1425" w:firstLine="351"/>
      </w:pPr>
      <w:r>
        <w:t xml:space="preserve">Valdivia-Bautista, S., Dominguez-Navarro, J., </w:t>
      </w:r>
      <w:r>
        <w:t>Perez-Cisneros, M., Vega-Gomez, C., &amp; Castillo-T´ellez, B. (2023). Artificial Intelligence in Wind Speed Forecasting: A Review. Energies. https://doi.org/10.3390/en16052457</w:t>
      </w:r>
    </w:p>
    <w:p w:rsidR="00EA1C16" w:rsidRDefault="00A73070">
      <w:pPr>
        <w:spacing w:after="54" w:line="259" w:lineRule="auto"/>
        <w:ind w:left="361" w:right="1425"/>
      </w:pPr>
      <w:r>
        <w:t>Hanifi, S., Liu, X., Lin, Z., &amp; Lotfian, S. (2020). A Critical Review of Wind Power</w:t>
      </w:r>
    </w:p>
    <w:p w:rsidR="00EA1C16" w:rsidRDefault="00A73070">
      <w:pPr>
        <w:spacing w:after="54" w:line="259" w:lineRule="auto"/>
        <w:ind w:left="-5" w:right="0"/>
      </w:pPr>
      <w:r>
        <w:t>Forecasting Methods—Past, Present and Future. Energies. https://doi.org/10.3390/en13153764</w:t>
      </w:r>
    </w:p>
    <w:p w:rsidR="00EA1C16" w:rsidRDefault="00A73070">
      <w:pPr>
        <w:ind w:left="-15" w:right="-104" w:firstLine="351"/>
      </w:pPr>
      <w:r>
        <w:t>Gupta, P., &amp; Singh, R. (2021). PV power forecasting based on data-driven models: a review. International Journal of Sustainable Engineering, 14, 1733 - 1755. https:</w:t>
      </w:r>
      <w:r>
        <w:t>//doi.org/10.1080/19397 Pombo, D., Bacher, P., Ziras, C., Bindner, H., Spataru, S., &amp; Sorensen, P. (2022). Benchmarking physics-informed machine learning-based short term PV-power forecasting tools. Energy Reports. https://doi.org/10.1016/j.egyr.2022.05.00</w:t>
      </w:r>
      <w:r>
        <w:t>6</w:t>
      </w:r>
    </w:p>
    <w:p w:rsidR="00EA1C16" w:rsidRDefault="00A73070">
      <w:pPr>
        <w:ind w:left="-15" w:right="1226" w:firstLine="351"/>
      </w:pPr>
      <w:r>
        <w:t>Ferkous, K., Guermoui, M., Menakh, S., Bellaour, A., &amp; Boulmaz, T. (2024). A novel learning approach for short-term photovoltaic power forecasting - A review and case studies. Eng. Appl. Artif. Intell., 133, 108502. https://doi.org/10.1016/j.engappai.202</w:t>
      </w:r>
      <w:r>
        <w:t>4.108502 Gu, C., &amp; Li, H. (2022). Review on Deep Learning Research and Applications in Wind and Wave Energy. Energies. https://doi.org/10.3390/en15041510</w:t>
      </w:r>
    </w:p>
    <w:p w:rsidR="00EA1C16" w:rsidRDefault="00A73070">
      <w:pPr>
        <w:ind w:left="-15" w:right="1425" w:firstLine="351"/>
      </w:pPr>
      <w:r>
        <w:t>Asghar, R., Fulginei, F., Quercio, M., &amp; Mahrouch, A. (2024). Artificial Neural Networks for Photovolt</w:t>
      </w:r>
      <w:r>
        <w:t>aic Power Forecasting: A Review of Five Promising Models. IEEE Access, 12, 90461-90485. https://doi.org/10.1109/access.2024.3420693</w:t>
      </w:r>
    </w:p>
    <w:p w:rsidR="00EA1C16" w:rsidRDefault="00A73070">
      <w:pPr>
        <w:spacing w:after="54" w:line="259" w:lineRule="auto"/>
        <w:ind w:left="361" w:right="1425"/>
      </w:pPr>
      <w:r>
        <w:t>Lipu, M., Miah, M., Hannan, M., Hussain, A., Sarker, M., Ayob, A., Saad, M., &amp;</w:t>
      </w:r>
    </w:p>
    <w:p w:rsidR="00EA1C16" w:rsidRDefault="00A73070">
      <w:pPr>
        <w:ind w:left="-5" w:right="1425"/>
      </w:pPr>
      <w:r>
        <w:t>Mahmud, M. (2021). Artificial Intelligence Ba</w:t>
      </w:r>
      <w:r>
        <w:t xml:space="preserve">sed Hybrid Forecasting Approaches for Wind Power Generation: Progress, Challenges and Prospects. </w:t>
      </w:r>
      <w:r>
        <w:rPr>
          <w:i/>
        </w:rPr>
        <w:t>IEEE Access</w:t>
      </w:r>
      <w:r>
        <w:t>, 9, 102460-</w:t>
      </w:r>
    </w:p>
    <w:p w:rsidR="00EA1C16" w:rsidRDefault="00A73070">
      <w:pPr>
        <w:spacing w:line="259" w:lineRule="auto"/>
        <w:ind w:left="-5" w:right="1425"/>
      </w:pPr>
      <w:r>
        <w:t>102489. https://doi.org/10.1109/access.2021.3097102</w:t>
      </w:r>
    </w:p>
    <w:sectPr w:rsidR="00EA1C16">
      <w:footerReference w:type="even" r:id="rId7"/>
      <w:footerReference w:type="default" r:id="rId8"/>
      <w:footerReference w:type="first" r:id="rId9"/>
      <w:pgSz w:w="11906" w:h="16838"/>
      <w:pgMar w:top="1440" w:right="0" w:bottom="1414" w:left="1440" w:header="720"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3070" w:rsidRDefault="00A73070">
      <w:pPr>
        <w:spacing w:after="0" w:line="240" w:lineRule="auto"/>
      </w:pPr>
      <w:r>
        <w:separator/>
      </w:r>
    </w:p>
  </w:endnote>
  <w:endnote w:type="continuationSeparator" w:id="0">
    <w:p w:rsidR="00A73070" w:rsidRDefault="00A73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1C16" w:rsidRDefault="00A7307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1C16" w:rsidRDefault="00A73070">
    <w:pPr>
      <w:spacing w:after="0" w:line="259" w:lineRule="auto"/>
      <w:ind w:left="0" w:firstLine="0"/>
      <w:jc w:val="cen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1C16" w:rsidRDefault="00A7307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3070" w:rsidRDefault="00A73070">
      <w:pPr>
        <w:spacing w:after="0" w:line="240" w:lineRule="auto"/>
      </w:pPr>
      <w:r>
        <w:separator/>
      </w:r>
    </w:p>
  </w:footnote>
  <w:footnote w:type="continuationSeparator" w:id="0">
    <w:p w:rsidR="00A73070" w:rsidRDefault="00A730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00E89"/>
    <w:multiLevelType w:val="multilevel"/>
    <w:tmpl w:val="A658274A"/>
    <w:lvl w:ilvl="0">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C16"/>
    <w:rsid w:val="00A348DD"/>
    <w:rsid w:val="00A73070"/>
    <w:rsid w:val="00EA1C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BCA75F-159F-41C4-9480-3FF3C3A41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316" w:lineRule="auto"/>
      <w:ind w:left="10" w:right="1440" w:hanging="10"/>
      <w:jc w:val="both"/>
    </w:pPr>
    <w:rPr>
      <w:rFonts w:ascii="Cambria" w:eastAsia="Cambria" w:hAnsi="Cambria" w:cs="Cambria"/>
      <w:color w:val="000000"/>
      <w:sz w:val="24"/>
    </w:rPr>
  </w:style>
  <w:style w:type="paragraph" w:styleId="Heading1">
    <w:name w:val="heading 1"/>
    <w:next w:val="Normal"/>
    <w:link w:val="Heading1Char"/>
    <w:uiPriority w:val="9"/>
    <w:unhideWhenUsed/>
    <w:qFormat/>
    <w:pPr>
      <w:keepNext/>
      <w:keepLines/>
      <w:numPr>
        <w:numId w:val="1"/>
      </w:numPr>
      <w:spacing w:after="173"/>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numPr>
        <w:ilvl w:val="1"/>
        <w:numId w:val="1"/>
      </w:numPr>
      <w:spacing w:after="161"/>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2508</Words>
  <Characters>14296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Elnagar</dc:creator>
  <cp:keywords/>
  <cp:lastModifiedBy>Abdelrahman Elnagar</cp:lastModifiedBy>
  <cp:revision>2</cp:revision>
  <dcterms:created xsi:type="dcterms:W3CDTF">2025-11-02T14:59:00Z</dcterms:created>
  <dcterms:modified xsi:type="dcterms:W3CDTF">2025-11-02T14:59:00Z</dcterms:modified>
</cp:coreProperties>
</file>