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101" w:rsidRDefault="0093245B">
      <w:pPr>
        <w:spacing w:after="1033" w:line="259" w:lineRule="auto"/>
        <w:ind w:left="0" w:right="1376" w:firstLine="0"/>
        <w:jc w:val="center"/>
      </w:pPr>
      <w:bookmarkStart w:id="0" w:name="_GoBack"/>
      <w:bookmarkEnd w:id="0"/>
      <w:r>
        <w:rPr>
          <w:sz w:val="34"/>
        </w:rPr>
        <w:t>Weather-Driven Model Selection in Renewable Energy Forecasting: A Focused Literature Review</w:t>
      </w:r>
    </w:p>
    <w:p w:rsidR="00C87101" w:rsidRDefault="0093245B">
      <w:pPr>
        <w:pStyle w:val="Heading1"/>
        <w:ind w:left="469" w:hanging="484"/>
      </w:pPr>
      <w:r>
        <w:t>Introduction</w:t>
      </w:r>
    </w:p>
    <w:p w:rsidR="00C87101" w:rsidRDefault="0093245B">
      <w:pPr>
        <w:spacing w:after="0"/>
        <w:ind w:right="1425"/>
      </w:pPr>
      <w:r>
        <w:t xml:space="preserve">The integration of weather classification into the model selection process for renewable energy forecasting is an emerging research frontier. Rather than applying a single forecasting model universally, recent studies explore adaptive frameworks where the </w:t>
      </w:r>
      <w:r>
        <w:t>choice between statistical, machine learning, and deep learning models is dynamically informed by prevailing weather regimes or meteorological features. This approach aims to optimize forecasting accuracy by leveraging the strengths of different models und</w:t>
      </w:r>
      <w:r>
        <w:t>er specific weather conditions. Notably, research demonstrates that model performance is highly sensitive to weather type, with certain models excelling under stable conditions and others under more variable or extreme weather (Cervantes et al., 2025; Serr</w:t>
      </w:r>
      <w:r>
        <w:t xml:space="preserve">as et al., 2024; Wang et al., 2021; Jain, 2022; Blazakis et al., 2024; Lim et al., 2022). Techniques such as clustering, weather type classification, and feature selection are increasingly used to guide model selection, with hybrid and ensemble approaches </w:t>
      </w:r>
      <w:r>
        <w:t xml:space="preserve">further enhancing adaptability and accuracy (Cervantes et al., 2025; Wang et al., 2021; Jain, 2022; Blazakis et al., 2024; Lim et al., 2022). This review synthesizes the latest literature on weather-informed model selection for renewable energy production </w:t>
      </w:r>
      <w:r>
        <w:t>forecasting, highlighting methodologies, comparative findings, and practical implications.</w:t>
      </w:r>
    </w:p>
    <w:p w:rsidR="00C87101" w:rsidRDefault="0093245B">
      <w:pPr>
        <w:spacing w:after="455" w:line="244" w:lineRule="auto"/>
        <w:ind w:left="0" w:right="702" w:firstLine="299"/>
        <w:jc w:val="left"/>
      </w:pPr>
      <w:r>
        <w:rPr>
          <w:i/>
        </w:rPr>
        <w:t>Figure: Consensus meter visualizing agreement on whether weather classification improves model selection for renewable energy forecasting.</w:t>
      </w:r>
    </w:p>
    <w:p w:rsidR="00C87101" w:rsidRDefault="0093245B">
      <w:pPr>
        <w:pStyle w:val="Heading1"/>
        <w:spacing w:after="154"/>
        <w:ind w:left="469" w:hanging="484"/>
      </w:pPr>
      <w:r>
        <w:t>Results</w:t>
      </w:r>
    </w:p>
    <w:p w:rsidR="00C87101" w:rsidRDefault="0093245B">
      <w:pPr>
        <w:pStyle w:val="Heading2"/>
        <w:ind w:left="598" w:hanging="613"/>
      </w:pPr>
      <w:r>
        <w:t>Weather Classifica</w:t>
      </w:r>
      <w:r>
        <w:t>tion and Model Selection Methodologies</w:t>
      </w:r>
    </w:p>
    <w:p w:rsidR="00C87101" w:rsidRDefault="0093245B">
      <w:pPr>
        <w:spacing w:after="351"/>
        <w:ind w:right="1425"/>
      </w:pPr>
      <w:r>
        <w:t>Several studies employ weather classification (e.g., K-means, DBSCAN, Lamb Weather Types) to segment data into regimes or clusters, each associated with distinct meteorological characteristics. Model selection is then</w:t>
      </w:r>
      <w:r>
        <w:t xml:space="preserve"> tailored to these regimes, with different statistical or machine learning models applied to each cluster (Cervantes et al., 2025; Serras et al., 2024; Wang et al., 2021; Jain, 2022; Blazakis et al., 2024). For example, in solar radiation forecasting acros</w:t>
      </w:r>
      <w:r>
        <w:t>s K¨oppen climate zones, clustering by climate type and data dispersion led to the selection of optimal models for each region, with multivariate linear and polynomial models favored in tropical and arid climates, respectively (Cervantes et al., 2025). Sim</w:t>
      </w:r>
      <w:r>
        <w:t>ilarly, adaptive frameworks use weather type classification to select or weight models dynamically, improving accuracy and robustness (Serras et al., 2024; Wang et al., 2021; Jain, 2022; Blazakis et al., 2024; Lim et al., 2022).</w:t>
      </w:r>
    </w:p>
    <w:p w:rsidR="00C87101" w:rsidRDefault="0093245B">
      <w:pPr>
        <w:pStyle w:val="Heading2"/>
        <w:ind w:left="598" w:hanging="613"/>
      </w:pPr>
      <w:r>
        <w:t>Comparative Performance: St</w:t>
      </w:r>
      <w:r>
        <w:t>atistical vs. Deep Learning Models</w:t>
      </w:r>
    </w:p>
    <w:p w:rsidR="00C87101" w:rsidRDefault="0093245B">
      <w:pPr>
        <w:ind w:right="1425"/>
      </w:pPr>
      <w:r>
        <w:t>Studies consistently find that the optimal model type varies with weather regime. Under stable meteorological conditions, simpler statistical or regression models often suffice, while deep learning models (e.g., LSTM, CNN</w:t>
      </w:r>
      <w:r>
        <w:t xml:space="preserve">-LSTM hybrids) outperform others during periods of high variability or extreme weather (Wang et al., 2021; Quinones et al., 2023; Jain, 2022; Blazakis et al., 2024; Lim et al., 2022; Unlu &amp; Pen˜a, 2025). For instance, in short-term photovoltaic (PV) power </w:t>
      </w:r>
      <w:r>
        <w:t>forecasting, support vector regression (SVR) excelled during unstable weather, while ensemble and hybrid deep learning models performed best overall when weather classification was integrated (Wang et al., 2021; Lim et al., 2022; Unlu &amp; Pen˜a, 2025).</w:t>
      </w:r>
    </w:p>
    <w:p w:rsidR="00C87101" w:rsidRDefault="0093245B">
      <w:pPr>
        <w:pStyle w:val="Heading2"/>
        <w:ind w:left="598" w:hanging="613"/>
      </w:pPr>
      <w:r>
        <w:t>Hybri</w:t>
      </w:r>
      <w:r>
        <w:t>d and Meta-Learning Approaches</w:t>
      </w:r>
    </w:p>
    <w:p w:rsidR="00C87101" w:rsidRDefault="0093245B">
      <w:pPr>
        <w:spacing w:after="342"/>
        <w:ind w:right="1425"/>
      </w:pPr>
      <w:r>
        <w:t>Hybrid and meta-learning frameworks are increasingly used to automate model selection based on weather features. These systems blend forecasts from multiple models, using meta-learners or ensemble strategies to assign weights</w:t>
      </w:r>
      <w:r>
        <w:t xml:space="preserve"> or select the best-performing model for each weather regime (Sarmas et al., 2023; </w:t>
      </w:r>
      <w:r>
        <w:lastRenderedPageBreak/>
        <w:t>Blazakis et al., 2024; Lim et al., 2022). For example, meta-learning approaches dynamically blend base forecasts from different deep learning architectures, learning which m</w:t>
      </w:r>
      <w:r>
        <w:t>odel performs best under specific weather conditions (Sarmas et al., 2023; Blazakis et al., 2024).</w:t>
      </w:r>
    </w:p>
    <w:p w:rsidR="00C87101" w:rsidRDefault="0093245B">
      <w:pPr>
        <w:pStyle w:val="Heading2"/>
        <w:ind w:left="598" w:hanging="613"/>
      </w:pPr>
      <w:r>
        <w:t>Practical Applications and Case Studies</w:t>
      </w:r>
    </w:p>
    <w:p w:rsidR="00C87101" w:rsidRDefault="0093245B">
      <w:pPr>
        <w:spacing w:after="217"/>
        <w:ind w:right="1425"/>
      </w:pPr>
      <w:r>
        <w:t>Applications span solar and wind power forecasting, load forecasting, and climate model selection. In regional studie</w:t>
      </w:r>
      <w:r>
        <w:t xml:space="preserve">s, adaptive frameworks using weather type classification have been shown to exclude poorly performing models and select those best suited to the variable or impact of interest, such as extreme heat or wind events (Serras et al., 2024; Jain, 2022; Blazakis </w:t>
      </w:r>
      <w:r>
        <w:t>et al., 2024; Lim et al., 2022; Unlu &amp; Pen˜a, 2025). These approaches are also used in operational settings, such as microgrid management and grid integration, where accurate, weather-adaptive forecasts are critical (Quin˜ones et al., 2023; Jain, 2022; Lim</w:t>
      </w:r>
      <w:r>
        <w:t xml:space="preserve"> et al., 2022; Unlu &amp; Pen˜a, 2025).</w:t>
      </w:r>
    </w:p>
    <w:p w:rsidR="00C87101" w:rsidRDefault="0093245B">
      <w:pPr>
        <w:spacing w:after="340"/>
        <w:ind w:left="2238" w:right="1425" w:hanging="2009"/>
      </w:pPr>
      <w:r>
        <w:rPr>
          <w:b/>
        </w:rPr>
        <w:t xml:space="preserve">FIGURE 2 </w:t>
      </w:r>
      <w:r>
        <w:t>Timeline of key publications on weather-driven model selection for renewable energy forecasting. Larger markers indicate more citations.</w:t>
      </w:r>
    </w:p>
    <w:tbl>
      <w:tblPr>
        <w:tblStyle w:val="TableGrid"/>
        <w:tblpPr w:vertAnchor="page" w:horzAnchor="page" w:tblpX="1440" w:tblpY="7220"/>
        <w:tblOverlap w:val="never"/>
        <w:tblW w:w="10466" w:type="dxa"/>
        <w:tblInd w:w="0" w:type="dxa"/>
        <w:tblCellMar>
          <w:top w:w="31" w:type="dxa"/>
          <w:left w:w="0" w:type="dxa"/>
          <w:bottom w:w="0" w:type="dxa"/>
          <w:right w:w="1" w:type="dxa"/>
        </w:tblCellMar>
        <w:tblLook w:val="04A0" w:firstRow="1" w:lastRow="0" w:firstColumn="1" w:lastColumn="0" w:noHBand="0" w:noVBand="1"/>
      </w:tblPr>
      <w:tblGrid>
        <w:gridCol w:w="1015"/>
        <w:gridCol w:w="1848"/>
        <w:gridCol w:w="7603"/>
      </w:tblGrid>
      <w:tr w:rsidR="00C87101">
        <w:trPr>
          <w:trHeight w:val="342"/>
        </w:trPr>
        <w:tc>
          <w:tcPr>
            <w:tcW w:w="1015" w:type="dxa"/>
            <w:tcBorders>
              <w:top w:val="single" w:sz="6" w:space="0" w:color="000000"/>
              <w:left w:val="nil"/>
              <w:bottom w:val="single" w:sz="4" w:space="0" w:color="000000"/>
              <w:right w:val="nil"/>
            </w:tcBorders>
          </w:tcPr>
          <w:p w:rsidR="00C87101" w:rsidRDefault="0093245B">
            <w:pPr>
              <w:spacing w:after="0" w:line="259" w:lineRule="auto"/>
              <w:ind w:left="120" w:right="0" w:firstLine="0"/>
              <w:jc w:val="left"/>
            </w:pPr>
            <w:r>
              <w:rPr>
                <w:b/>
              </w:rPr>
              <w:t>Type</w:t>
            </w:r>
          </w:p>
        </w:tc>
        <w:tc>
          <w:tcPr>
            <w:tcW w:w="1848" w:type="dxa"/>
            <w:tcBorders>
              <w:top w:val="single" w:sz="6" w:space="0" w:color="000000"/>
              <w:left w:val="nil"/>
              <w:bottom w:val="single" w:sz="4" w:space="0" w:color="000000"/>
              <w:right w:val="nil"/>
            </w:tcBorders>
          </w:tcPr>
          <w:p w:rsidR="00C87101" w:rsidRDefault="0093245B">
            <w:pPr>
              <w:spacing w:after="0" w:line="259" w:lineRule="auto"/>
              <w:ind w:left="0" w:right="0" w:firstLine="0"/>
              <w:jc w:val="left"/>
            </w:pPr>
            <w:r>
              <w:rPr>
                <w:b/>
              </w:rPr>
              <w:t>Name</w:t>
            </w:r>
          </w:p>
        </w:tc>
        <w:tc>
          <w:tcPr>
            <w:tcW w:w="7602" w:type="dxa"/>
            <w:tcBorders>
              <w:top w:val="single" w:sz="6" w:space="0" w:color="000000"/>
              <w:left w:val="nil"/>
              <w:bottom w:val="single" w:sz="4" w:space="0" w:color="000000"/>
              <w:right w:val="nil"/>
            </w:tcBorders>
          </w:tcPr>
          <w:p w:rsidR="00C87101" w:rsidRDefault="0093245B">
            <w:pPr>
              <w:spacing w:after="0" w:line="259" w:lineRule="auto"/>
              <w:ind w:left="0" w:right="0" w:firstLine="0"/>
              <w:jc w:val="left"/>
            </w:pPr>
            <w:r>
              <w:rPr>
                <w:b/>
              </w:rPr>
              <w:t>Papers</w:t>
            </w:r>
          </w:p>
        </w:tc>
      </w:tr>
      <w:tr w:rsidR="00C87101">
        <w:trPr>
          <w:trHeight w:val="298"/>
        </w:trPr>
        <w:tc>
          <w:tcPr>
            <w:tcW w:w="1015" w:type="dxa"/>
            <w:tcBorders>
              <w:top w:val="single" w:sz="4" w:space="0" w:color="000000"/>
              <w:left w:val="nil"/>
              <w:bottom w:val="nil"/>
              <w:right w:val="nil"/>
            </w:tcBorders>
          </w:tcPr>
          <w:p w:rsidR="00C87101" w:rsidRDefault="0093245B">
            <w:pPr>
              <w:spacing w:after="0" w:line="259" w:lineRule="auto"/>
              <w:ind w:left="120" w:right="0" w:firstLine="0"/>
              <w:jc w:val="left"/>
            </w:pPr>
            <w:r>
              <w:t>Author</w:t>
            </w:r>
          </w:p>
        </w:tc>
        <w:tc>
          <w:tcPr>
            <w:tcW w:w="1848" w:type="dxa"/>
            <w:tcBorders>
              <w:top w:val="single" w:sz="4" w:space="0" w:color="000000"/>
              <w:left w:val="nil"/>
              <w:bottom w:val="nil"/>
              <w:right w:val="nil"/>
            </w:tcBorders>
          </w:tcPr>
          <w:p w:rsidR="00C87101" w:rsidRDefault="0093245B">
            <w:pPr>
              <w:spacing w:after="0" w:line="259" w:lineRule="auto"/>
              <w:ind w:left="0" w:right="0" w:firstLine="0"/>
              <w:jc w:val="left"/>
            </w:pPr>
            <w:r>
              <w:t>Xiaoyang Wang</w:t>
            </w:r>
          </w:p>
        </w:tc>
        <w:tc>
          <w:tcPr>
            <w:tcW w:w="7602" w:type="dxa"/>
            <w:tcBorders>
              <w:top w:val="single" w:sz="4" w:space="0" w:color="000000"/>
              <w:left w:val="nil"/>
              <w:bottom w:val="nil"/>
              <w:right w:val="nil"/>
            </w:tcBorders>
          </w:tcPr>
          <w:p w:rsidR="00C87101" w:rsidRDefault="0093245B">
            <w:pPr>
              <w:spacing w:after="0" w:line="259" w:lineRule="auto"/>
              <w:ind w:left="0" w:right="0" w:firstLine="0"/>
              <w:jc w:val="left"/>
            </w:pPr>
            <w:r>
              <w:t>(Wang et al., 2021)</w:t>
            </w:r>
          </w:p>
        </w:tc>
      </w:tr>
      <w:tr w:rsidR="00C87101">
        <w:trPr>
          <w:trHeight w:val="239"/>
        </w:trPr>
        <w:tc>
          <w:tcPr>
            <w:tcW w:w="1015" w:type="dxa"/>
            <w:tcBorders>
              <w:top w:val="nil"/>
              <w:left w:val="nil"/>
              <w:bottom w:val="nil"/>
              <w:right w:val="nil"/>
            </w:tcBorders>
          </w:tcPr>
          <w:p w:rsidR="00C87101" w:rsidRDefault="0093245B">
            <w:pPr>
              <w:spacing w:after="0" w:line="259" w:lineRule="auto"/>
              <w:ind w:left="120" w:right="0" w:firstLine="0"/>
              <w:jc w:val="left"/>
            </w:pPr>
            <w:r>
              <w:t>Author</w:t>
            </w:r>
          </w:p>
        </w:tc>
        <w:tc>
          <w:tcPr>
            <w:tcW w:w="1848" w:type="dxa"/>
            <w:tcBorders>
              <w:top w:val="nil"/>
              <w:left w:val="nil"/>
              <w:bottom w:val="nil"/>
              <w:right w:val="nil"/>
            </w:tcBorders>
          </w:tcPr>
          <w:p w:rsidR="00C87101" w:rsidRDefault="0093245B">
            <w:pPr>
              <w:spacing w:after="0" w:line="259" w:lineRule="auto"/>
              <w:ind w:left="0" w:right="0" w:firstLine="0"/>
              <w:jc w:val="left"/>
            </w:pPr>
            <w:r>
              <w:t>Fien Serras</w:t>
            </w:r>
          </w:p>
        </w:tc>
        <w:tc>
          <w:tcPr>
            <w:tcW w:w="7602" w:type="dxa"/>
            <w:tcBorders>
              <w:top w:val="nil"/>
              <w:left w:val="nil"/>
              <w:bottom w:val="nil"/>
              <w:right w:val="nil"/>
            </w:tcBorders>
          </w:tcPr>
          <w:p w:rsidR="00C87101" w:rsidRDefault="0093245B">
            <w:pPr>
              <w:spacing w:after="0" w:line="259" w:lineRule="auto"/>
              <w:ind w:left="0" w:right="0" w:firstLine="0"/>
              <w:jc w:val="left"/>
            </w:pPr>
            <w:r>
              <w:t>(Serras et al., 2024)</w:t>
            </w:r>
          </w:p>
        </w:tc>
      </w:tr>
      <w:tr w:rsidR="00C87101">
        <w:trPr>
          <w:trHeight w:val="239"/>
        </w:trPr>
        <w:tc>
          <w:tcPr>
            <w:tcW w:w="1015" w:type="dxa"/>
            <w:tcBorders>
              <w:top w:val="nil"/>
              <w:left w:val="nil"/>
              <w:bottom w:val="nil"/>
              <w:right w:val="nil"/>
            </w:tcBorders>
          </w:tcPr>
          <w:p w:rsidR="00C87101" w:rsidRDefault="0093245B">
            <w:pPr>
              <w:spacing w:after="0" w:line="259" w:lineRule="auto"/>
              <w:ind w:left="120" w:right="0" w:firstLine="0"/>
              <w:jc w:val="left"/>
            </w:pPr>
            <w:r>
              <w:t>Author</w:t>
            </w:r>
          </w:p>
        </w:tc>
        <w:tc>
          <w:tcPr>
            <w:tcW w:w="1848" w:type="dxa"/>
            <w:tcBorders>
              <w:top w:val="nil"/>
              <w:left w:val="nil"/>
              <w:bottom w:val="nil"/>
              <w:right w:val="nil"/>
            </w:tcBorders>
          </w:tcPr>
          <w:p w:rsidR="00C87101" w:rsidRDefault="0093245B">
            <w:pPr>
              <w:spacing w:after="0" w:line="259" w:lineRule="auto"/>
              <w:ind w:left="0" w:right="0" w:firstLine="0"/>
              <w:jc w:val="left"/>
            </w:pPr>
            <w:r>
              <w:t>Ilse Cervantes</w:t>
            </w:r>
          </w:p>
        </w:tc>
        <w:tc>
          <w:tcPr>
            <w:tcW w:w="7602" w:type="dxa"/>
            <w:tcBorders>
              <w:top w:val="nil"/>
              <w:left w:val="nil"/>
              <w:bottom w:val="nil"/>
              <w:right w:val="nil"/>
            </w:tcBorders>
          </w:tcPr>
          <w:p w:rsidR="00C87101" w:rsidRDefault="0093245B">
            <w:pPr>
              <w:spacing w:after="0" w:line="259" w:lineRule="auto"/>
              <w:ind w:left="0" w:right="0" w:firstLine="0"/>
              <w:jc w:val="left"/>
            </w:pPr>
            <w:r>
              <w:t>(Cervantes et al., 2025)</w:t>
            </w:r>
          </w:p>
        </w:tc>
      </w:tr>
      <w:tr w:rsidR="00C87101">
        <w:trPr>
          <w:trHeight w:val="239"/>
        </w:trPr>
        <w:tc>
          <w:tcPr>
            <w:tcW w:w="1015" w:type="dxa"/>
            <w:tcBorders>
              <w:top w:val="nil"/>
              <w:left w:val="nil"/>
              <w:bottom w:val="nil"/>
              <w:right w:val="nil"/>
            </w:tcBorders>
          </w:tcPr>
          <w:p w:rsidR="00C87101" w:rsidRDefault="0093245B">
            <w:pPr>
              <w:spacing w:after="0" w:line="259" w:lineRule="auto"/>
              <w:ind w:left="120" w:right="0" w:firstLine="0"/>
              <w:jc w:val="left"/>
            </w:pPr>
            <w:r>
              <w:t>Journal</w:t>
            </w:r>
          </w:p>
        </w:tc>
        <w:tc>
          <w:tcPr>
            <w:tcW w:w="1848" w:type="dxa"/>
            <w:tcBorders>
              <w:top w:val="nil"/>
              <w:left w:val="nil"/>
              <w:bottom w:val="nil"/>
              <w:right w:val="nil"/>
            </w:tcBorders>
          </w:tcPr>
          <w:p w:rsidR="00C87101" w:rsidRDefault="0093245B">
            <w:pPr>
              <w:spacing w:after="0" w:line="259" w:lineRule="auto"/>
              <w:ind w:left="0" w:right="0" w:firstLine="0"/>
              <w:jc w:val="left"/>
            </w:pPr>
            <w:r>
              <w:t>Energy</w:t>
            </w:r>
          </w:p>
        </w:tc>
        <w:tc>
          <w:tcPr>
            <w:tcW w:w="7602" w:type="dxa"/>
            <w:tcBorders>
              <w:top w:val="nil"/>
              <w:left w:val="nil"/>
              <w:bottom w:val="nil"/>
              <w:right w:val="nil"/>
            </w:tcBorders>
          </w:tcPr>
          <w:p w:rsidR="00C87101" w:rsidRDefault="0093245B">
            <w:pPr>
              <w:spacing w:after="0" w:line="259" w:lineRule="auto"/>
              <w:ind w:left="0" w:right="0" w:firstLine="0"/>
            </w:pPr>
            <w:r>
              <w:t>(Wang et al., 2021; Quin˜ones et al., 2023; Jain, 2022; Blazakis et al., 2024; Sward et al</w:t>
            </w:r>
          </w:p>
        </w:tc>
      </w:tr>
      <w:tr w:rsidR="00C87101">
        <w:trPr>
          <w:trHeight w:val="239"/>
        </w:trPr>
        <w:tc>
          <w:tcPr>
            <w:tcW w:w="1015" w:type="dxa"/>
            <w:tcBorders>
              <w:top w:val="nil"/>
              <w:left w:val="nil"/>
              <w:bottom w:val="nil"/>
              <w:right w:val="nil"/>
            </w:tcBorders>
          </w:tcPr>
          <w:p w:rsidR="00C87101" w:rsidRDefault="0093245B">
            <w:pPr>
              <w:spacing w:after="0" w:line="259" w:lineRule="auto"/>
              <w:ind w:left="120" w:right="0" w:firstLine="0"/>
              <w:jc w:val="left"/>
            </w:pPr>
            <w:r>
              <w:t>Journal</w:t>
            </w:r>
          </w:p>
        </w:tc>
        <w:tc>
          <w:tcPr>
            <w:tcW w:w="1848" w:type="dxa"/>
            <w:tcBorders>
              <w:top w:val="nil"/>
              <w:left w:val="nil"/>
              <w:bottom w:val="nil"/>
              <w:right w:val="nil"/>
            </w:tcBorders>
          </w:tcPr>
          <w:p w:rsidR="00C87101" w:rsidRDefault="0093245B">
            <w:pPr>
              <w:spacing w:after="0" w:line="259" w:lineRule="auto"/>
              <w:ind w:left="0" w:right="0" w:firstLine="0"/>
              <w:jc w:val="left"/>
            </w:pPr>
            <w:r>
              <w:t>Climate Dynamics</w:t>
            </w:r>
          </w:p>
        </w:tc>
        <w:tc>
          <w:tcPr>
            <w:tcW w:w="7602" w:type="dxa"/>
            <w:tcBorders>
              <w:top w:val="nil"/>
              <w:left w:val="nil"/>
              <w:bottom w:val="nil"/>
              <w:right w:val="nil"/>
            </w:tcBorders>
          </w:tcPr>
          <w:p w:rsidR="00C87101" w:rsidRDefault="0093245B">
            <w:pPr>
              <w:spacing w:after="0" w:line="259" w:lineRule="auto"/>
              <w:ind w:left="0" w:right="0" w:firstLine="0"/>
              <w:jc w:val="left"/>
            </w:pPr>
            <w:r>
              <w:t>(Serras et al., 2024; Seo et al., 2019; Wang et al., 2024)</w:t>
            </w:r>
          </w:p>
        </w:tc>
      </w:tr>
      <w:tr w:rsidR="00C87101">
        <w:trPr>
          <w:trHeight w:val="283"/>
        </w:trPr>
        <w:tc>
          <w:tcPr>
            <w:tcW w:w="1015" w:type="dxa"/>
            <w:tcBorders>
              <w:top w:val="nil"/>
              <w:left w:val="nil"/>
              <w:bottom w:val="single" w:sz="6" w:space="0" w:color="000000"/>
              <w:right w:val="nil"/>
            </w:tcBorders>
          </w:tcPr>
          <w:p w:rsidR="00C87101" w:rsidRDefault="0093245B">
            <w:pPr>
              <w:spacing w:after="0" w:line="259" w:lineRule="auto"/>
              <w:ind w:left="120" w:right="0" w:firstLine="0"/>
              <w:jc w:val="left"/>
            </w:pPr>
            <w:r>
              <w:t>Journal</w:t>
            </w:r>
          </w:p>
        </w:tc>
        <w:tc>
          <w:tcPr>
            <w:tcW w:w="1848" w:type="dxa"/>
            <w:tcBorders>
              <w:top w:val="nil"/>
              <w:left w:val="nil"/>
              <w:bottom w:val="single" w:sz="6" w:space="0" w:color="000000"/>
              <w:right w:val="nil"/>
            </w:tcBorders>
          </w:tcPr>
          <w:p w:rsidR="00C87101" w:rsidRDefault="0093245B">
            <w:pPr>
              <w:spacing w:after="0" w:line="259" w:lineRule="auto"/>
              <w:ind w:left="0" w:right="0" w:firstLine="0"/>
              <w:jc w:val="left"/>
            </w:pPr>
            <w:r>
              <w:t>Applied Energy</w:t>
            </w:r>
          </w:p>
        </w:tc>
        <w:tc>
          <w:tcPr>
            <w:tcW w:w="7602" w:type="dxa"/>
            <w:tcBorders>
              <w:top w:val="nil"/>
              <w:left w:val="nil"/>
              <w:bottom w:val="single" w:sz="6" w:space="0" w:color="000000"/>
              <w:right w:val="nil"/>
            </w:tcBorders>
          </w:tcPr>
          <w:p w:rsidR="00C87101" w:rsidRDefault="0093245B">
            <w:pPr>
              <w:spacing w:after="0" w:line="259" w:lineRule="auto"/>
              <w:ind w:left="0" w:right="0" w:firstLine="0"/>
            </w:pPr>
            <w:r>
              <w:t>(Hu et al., 2024; Zhang et al., 2022; Heo et al., 2021; Wang et al., 2020; Mayer &amp; Gr´of,</w:t>
            </w:r>
          </w:p>
        </w:tc>
      </w:tr>
    </w:tbl>
    <w:p w:rsidR="00C87101" w:rsidRDefault="0093245B">
      <w:pPr>
        <w:pStyle w:val="Heading2"/>
        <w:spacing w:after="1411"/>
        <w:ind w:left="598" w:hanging="613"/>
      </w:pPr>
      <w:r>
        <w:t>Top Contributors</w:t>
      </w:r>
    </w:p>
    <w:p w:rsidR="00C87101" w:rsidRDefault="0093245B">
      <w:pPr>
        <w:spacing w:after="704" w:line="259" w:lineRule="auto"/>
        <w:ind w:left="0" w:right="-16" w:firstLine="0"/>
        <w:jc w:val="right"/>
      </w:pPr>
      <w:r>
        <w:t>.</w:t>
      </w:r>
    </w:p>
    <w:p w:rsidR="00C87101" w:rsidRDefault="0093245B">
      <w:pPr>
        <w:spacing w:after="678"/>
        <w:ind w:left="891" w:right="1425"/>
      </w:pPr>
      <w:r>
        <w:t>Table 1: Authors &amp; journals that appeared most frequently in the included papers.</w:t>
      </w:r>
    </w:p>
    <w:p w:rsidR="00C87101" w:rsidRDefault="0093245B">
      <w:pPr>
        <w:pStyle w:val="Heading1"/>
        <w:ind w:left="469" w:hanging="484"/>
      </w:pPr>
      <w:r>
        <w:t>Discussion</w:t>
      </w:r>
    </w:p>
    <w:p w:rsidR="00C87101" w:rsidRDefault="0093245B">
      <w:pPr>
        <w:spacing w:after="0"/>
        <w:ind w:right="1425"/>
      </w:pPr>
      <w:r>
        <w:t>The literature demonstrates that weather classification is a powerful tool for improving model selection in renewable energy forecasting. By segmenting data into m</w:t>
      </w:r>
      <w:r>
        <w:t>eteorologically homogeneous regimes, researchers can tailor model choice to the specific characteristics of each regime, leading to significant gains in forecasting accuracy (Cervantes et al., 2025; Serras et al., 2024; Wang et al., 2021; Jain, 2022; Blaza</w:t>
      </w:r>
      <w:r>
        <w:t>kis et al., 2024; Lim et al., 2022; Unlu &amp; Pen˜a, 2025). Deep learning models, particularly hybrid and ensemble approaches, show superior performance in highly variable or extreme weather, while statistical models remain competitive in stable conditions or</w:t>
      </w:r>
      <w:r>
        <w:t xml:space="preserve"> data-scarce environments (Cervantes et al., 2025; Wang et al., 2021; Jain, 2022; Blazakis et al., 2024; Lim et al., 2022; Unlu &amp; Pen˜a, 2025). The use of meta-learning and automated model selection frameworks further enhances adaptability and operational </w:t>
      </w:r>
      <w:r>
        <w:t>utility (Sarmas et al., 2023; Blazakis et al., 2024; Lim et al., 2022).</w:t>
      </w:r>
    </w:p>
    <w:p w:rsidR="00C87101" w:rsidRDefault="0093245B">
      <w:pPr>
        <w:ind w:left="0" w:right="1425" w:firstLine="299"/>
      </w:pPr>
      <w:r>
        <w:t>However, challenges remain. The complexity of implementing adaptive frameworks, the need for high-quality, weather-classified data, and the computational demands of deep learning model</w:t>
      </w:r>
      <w:r>
        <w:t>s can limit practical deployment. Additionally, the interpretability of model selection decisions and the transferability of frameworks across regions and energy types require further research (Cervantes et al., 2025; Serras et al., 2024; Wang et al., 2021</w:t>
      </w:r>
      <w:r>
        <w:t>; Jain, 2022; Blazakis et al., 2024; Lim et al., 2022; Unlu &amp; Pen˜a, 2025).</w:t>
      </w:r>
    </w:p>
    <w:p w:rsidR="00C87101" w:rsidRDefault="0093245B">
      <w:pPr>
        <w:tabs>
          <w:tab w:val="center" w:pos="2214"/>
        </w:tabs>
        <w:spacing w:after="223" w:line="265" w:lineRule="auto"/>
        <w:ind w:left="-15" w:right="0" w:firstLine="0"/>
        <w:jc w:val="left"/>
      </w:pPr>
      <w:r>
        <w:rPr>
          <w:b/>
          <w:sz w:val="24"/>
        </w:rPr>
        <w:t>3.1</w:t>
      </w:r>
      <w:r>
        <w:rPr>
          <w:b/>
          <w:sz w:val="24"/>
        </w:rPr>
        <w:tab/>
        <w:t>Claims and Evidence Table</w:t>
      </w:r>
    </w:p>
    <w:p w:rsidR="00C87101" w:rsidRDefault="0093245B">
      <w:pPr>
        <w:pStyle w:val="Heading1"/>
        <w:ind w:left="469" w:hanging="484"/>
      </w:pPr>
      <w:r>
        <w:t>Conclusion</w:t>
      </w:r>
    </w:p>
    <w:p w:rsidR="00C87101" w:rsidRDefault="0093245B">
      <w:pPr>
        <w:spacing w:after="342"/>
        <w:ind w:right="1425"/>
      </w:pPr>
      <w:r>
        <w:t>Weather-driven model selection represents a significant advancement in renewable energy forecasting, enabling the dynamic use of statistical, machine learning, and deep learning models tailored to specific meteorological regimes. This approach consistently</w:t>
      </w:r>
      <w:r>
        <w:t xml:space="preserve"> improves forecasting accuracy and operational reliability, particularly when hybrid and meta-learning frameworks are employed. However, practical challenges related to data, complexity, and generalizability remain.</w:t>
      </w:r>
    </w:p>
    <w:p w:rsidR="00C87101" w:rsidRDefault="0093245B">
      <w:pPr>
        <w:pStyle w:val="Heading2"/>
        <w:ind w:left="598" w:hanging="613"/>
      </w:pPr>
      <w:r>
        <w:t>Research Gaps</w:t>
      </w:r>
    </w:p>
    <w:p w:rsidR="00C87101" w:rsidRDefault="0093245B">
      <w:pPr>
        <w:spacing w:after="413"/>
        <w:ind w:right="1425"/>
      </w:pPr>
      <w:r>
        <w:t>Despite progress, gaps per</w:t>
      </w:r>
      <w:r>
        <w:t>sist in the generalizability of weather-driven model selection frameworks, the interpretability of automated decisions, and the application to long-term and probabilistic forecasting.</w:t>
      </w:r>
    </w:p>
    <w:p w:rsidR="00C87101" w:rsidRDefault="0093245B">
      <w:pPr>
        <w:pStyle w:val="Heading1"/>
        <w:numPr>
          <w:ilvl w:val="0"/>
          <w:numId w:val="0"/>
        </w:numPr>
        <w:ind w:left="-5"/>
      </w:pPr>
      <w:r>
        <w:t>References</w:t>
      </w:r>
    </w:p>
    <w:p w:rsidR="00C87101" w:rsidRDefault="0093245B">
      <w:pPr>
        <w:numPr>
          <w:ilvl w:val="0"/>
          <w:numId w:val="1"/>
        </w:numPr>
        <w:ind w:right="1425" w:hanging="354"/>
      </w:pPr>
      <w:r>
        <w:t>Cervantes, I., Cervantes-Ortiz, C., V´azquez-Santana, D., &amp; A</w:t>
      </w:r>
      <w:r>
        <w:t>rguelles, A. (2025). Heuristic-machine learning models for solar radiation forecasting in K¨oppen climate zones. Appl. Soft Comput., 171, 112807. https://doi.org/10.1016/j.asoc.2025.112807</w:t>
      </w:r>
    </w:p>
    <w:p w:rsidR="00C87101" w:rsidRDefault="0093245B">
      <w:pPr>
        <w:numPr>
          <w:ilvl w:val="0"/>
          <w:numId w:val="1"/>
        </w:numPr>
        <w:ind w:right="1425" w:hanging="354"/>
      </w:pPr>
      <w:r>
        <w:t>Serras, F., Vandelanotte, K., Borgers, R., Van Schaeybroeck, B., Te</w:t>
      </w:r>
      <w:r>
        <w:t>rmonia, P., Demuzere, M., &amp; Van Lipzig, N. (2024). Optimizing climate model selection in regional studies using an adaptive weather type based framework: a case study for extreme heat in Belgium. Climate Dynamics. https://doi.org/10.1007/s00382-024-07432-7</w:t>
      </w:r>
    </w:p>
    <w:p w:rsidR="00C87101" w:rsidRDefault="0093245B">
      <w:pPr>
        <w:numPr>
          <w:ilvl w:val="0"/>
          <w:numId w:val="1"/>
        </w:numPr>
        <w:ind w:right="1425" w:hanging="354"/>
      </w:pPr>
      <w:r>
        <w:t>Wang, X., Sun, Y., Luo, D., &amp; Peng, J. (2021). Comparative study of machine learning approaches for predicting short-term photovoltaic power output based on weather type classification. Energy. https://doi.org/10.1016/j.energy.2021.122733</w:t>
      </w:r>
    </w:p>
    <w:p w:rsidR="00C87101" w:rsidRDefault="0093245B">
      <w:pPr>
        <w:numPr>
          <w:ilvl w:val="0"/>
          <w:numId w:val="1"/>
        </w:numPr>
        <w:ind w:right="1425" w:hanging="354"/>
      </w:pPr>
      <w:r>
        <w:t>Quin˜ones, J., P</w:t>
      </w:r>
      <w:r>
        <w:t>ineda, L., Ostanek, J., &amp; Castillo, L. (2023). Towards smart energy management for community microgrids: Leveraging deep learning in probabilistic forecasting of renewable energy sources. Energy Conversion and Management. https://doi.org/10.1016/j.encomman</w:t>
      </w:r>
      <w:r>
        <w:t>.2023.117440</w:t>
      </w:r>
    </w:p>
    <w:p w:rsidR="00C87101" w:rsidRDefault="0093245B">
      <w:pPr>
        <w:numPr>
          <w:ilvl w:val="0"/>
          <w:numId w:val="1"/>
        </w:numPr>
        <w:ind w:right="1425" w:hanging="354"/>
      </w:pPr>
      <w:r>
        <w:t>Jain, S. (2022). A novel seasonal segmentation approach for day-ahead load forecasting. Energy. https://doi.org/10.1016/j.energy.2022.124752</w:t>
      </w:r>
    </w:p>
    <w:p w:rsidR="00C87101" w:rsidRDefault="0093245B">
      <w:pPr>
        <w:numPr>
          <w:ilvl w:val="0"/>
          <w:numId w:val="1"/>
        </w:numPr>
        <w:ind w:right="1425" w:hanging="354"/>
      </w:pPr>
      <w:r>
        <w:t>Hu, Z., Gao, Y., Ji, S., Mae, M., &amp; Imatzumi, T. (2024). Improved multistep ahead photovoltaic power p</w:t>
      </w:r>
      <w:r>
        <w:t>rediction model based on LSTM and self-attention with weather forecast data. Applied Energy. https://doi.org/10.1016/j.apenergy.2024.122709</w:t>
      </w:r>
    </w:p>
    <w:p w:rsidR="00C87101" w:rsidRDefault="0093245B">
      <w:pPr>
        <w:numPr>
          <w:ilvl w:val="0"/>
          <w:numId w:val="1"/>
        </w:numPr>
        <w:ind w:right="1425" w:hanging="354"/>
      </w:pPr>
      <w:r>
        <w:t>Seo, S., Kim, Y., Kim, Y., &amp; Eum, H. (2019). Selecting climate change scenarios for regional hydrologic impact studi</w:t>
      </w:r>
      <w:r>
        <w:t>es based on climate extremes indices. Climate Dynamics, 52, 1595-1611. https://doi.org/10.1007/s00382-018-4210-7</w:t>
      </w:r>
    </w:p>
    <w:p w:rsidR="00C87101" w:rsidRDefault="0093245B">
      <w:pPr>
        <w:numPr>
          <w:ilvl w:val="0"/>
          <w:numId w:val="1"/>
        </w:numPr>
        <w:ind w:right="1425" w:hanging="354"/>
      </w:pPr>
      <w:r>
        <w:t>Zhang, C., Peng, T., &amp; Nazir, M. (2022). A novel integrated photovoltaic power forecasting model based on variational mode decomposition and CN</w:t>
      </w:r>
      <w:r>
        <w:t>N-BiGRU considering meteorological variables. Electric Power Systems Research. https://doi.org/10.1016/j.epsr.2022.108796</w:t>
      </w:r>
    </w:p>
    <w:p w:rsidR="00C87101" w:rsidRDefault="0093245B">
      <w:pPr>
        <w:numPr>
          <w:ilvl w:val="0"/>
          <w:numId w:val="1"/>
        </w:numPr>
        <w:ind w:right="1425" w:hanging="354"/>
      </w:pPr>
      <w:r>
        <w:t>Sarmas, E., Spiliotis, E., Stamatopoulos, E., Marinakis, V., &amp; Doukas, H. (2023). Short-term photovoltaic power forecasting using meta</w:t>
      </w:r>
      <w:r>
        <w:t>-learning and numerical weather prediction independent Long Short-Term Memory models. Renewable Energy. https://doi.org/10.1016/j.renene.2023.118997</w:t>
      </w:r>
    </w:p>
    <w:p w:rsidR="00C87101" w:rsidRDefault="0093245B">
      <w:pPr>
        <w:numPr>
          <w:ilvl w:val="0"/>
          <w:numId w:val="1"/>
        </w:numPr>
        <w:ind w:right="1425" w:hanging="354"/>
      </w:pPr>
      <w:r>
        <w:t>Blazakis, K., Schetakis, N., Bonfini, P., Stavrakakis, K., Karapidakis, E., &amp; Katsigiannis, Y. (2024). Towa</w:t>
      </w:r>
      <w:r>
        <w:t>rds Automated Model Selection for Wind Speed and Solar Irradiance Forecasting. Sensors (Basel, Switzerland), 24. https://doi.org/10.3390/s24155035</w:t>
      </w:r>
    </w:p>
    <w:p w:rsidR="00C87101" w:rsidRDefault="0093245B">
      <w:pPr>
        <w:numPr>
          <w:ilvl w:val="0"/>
          <w:numId w:val="1"/>
        </w:numPr>
        <w:spacing w:after="2"/>
        <w:ind w:right="1425" w:hanging="354"/>
      </w:pPr>
      <w:r>
        <w:t>Heo, J., Song, K., Han, S., &amp; Lee, D. (2021). Multi-channel convolutional neural network for integration of m</w:t>
      </w:r>
      <w:r>
        <w:t>eteorological and geographical features in solar power forecasting. Applied Energy.</w:t>
      </w:r>
    </w:p>
    <w:p w:rsidR="00C87101" w:rsidRDefault="0093245B">
      <w:pPr>
        <w:ind w:left="508" w:right="1425"/>
      </w:pPr>
      <w:r>
        <w:t>https://doi.org/10.1016/j.apenergy.2021.117083</w:t>
      </w:r>
    </w:p>
    <w:p w:rsidR="00C87101" w:rsidRDefault="0093245B">
      <w:pPr>
        <w:numPr>
          <w:ilvl w:val="0"/>
          <w:numId w:val="1"/>
        </w:numPr>
        <w:ind w:right="1425" w:hanging="354"/>
      </w:pPr>
      <w:r>
        <w:t>Wang, K., Hu, S., Li, D., Peng, J., Hao, Z., He, W., &amp; Zheng, Z. (2024). Ensemble tree model prediction of summer precipitati</w:t>
      </w:r>
      <w:r>
        <w:t>on in north china based on predictor selection strategy. Climate Dynamics. https://doi.org/10.1007/s00382-024-07223-0</w:t>
      </w:r>
    </w:p>
    <w:p w:rsidR="00C87101" w:rsidRDefault="0093245B">
      <w:pPr>
        <w:numPr>
          <w:ilvl w:val="0"/>
          <w:numId w:val="1"/>
        </w:numPr>
        <w:ind w:right="1425" w:hanging="354"/>
      </w:pPr>
      <w:r>
        <w:t>Wang, Z., Hong, T., &amp; Piette, M. (2020). Building thermal load prediction through shallow machine learning and deep learning. Applied Ener</w:t>
      </w:r>
      <w:r>
        <w:t>gy. https://doi.org/10.1016/j.apenergy.2020.114683</w:t>
      </w:r>
    </w:p>
    <w:p w:rsidR="00C87101" w:rsidRDefault="0093245B">
      <w:pPr>
        <w:numPr>
          <w:ilvl w:val="0"/>
          <w:numId w:val="1"/>
        </w:numPr>
        <w:ind w:right="1425" w:hanging="354"/>
      </w:pPr>
      <w:r>
        <w:t>Sward, J., Ault, T., &amp; Zhang, K. (2022). Genetic algorithm selection of the weather research and forecasting model physics to support wind and solar energy integration. Energy. https://doi.org/10.1016/j.en</w:t>
      </w:r>
      <w:r>
        <w:t>ergy.202</w:t>
      </w:r>
    </w:p>
    <w:p w:rsidR="00C87101" w:rsidRDefault="0093245B">
      <w:pPr>
        <w:numPr>
          <w:ilvl w:val="0"/>
          <w:numId w:val="1"/>
        </w:numPr>
        <w:ind w:right="1425" w:hanging="354"/>
      </w:pPr>
      <w:r>
        <w:t>Mayer, M., &amp; Gr´of, G. (2020). Extensive comparison of physical models for photovoltaic power forecasting. Applied Energy, 116239. https://doi.org/10.1016/j.apenergy.2020.116239</w:t>
      </w:r>
    </w:p>
    <w:p w:rsidR="00C87101" w:rsidRDefault="0093245B">
      <w:pPr>
        <w:numPr>
          <w:ilvl w:val="0"/>
          <w:numId w:val="1"/>
        </w:numPr>
        <w:ind w:right="1425" w:hanging="354"/>
      </w:pPr>
      <w:r>
        <w:t>Lim, S., Huh, J., Hong, S., Park, C., &amp; Kim, J. (2022). Solar Power Forecasting Using CNN-LSTM Hybrid Model. Energies. https://doi.org/10.3390/en15218233</w:t>
      </w:r>
    </w:p>
    <w:p w:rsidR="00C87101" w:rsidRDefault="0093245B">
      <w:pPr>
        <w:numPr>
          <w:ilvl w:val="0"/>
          <w:numId w:val="1"/>
        </w:numPr>
        <w:spacing w:after="6"/>
        <w:ind w:right="1425" w:hanging="354"/>
      </w:pPr>
      <w:r>
        <w:t>Unlu, A., &amp; Pen˜a, M. (2025). Comparative Analysis of Hybrid Deep Learning Models for Electricity</w:t>
      </w:r>
    </w:p>
    <w:p w:rsidR="00C87101" w:rsidRDefault="0093245B">
      <w:pPr>
        <w:ind w:left="508" w:right="1425"/>
      </w:pPr>
      <w:r>
        <w:t>Load</w:t>
      </w:r>
      <w:r>
        <w:t xml:space="preserve"> Forecasting During Extreme Weather. Energies. https://doi.org/10.3390/en18123068</w:t>
      </w:r>
      <w:r>
        <w:br w:type="page"/>
      </w:r>
    </w:p>
    <w:p w:rsidR="00C87101" w:rsidRDefault="0093245B">
      <w:pPr>
        <w:spacing w:after="93" w:line="259" w:lineRule="auto"/>
        <w:ind w:left="350" w:right="0" w:firstLine="0"/>
        <w:jc w:val="left"/>
      </w:pPr>
      <w:r>
        <w:rPr>
          <w:rFonts w:ascii="Calibri" w:eastAsia="Calibri" w:hAnsi="Calibri" w:cs="Calibri"/>
          <w:noProof/>
          <w:sz w:val="22"/>
        </w:rPr>
        <mc:AlternateContent>
          <mc:Choice Requires="wpg">
            <w:drawing>
              <wp:inline distT="0" distB="0" distL="0" distR="0">
                <wp:extent cx="5287328" cy="10122"/>
                <wp:effectExtent l="0" t="0" r="0" b="0"/>
                <wp:docPr id="6240" name="Group 6240"/>
                <wp:cNvGraphicFramePr/>
                <a:graphic xmlns:a="http://schemas.openxmlformats.org/drawingml/2006/main">
                  <a:graphicData uri="http://schemas.microsoft.com/office/word/2010/wordprocessingGroup">
                    <wpg:wgp>
                      <wpg:cNvGrpSpPr/>
                      <wpg:grpSpPr>
                        <a:xfrm>
                          <a:off x="0" y="0"/>
                          <a:ext cx="5287328" cy="10122"/>
                          <a:chOff x="0" y="0"/>
                          <a:chExt cx="5287328" cy="10122"/>
                        </a:xfrm>
                      </wpg:grpSpPr>
                      <wps:wsp>
                        <wps:cNvPr id="220" name="Shape 220"/>
                        <wps:cNvSpPr/>
                        <wps:spPr>
                          <a:xfrm>
                            <a:off x="0" y="0"/>
                            <a:ext cx="5287328" cy="0"/>
                          </a:xfrm>
                          <a:custGeom>
                            <a:avLst/>
                            <a:gdLst/>
                            <a:ahLst/>
                            <a:cxnLst/>
                            <a:rect l="0" t="0" r="0" b="0"/>
                            <a:pathLst>
                              <a:path w="5287328">
                                <a:moveTo>
                                  <a:pt x="0" y="0"/>
                                </a:moveTo>
                                <a:lnTo>
                                  <a:pt x="528732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0" style="width:416.325pt;height:0.797pt;mso-position-horizontal-relative:char;mso-position-vertical-relative:line" coordsize="52873,101">
                <v:shape id="Shape 220" style="position:absolute;width:52873;height:0;left:0;top:0;" coordsize="5287328,0" path="m0,0l5287328,0">
                  <v:stroke weight="0.797pt" endcap="flat" joinstyle="miter" miterlimit="10" on="true" color="#000000"/>
                  <v:fill on="false" color="#000000" opacity="0"/>
                </v:shape>
              </v:group>
            </w:pict>
          </mc:Fallback>
        </mc:AlternateContent>
      </w:r>
    </w:p>
    <w:tbl>
      <w:tblPr>
        <w:tblStyle w:val="TableGrid"/>
        <w:tblW w:w="8327" w:type="dxa"/>
        <w:tblInd w:w="350" w:type="dxa"/>
        <w:tblCellMar>
          <w:top w:w="0" w:type="dxa"/>
          <w:left w:w="0" w:type="dxa"/>
          <w:bottom w:w="0" w:type="dxa"/>
          <w:right w:w="0" w:type="dxa"/>
        </w:tblCellMar>
        <w:tblLook w:val="04A0" w:firstRow="1" w:lastRow="0" w:firstColumn="1" w:lastColumn="0" w:noHBand="0" w:noVBand="1"/>
      </w:tblPr>
      <w:tblGrid>
        <w:gridCol w:w="26"/>
        <w:gridCol w:w="1810"/>
        <w:gridCol w:w="1003"/>
        <w:gridCol w:w="4327"/>
        <w:gridCol w:w="1111"/>
        <w:gridCol w:w="13"/>
        <w:gridCol w:w="37"/>
      </w:tblGrid>
      <w:tr w:rsidR="00C87101">
        <w:trPr>
          <w:trHeight w:val="533"/>
        </w:trPr>
        <w:tc>
          <w:tcPr>
            <w:tcW w:w="2626" w:type="dxa"/>
            <w:gridSpan w:val="2"/>
            <w:tcBorders>
              <w:top w:val="nil"/>
              <w:left w:val="nil"/>
              <w:bottom w:val="nil"/>
              <w:right w:val="nil"/>
            </w:tcBorders>
          </w:tcPr>
          <w:p w:rsidR="00C87101" w:rsidRDefault="0093245B">
            <w:pPr>
              <w:spacing w:after="0" w:line="259" w:lineRule="auto"/>
              <w:ind w:left="120" w:right="0" w:firstLine="0"/>
              <w:jc w:val="left"/>
            </w:pPr>
            <w:r>
              <w:rPr>
                <w:b/>
              </w:rPr>
              <w:t>Claim</w:t>
            </w:r>
          </w:p>
        </w:tc>
        <w:tc>
          <w:tcPr>
            <w:tcW w:w="1373" w:type="dxa"/>
            <w:tcBorders>
              <w:top w:val="nil"/>
              <w:left w:val="nil"/>
              <w:bottom w:val="nil"/>
              <w:right w:val="nil"/>
            </w:tcBorders>
          </w:tcPr>
          <w:p w:rsidR="00C87101" w:rsidRDefault="0093245B">
            <w:pPr>
              <w:spacing w:after="0" w:line="259" w:lineRule="auto"/>
              <w:ind w:left="0" w:right="0" w:firstLine="0"/>
              <w:jc w:val="left"/>
            </w:pPr>
            <w:r>
              <w:rPr>
                <w:b/>
              </w:rPr>
              <w:t>Evidence</w:t>
            </w:r>
          </w:p>
          <w:p w:rsidR="00C87101" w:rsidRDefault="0093245B">
            <w:pPr>
              <w:spacing w:after="0" w:line="259" w:lineRule="auto"/>
              <w:ind w:left="0" w:right="0" w:firstLine="0"/>
              <w:jc w:val="left"/>
            </w:pPr>
            <w:r>
              <w:rPr>
                <w:b/>
              </w:rPr>
              <w:t>Strength</w:t>
            </w:r>
          </w:p>
        </w:tc>
        <w:tc>
          <w:tcPr>
            <w:tcW w:w="2507" w:type="dxa"/>
            <w:tcBorders>
              <w:top w:val="nil"/>
              <w:left w:val="nil"/>
              <w:bottom w:val="nil"/>
              <w:right w:val="nil"/>
            </w:tcBorders>
          </w:tcPr>
          <w:p w:rsidR="00C87101" w:rsidRDefault="0093245B">
            <w:pPr>
              <w:spacing w:after="57" w:line="259" w:lineRule="auto"/>
              <w:ind w:left="0" w:right="0" w:firstLine="0"/>
              <w:jc w:val="left"/>
            </w:pPr>
            <w:r>
              <w:rPr>
                <w:b/>
              </w:rPr>
              <w:t>Reasoning</w:t>
            </w:r>
          </w:p>
          <w:p w:rsidR="00C87101" w:rsidRDefault="0093245B">
            <w:pPr>
              <w:spacing w:after="0" w:line="259" w:lineRule="auto"/>
              <w:ind w:left="-3999" w:right="-1820" w:firstLine="0"/>
              <w:jc w:val="left"/>
            </w:pPr>
            <w:r>
              <w:rPr>
                <w:rFonts w:ascii="Calibri" w:eastAsia="Calibri" w:hAnsi="Calibri" w:cs="Calibri"/>
                <w:noProof/>
                <w:sz w:val="22"/>
              </w:rPr>
              <mc:AlternateContent>
                <mc:Choice Requires="wpg">
                  <w:drawing>
                    <wp:inline distT="0" distB="0" distL="0" distR="0">
                      <wp:extent cx="5287328" cy="6325"/>
                      <wp:effectExtent l="0" t="0" r="0" b="0"/>
                      <wp:docPr id="6608" name="Group 6608"/>
                      <wp:cNvGraphicFramePr/>
                      <a:graphic xmlns:a="http://schemas.openxmlformats.org/drawingml/2006/main">
                        <a:graphicData uri="http://schemas.microsoft.com/office/word/2010/wordprocessingGroup">
                          <wpg:wgp>
                            <wpg:cNvGrpSpPr/>
                            <wpg:grpSpPr>
                              <a:xfrm>
                                <a:off x="0" y="0"/>
                                <a:ext cx="5287328" cy="6325"/>
                                <a:chOff x="0" y="0"/>
                                <a:chExt cx="5287328" cy="6325"/>
                              </a:xfrm>
                            </wpg:grpSpPr>
                            <wps:wsp>
                              <wps:cNvPr id="224" name="Shape 224"/>
                              <wps:cNvSpPr/>
                              <wps:spPr>
                                <a:xfrm>
                                  <a:off x="0" y="0"/>
                                  <a:ext cx="5287328" cy="0"/>
                                </a:xfrm>
                                <a:custGeom>
                                  <a:avLst/>
                                  <a:gdLst/>
                                  <a:ahLst/>
                                  <a:cxnLst/>
                                  <a:rect l="0" t="0" r="0" b="0"/>
                                  <a:pathLst>
                                    <a:path w="5287328">
                                      <a:moveTo>
                                        <a:pt x="0" y="0"/>
                                      </a:moveTo>
                                      <a:lnTo>
                                        <a:pt x="528732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08" style="width:416.325pt;height:0.498pt;mso-position-horizontal-relative:char;mso-position-vertical-relative:line" coordsize="52873,63">
                      <v:shape id="Shape 224" style="position:absolute;width:52873;height:0;left:0;top:0;" coordsize="5287328,0" path="m0,0l5287328,0">
                        <v:stroke weight="0.498pt" endcap="flat" joinstyle="miter" miterlimit="10" on="true" color="#000000"/>
                        <v:fill on="false" color="#000000" opacity="0"/>
                      </v:shape>
                    </v:group>
                  </w:pict>
                </mc:Fallback>
              </mc:AlternateContent>
            </w:r>
          </w:p>
        </w:tc>
        <w:tc>
          <w:tcPr>
            <w:tcW w:w="1820" w:type="dxa"/>
            <w:gridSpan w:val="3"/>
            <w:tcBorders>
              <w:top w:val="nil"/>
              <w:left w:val="nil"/>
              <w:bottom w:val="nil"/>
              <w:right w:val="nil"/>
            </w:tcBorders>
          </w:tcPr>
          <w:p w:rsidR="00C87101" w:rsidRDefault="0093245B">
            <w:pPr>
              <w:spacing w:after="0" w:line="259" w:lineRule="auto"/>
              <w:ind w:left="0" w:right="0" w:firstLine="0"/>
              <w:jc w:val="left"/>
            </w:pPr>
            <w:r>
              <w:rPr>
                <w:b/>
              </w:rPr>
              <w:t>Papers</w:t>
            </w:r>
          </w:p>
        </w:tc>
      </w:tr>
      <w:tr w:rsidR="00C87101">
        <w:trPr>
          <w:trHeight w:val="1896"/>
        </w:trPr>
        <w:tc>
          <w:tcPr>
            <w:tcW w:w="2626" w:type="dxa"/>
            <w:gridSpan w:val="2"/>
            <w:tcBorders>
              <w:top w:val="nil"/>
              <w:left w:val="nil"/>
              <w:bottom w:val="nil"/>
              <w:right w:val="nil"/>
            </w:tcBorders>
          </w:tcPr>
          <w:p w:rsidR="00C87101" w:rsidRDefault="0093245B">
            <w:pPr>
              <w:spacing w:after="0" w:line="259" w:lineRule="auto"/>
              <w:ind w:left="120" w:right="13" w:firstLine="0"/>
              <w:jc w:val="left"/>
            </w:pPr>
            <w:r>
              <w:t>Weather classification improves model selection and forecasting accuracy</w:t>
            </w:r>
          </w:p>
        </w:tc>
        <w:tc>
          <w:tcPr>
            <w:tcW w:w="1373" w:type="dxa"/>
            <w:tcBorders>
              <w:top w:val="nil"/>
              <w:left w:val="nil"/>
              <w:bottom w:val="nil"/>
              <w:right w:val="nil"/>
            </w:tcBorders>
          </w:tcPr>
          <w:p w:rsidR="00C87101" w:rsidRDefault="0093245B">
            <w:pPr>
              <w:spacing w:after="0" w:line="259" w:lineRule="auto"/>
              <w:ind w:left="0" w:right="0" w:firstLine="0"/>
              <w:jc w:val="left"/>
            </w:pPr>
            <w:r>
              <w:t>Strong</w:t>
            </w:r>
          </w:p>
        </w:tc>
        <w:tc>
          <w:tcPr>
            <w:tcW w:w="2507" w:type="dxa"/>
            <w:tcBorders>
              <w:top w:val="nil"/>
              <w:left w:val="nil"/>
              <w:bottom w:val="nil"/>
              <w:right w:val="nil"/>
            </w:tcBorders>
          </w:tcPr>
          <w:p w:rsidR="00C87101" w:rsidRDefault="0093245B">
            <w:pPr>
              <w:spacing w:after="0" w:line="259" w:lineRule="auto"/>
              <w:ind w:left="0" w:right="58" w:firstLine="0"/>
              <w:jc w:val="left"/>
            </w:pPr>
            <w:r>
              <w:t>Multiple studies show significant accuracy gains when model selection is informed by weather regimes</w:t>
            </w:r>
          </w:p>
        </w:tc>
        <w:tc>
          <w:tcPr>
            <w:tcW w:w="1820" w:type="dxa"/>
            <w:gridSpan w:val="3"/>
            <w:tcBorders>
              <w:top w:val="nil"/>
              <w:left w:val="nil"/>
              <w:bottom w:val="nil"/>
              <w:right w:val="nil"/>
            </w:tcBorders>
          </w:tcPr>
          <w:p w:rsidR="00C87101" w:rsidRDefault="0093245B">
            <w:pPr>
              <w:spacing w:after="0" w:line="259" w:lineRule="auto"/>
              <w:ind w:left="0" w:right="0" w:firstLine="0"/>
              <w:jc w:val="left"/>
            </w:pPr>
            <w:r>
              <w:t>(Cervantes et al.,</w:t>
            </w:r>
          </w:p>
          <w:p w:rsidR="00C87101" w:rsidRDefault="0093245B">
            <w:pPr>
              <w:spacing w:after="0" w:line="259" w:lineRule="auto"/>
              <w:ind w:left="0" w:right="0" w:firstLine="0"/>
              <w:jc w:val="left"/>
            </w:pPr>
            <w:r>
              <w:t>2025; Serras et al.,</w:t>
            </w:r>
          </w:p>
          <w:p w:rsidR="00C87101" w:rsidRDefault="0093245B">
            <w:pPr>
              <w:spacing w:after="0" w:line="259" w:lineRule="auto"/>
              <w:ind w:left="0" w:right="0" w:firstLine="0"/>
              <w:jc w:val="left"/>
            </w:pPr>
            <w:r>
              <w:t>2024; Wang et al.,</w:t>
            </w:r>
          </w:p>
          <w:p w:rsidR="00C87101" w:rsidRDefault="0093245B">
            <w:pPr>
              <w:spacing w:after="0" w:line="259" w:lineRule="auto"/>
              <w:ind w:left="0" w:right="0" w:firstLine="0"/>
              <w:jc w:val="left"/>
            </w:pPr>
            <w:r>
              <w:t>2021; Jain, 2022;</w:t>
            </w:r>
          </w:p>
          <w:p w:rsidR="00C87101" w:rsidRDefault="0093245B">
            <w:pPr>
              <w:spacing w:after="0" w:line="259" w:lineRule="auto"/>
              <w:ind w:left="0" w:right="0" w:firstLine="0"/>
              <w:jc w:val="left"/>
            </w:pPr>
            <w:r>
              <w:t>Blazakis et al.,</w:t>
            </w:r>
          </w:p>
          <w:p w:rsidR="00C87101" w:rsidRDefault="0093245B">
            <w:pPr>
              <w:spacing w:after="0" w:line="259" w:lineRule="auto"/>
              <w:ind w:left="0" w:right="0" w:firstLine="0"/>
              <w:jc w:val="left"/>
            </w:pPr>
            <w:r>
              <w:t>2024; Lim et al.,</w:t>
            </w:r>
          </w:p>
          <w:p w:rsidR="00C87101" w:rsidRDefault="0093245B">
            <w:pPr>
              <w:spacing w:after="0" w:line="259" w:lineRule="auto"/>
              <w:ind w:left="0" w:right="0" w:firstLine="0"/>
              <w:jc w:val="left"/>
            </w:pPr>
            <w:r>
              <w:t>2022; Unlu &amp;</w:t>
            </w:r>
          </w:p>
          <w:p w:rsidR="00C87101" w:rsidRDefault="0093245B">
            <w:pPr>
              <w:spacing w:after="0" w:line="259" w:lineRule="auto"/>
              <w:ind w:left="0" w:right="0" w:firstLine="0"/>
              <w:jc w:val="left"/>
            </w:pPr>
            <w:r>
              <w:t>Pen˜a, 2025)</w:t>
            </w:r>
          </w:p>
        </w:tc>
      </w:tr>
      <w:tr w:rsidR="00C87101">
        <w:trPr>
          <w:trHeight w:val="1674"/>
        </w:trPr>
        <w:tc>
          <w:tcPr>
            <w:tcW w:w="2626" w:type="dxa"/>
            <w:gridSpan w:val="2"/>
            <w:tcBorders>
              <w:top w:val="nil"/>
              <w:left w:val="nil"/>
              <w:bottom w:val="nil"/>
              <w:right w:val="nil"/>
            </w:tcBorders>
            <w:shd w:val="clear" w:color="auto" w:fill="E5E5E5"/>
          </w:tcPr>
          <w:p w:rsidR="00C87101" w:rsidRDefault="0093245B">
            <w:pPr>
              <w:spacing w:after="0" w:line="259" w:lineRule="auto"/>
              <w:ind w:left="120" w:right="81" w:firstLine="0"/>
              <w:jc w:val="left"/>
            </w:pPr>
            <w:r>
              <w:t>Deep learning models outperform statistical models in variable/extreme weather</w:t>
            </w:r>
          </w:p>
        </w:tc>
        <w:tc>
          <w:tcPr>
            <w:tcW w:w="1373" w:type="dxa"/>
            <w:tcBorders>
              <w:top w:val="nil"/>
              <w:left w:val="nil"/>
              <w:bottom w:val="nil"/>
              <w:right w:val="nil"/>
            </w:tcBorders>
            <w:shd w:val="clear" w:color="auto" w:fill="E5E5E5"/>
          </w:tcPr>
          <w:p w:rsidR="00C87101" w:rsidRDefault="0093245B">
            <w:pPr>
              <w:spacing w:after="0" w:line="259" w:lineRule="auto"/>
              <w:ind w:left="0" w:right="0" w:firstLine="0"/>
              <w:jc w:val="left"/>
            </w:pPr>
            <w:r>
              <w:t>Strong</w:t>
            </w:r>
          </w:p>
        </w:tc>
        <w:tc>
          <w:tcPr>
            <w:tcW w:w="2507" w:type="dxa"/>
            <w:tcBorders>
              <w:top w:val="nil"/>
              <w:left w:val="nil"/>
              <w:bottom w:val="nil"/>
              <w:right w:val="nil"/>
            </w:tcBorders>
            <w:shd w:val="clear" w:color="auto" w:fill="E5E5E5"/>
          </w:tcPr>
          <w:p w:rsidR="00C87101" w:rsidRDefault="0093245B">
            <w:pPr>
              <w:spacing w:after="0" w:line="259" w:lineRule="auto"/>
              <w:ind w:left="0" w:right="0" w:firstLine="0"/>
              <w:jc w:val="left"/>
            </w:pPr>
            <w:r>
              <w:t>Deep learning models capture nonlinearities and adapt to complex weather patterns better than statistical models</w:t>
            </w:r>
          </w:p>
        </w:tc>
        <w:tc>
          <w:tcPr>
            <w:tcW w:w="1820" w:type="dxa"/>
            <w:gridSpan w:val="3"/>
            <w:tcBorders>
              <w:top w:val="nil"/>
              <w:left w:val="nil"/>
              <w:bottom w:val="nil"/>
              <w:right w:val="nil"/>
            </w:tcBorders>
            <w:shd w:val="clear" w:color="auto" w:fill="E5E5E5"/>
          </w:tcPr>
          <w:p w:rsidR="00C87101" w:rsidRDefault="0093245B">
            <w:pPr>
              <w:spacing w:after="0" w:line="259" w:lineRule="auto"/>
              <w:ind w:left="0" w:right="0" w:firstLine="0"/>
              <w:jc w:val="left"/>
            </w:pPr>
            <w:r>
              <w:t>(Wang et al., 2021;</w:t>
            </w:r>
          </w:p>
          <w:p w:rsidR="00C87101" w:rsidRDefault="0093245B">
            <w:pPr>
              <w:spacing w:after="0" w:line="259" w:lineRule="auto"/>
              <w:ind w:left="0" w:right="0" w:firstLine="0"/>
              <w:jc w:val="left"/>
            </w:pPr>
            <w:r>
              <w:t>Quin˜ones et al.,</w:t>
            </w:r>
          </w:p>
          <w:p w:rsidR="00C87101" w:rsidRDefault="0093245B">
            <w:pPr>
              <w:spacing w:after="0" w:line="259" w:lineRule="auto"/>
              <w:ind w:left="0" w:right="0" w:firstLine="0"/>
              <w:jc w:val="left"/>
            </w:pPr>
            <w:r>
              <w:t>2023; Jain, 2022;</w:t>
            </w:r>
          </w:p>
          <w:p w:rsidR="00C87101" w:rsidRDefault="0093245B">
            <w:pPr>
              <w:spacing w:after="0" w:line="259" w:lineRule="auto"/>
              <w:ind w:left="0" w:right="0" w:firstLine="0"/>
              <w:jc w:val="left"/>
            </w:pPr>
            <w:r>
              <w:t>Blazakis et al.,</w:t>
            </w:r>
          </w:p>
          <w:p w:rsidR="00C87101" w:rsidRDefault="0093245B">
            <w:pPr>
              <w:spacing w:after="0" w:line="259" w:lineRule="auto"/>
              <w:ind w:left="0" w:right="0" w:firstLine="0"/>
              <w:jc w:val="left"/>
            </w:pPr>
            <w:r>
              <w:t>2024; Lim et al.,</w:t>
            </w:r>
          </w:p>
          <w:p w:rsidR="00C87101" w:rsidRDefault="0093245B">
            <w:pPr>
              <w:spacing w:after="0" w:line="259" w:lineRule="auto"/>
              <w:ind w:left="0" w:right="0" w:firstLine="0"/>
              <w:jc w:val="left"/>
            </w:pPr>
            <w:r>
              <w:t>2022; Unlu &amp;</w:t>
            </w:r>
          </w:p>
          <w:p w:rsidR="00C87101" w:rsidRDefault="0093245B">
            <w:pPr>
              <w:spacing w:after="0" w:line="259" w:lineRule="auto"/>
              <w:ind w:left="0" w:right="0" w:firstLine="0"/>
              <w:jc w:val="left"/>
            </w:pPr>
            <w:r>
              <w:t>Pen˜a, 2025)</w:t>
            </w:r>
          </w:p>
        </w:tc>
      </w:tr>
      <w:tr w:rsidR="00C87101">
        <w:trPr>
          <w:gridBefore w:val="1"/>
          <w:gridAfter w:val="2"/>
          <w:wBefore w:w="119" w:type="dxa"/>
          <w:wAfter w:w="237" w:type="dxa"/>
          <w:trHeight w:val="1133"/>
        </w:trPr>
        <w:tc>
          <w:tcPr>
            <w:tcW w:w="2507" w:type="dxa"/>
            <w:tcBorders>
              <w:top w:val="nil"/>
              <w:left w:val="nil"/>
              <w:bottom w:val="nil"/>
              <w:right w:val="nil"/>
            </w:tcBorders>
          </w:tcPr>
          <w:p w:rsidR="00C87101" w:rsidRDefault="0093245B">
            <w:pPr>
              <w:spacing w:after="0" w:line="259" w:lineRule="auto"/>
              <w:ind w:left="0" w:right="0" w:firstLine="0"/>
              <w:jc w:val="left"/>
            </w:pPr>
            <w:r>
              <w:t>Statistical models remain competitive in stable or data-scarce regimes</w:t>
            </w:r>
          </w:p>
        </w:tc>
        <w:tc>
          <w:tcPr>
            <w:tcW w:w="1373" w:type="dxa"/>
            <w:tcBorders>
              <w:top w:val="nil"/>
              <w:left w:val="nil"/>
              <w:bottom w:val="nil"/>
              <w:right w:val="nil"/>
            </w:tcBorders>
          </w:tcPr>
          <w:p w:rsidR="00C87101" w:rsidRDefault="0093245B">
            <w:pPr>
              <w:spacing w:after="0" w:line="259" w:lineRule="auto"/>
              <w:ind w:left="0" w:right="0" w:firstLine="0"/>
              <w:jc w:val="left"/>
            </w:pPr>
            <w:r>
              <w:t>Moderate</w:t>
            </w:r>
          </w:p>
        </w:tc>
        <w:tc>
          <w:tcPr>
            <w:tcW w:w="2507" w:type="dxa"/>
            <w:tcBorders>
              <w:top w:val="nil"/>
              <w:left w:val="nil"/>
              <w:bottom w:val="nil"/>
              <w:right w:val="nil"/>
            </w:tcBorders>
          </w:tcPr>
          <w:p w:rsidR="00C87101" w:rsidRDefault="0093245B">
            <w:pPr>
              <w:spacing w:after="0" w:line="259" w:lineRule="auto"/>
              <w:ind w:left="0" w:right="261" w:firstLine="0"/>
              <w:jc w:val="left"/>
            </w:pPr>
            <w:r>
              <w:t>Simpler models perform well under stable conditions and require less data</w:t>
            </w:r>
          </w:p>
        </w:tc>
        <w:tc>
          <w:tcPr>
            <w:tcW w:w="1583" w:type="dxa"/>
            <w:tcBorders>
              <w:top w:val="nil"/>
              <w:left w:val="nil"/>
              <w:bottom w:val="nil"/>
              <w:right w:val="nil"/>
            </w:tcBorders>
          </w:tcPr>
          <w:p w:rsidR="00C87101" w:rsidRDefault="0093245B">
            <w:pPr>
              <w:spacing w:after="0" w:line="259" w:lineRule="auto"/>
              <w:ind w:left="0" w:right="0" w:firstLine="0"/>
              <w:jc w:val="left"/>
            </w:pPr>
            <w:r>
              <w:t>(Cervantes et al.,</w:t>
            </w:r>
          </w:p>
          <w:p w:rsidR="00C87101" w:rsidRDefault="0093245B">
            <w:pPr>
              <w:spacing w:after="0" w:line="259" w:lineRule="auto"/>
              <w:ind w:left="0" w:right="0" w:firstLine="0"/>
            </w:pPr>
            <w:r>
              <w:t>2025; Wang et al.,</w:t>
            </w:r>
          </w:p>
          <w:p w:rsidR="00C87101" w:rsidRDefault="0093245B">
            <w:pPr>
              <w:spacing w:after="0" w:line="259" w:lineRule="auto"/>
              <w:ind w:left="0" w:right="0" w:firstLine="0"/>
              <w:jc w:val="left"/>
            </w:pPr>
            <w:r>
              <w:t>2021; Jain, 2022;</w:t>
            </w:r>
          </w:p>
          <w:p w:rsidR="00C87101" w:rsidRDefault="0093245B">
            <w:pPr>
              <w:spacing w:after="0" w:line="259" w:lineRule="auto"/>
              <w:ind w:left="0" w:right="0" w:firstLine="0"/>
              <w:jc w:val="left"/>
            </w:pPr>
            <w:r>
              <w:t>Blazakis et al.,</w:t>
            </w:r>
          </w:p>
          <w:p w:rsidR="00C87101" w:rsidRDefault="0093245B">
            <w:pPr>
              <w:spacing w:after="0" w:line="259" w:lineRule="auto"/>
              <w:ind w:left="0" w:right="0" w:firstLine="0"/>
              <w:jc w:val="left"/>
            </w:pPr>
            <w:r>
              <w:t>2024)</w:t>
            </w:r>
          </w:p>
        </w:tc>
      </w:tr>
      <w:tr w:rsidR="00C87101">
        <w:tblPrEx>
          <w:tblCellMar>
            <w:top w:w="29" w:type="dxa"/>
            <w:right w:w="115" w:type="dxa"/>
          </w:tblCellMar>
        </w:tblPrEx>
        <w:trPr>
          <w:trHeight w:val="956"/>
        </w:trPr>
        <w:tc>
          <w:tcPr>
            <w:tcW w:w="2626" w:type="dxa"/>
            <w:gridSpan w:val="2"/>
            <w:tcBorders>
              <w:top w:val="nil"/>
              <w:left w:val="nil"/>
              <w:bottom w:val="nil"/>
              <w:right w:val="nil"/>
            </w:tcBorders>
            <w:shd w:val="clear" w:color="auto" w:fill="E5E5E5"/>
          </w:tcPr>
          <w:p w:rsidR="00C87101" w:rsidRDefault="0093245B">
            <w:pPr>
              <w:spacing w:after="0" w:line="259" w:lineRule="auto"/>
              <w:ind w:left="120" w:right="30" w:firstLine="0"/>
              <w:jc w:val="left"/>
            </w:pPr>
            <w:r>
              <w:t>Hybrid/meta-learning frameworks further enhance adaptability</w:t>
            </w:r>
          </w:p>
        </w:tc>
        <w:tc>
          <w:tcPr>
            <w:tcW w:w="1373" w:type="dxa"/>
            <w:tcBorders>
              <w:top w:val="nil"/>
              <w:left w:val="nil"/>
              <w:bottom w:val="nil"/>
              <w:right w:val="nil"/>
            </w:tcBorders>
            <w:shd w:val="clear" w:color="auto" w:fill="E5E5E5"/>
          </w:tcPr>
          <w:p w:rsidR="00C87101" w:rsidRDefault="0093245B">
            <w:pPr>
              <w:spacing w:after="0" w:line="259" w:lineRule="auto"/>
              <w:ind w:left="0" w:right="0" w:firstLine="0"/>
              <w:jc w:val="left"/>
            </w:pPr>
            <w:r>
              <w:t>Moderate</w:t>
            </w:r>
          </w:p>
        </w:tc>
        <w:tc>
          <w:tcPr>
            <w:tcW w:w="2507" w:type="dxa"/>
            <w:tcBorders>
              <w:top w:val="nil"/>
              <w:left w:val="nil"/>
              <w:bottom w:val="nil"/>
              <w:right w:val="nil"/>
            </w:tcBorders>
            <w:shd w:val="clear" w:color="auto" w:fill="E5E5E5"/>
          </w:tcPr>
          <w:p w:rsidR="00C87101" w:rsidRDefault="0093245B">
            <w:pPr>
              <w:spacing w:after="0" w:line="259" w:lineRule="auto"/>
              <w:ind w:left="0" w:right="21" w:firstLine="0"/>
              <w:jc w:val="left"/>
            </w:pPr>
            <w:r>
              <w:t>Meta-learning and hybrid approaches automate model selection and improve robustness</w:t>
            </w:r>
          </w:p>
        </w:tc>
        <w:tc>
          <w:tcPr>
            <w:tcW w:w="1820" w:type="dxa"/>
            <w:gridSpan w:val="3"/>
            <w:tcBorders>
              <w:top w:val="nil"/>
              <w:left w:val="nil"/>
              <w:bottom w:val="nil"/>
              <w:right w:val="nil"/>
            </w:tcBorders>
            <w:shd w:val="clear" w:color="auto" w:fill="E5E5E5"/>
          </w:tcPr>
          <w:p w:rsidR="00C87101" w:rsidRDefault="0093245B">
            <w:pPr>
              <w:spacing w:after="0" w:line="259" w:lineRule="auto"/>
              <w:ind w:left="0" w:right="9" w:firstLine="0"/>
              <w:jc w:val="left"/>
            </w:pPr>
            <w:r>
              <w:t>(Sarmas et al., 2023; Blazakis et al., 2024; Lim et al., 2022)</w:t>
            </w:r>
          </w:p>
        </w:tc>
      </w:tr>
      <w:tr w:rsidR="00C87101">
        <w:trPr>
          <w:gridBefore w:val="1"/>
          <w:gridAfter w:val="1"/>
          <w:wBefore w:w="119" w:type="dxa"/>
          <w:wAfter w:w="202" w:type="dxa"/>
          <w:trHeight w:val="1851"/>
        </w:trPr>
        <w:tc>
          <w:tcPr>
            <w:tcW w:w="2507" w:type="dxa"/>
            <w:tcBorders>
              <w:top w:val="nil"/>
              <w:left w:val="nil"/>
              <w:bottom w:val="nil"/>
              <w:right w:val="nil"/>
            </w:tcBorders>
          </w:tcPr>
          <w:p w:rsidR="00C87101" w:rsidRDefault="0093245B">
            <w:pPr>
              <w:spacing w:after="0" w:line="259" w:lineRule="auto"/>
              <w:ind w:left="0" w:right="188" w:firstLine="0"/>
              <w:jc w:val="left"/>
            </w:pPr>
            <w:r>
              <w:t>Implementation complexity and data requirements are barriers</w:t>
            </w:r>
          </w:p>
        </w:tc>
        <w:tc>
          <w:tcPr>
            <w:tcW w:w="1373" w:type="dxa"/>
            <w:tcBorders>
              <w:top w:val="nil"/>
              <w:left w:val="nil"/>
              <w:bottom w:val="nil"/>
              <w:right w:val="nil"/>
            </w:tcBorders>
          </w:tcPr>
          <w:p w:rsidR="00C87101" w:rsidRDefault="0093245B">
            <w:pPr>
              <w:spacing w:after="0" w:line="259" w:lineRule="auto"/>
              <w:ind w:left="0" w:right="0" w:firstLine="0"/>
              <w:jc w:val="left"/>
            </w:pPr>
            <w:r>
              <w:t>Moderate</w:t>
            </w:r>
          </w:p>
        </w:tc>
        <w:tc>
          <w:tcPr>
            <w:tcW w:w="2507" w:type="dxa"/>
            <w:tcBorders>
              <w:top w:val="nil"/>
              <w:left w:val="nil"/>
              <w:bottom w:val="nil"/>
              <w:right w:val="nil"/>
            </w:tcBorders>
          </w:tcPr>
          <w:p w:rsidR="00C87101" w:rsidRDefault="0093245B">
            <w:pPr>
              <w:spacing w:after="0" w:line="259" w:lineRule="auto"/>
              <w:ind w:left="0" w:right="51" w:firstLine="0"/>
              <w:jc w:val="left"/>
            </w:pPr>
            <w:r>
              <w:t>Adaptive frameworks require high-quality data and significant computational resources</w:t>
            </w:r>
          </w:p>
        </w:tc>
        <w:tc>
          <w:tcPr>
            <w:tcW w:w="1618" w:type="dxa"/>
            <w:gridSpan w:val="2"/>
            <w:tcBorders>
              <w:top w:val="nil"/>
              <w:left w:val="nil"/>
              <w:bottom w:val="nil"/>
              <w:right w:val="nil"/>
            </w:tcBorders>
          </w:tcPr>
          <w:p w:rsidR="00C87101" w:rsidRDefault="0093245B">
            <w:pPr>
              <w:spacing w:after="0" w:line="259" w:lineRule="auto"/>
              <w:ind w:left="0" w:right="0" w:firstLine="0"/>
              <w:jc w:val="left"/>
            </w:pPr>
            <w:r>
              <w:t>(Cervantes et al.,</w:t>
            </w:r>
          </w:p>
          <w:p w:rsidR="00C87101" w:rsidRDefault="0093245B">
            <w:pPr>
              <w:spacing w:after="0" w:line="259" w:lineRule="auto"/>
              <w:ind w:left="0" w:right="0" w:firstLine="0"/>
            </w:pPr>
            <w:r>
              <w:t>2025; Serras et al.,</w:t>
            </w:r>
          </w:p>
          <w:p w:rsidR="00C87101" w:rsidRDefault="0093245B">
            <w:pPr>
              <w:spacing w:after="0" w:line="259" w:lineRule="auto"/>
              <w:ind w:left="0" w:right="0" w:firstLine="0"/>
            </w:pPr>
            <w:r>
              <w:t>2024; Wang et al.,</w:t>
            </w:r>
          </w:p>
          <w:p w:rsidR="00C87101" w:rsidRDefault="0093245B">
            <w:pPr>
              <w:spacing w:after="0" w:line="259" w:lineRule="auto"/>
              <w:ind w:left="0" w:right="0" w:firstLine="0"/>
              <w:jc w:val="left"/>
            </w:pPr>
            <w:r>
              <w:t>2021; Jain, 2022;</w:t>
            </w:r>
          </w:p>
          <w:p w:rsidR="00C87101" w:rsidRDefault="0093245B">
            <w:pPr>
              <w:spacing w:after="0" w:line="259" w:lineRule="auto"/>
              <w:ind w:left="0" w:right="0" w:firstLine="0"/>
              <w:jc w:val="left"/>
            </w:pPr>
            <w:r>
              <w:t>Blazakis et al.,</w:t>
            </w:r>
          </w:p>
          <w:p w:rsidR="00C87101" w:rsidRDefault="0093245B">
            <w:pPr>
              <w:spacing w:after="0" w:line="259" w:lineRule="auto"/>
              <w:ind w:left="0" w:right="0" w:firstLine="0"/>
              <w:jc w:val="left"/>
            </w:pPr>
            <w:r>
              <w:t>2024; Lim et al.,</w:t>
            </w:r>
          </w:p>
          <w:p w:rsidR="00C87101" w:rsidRDefault="0093245B">
            <w:pPr>
              <w:spacing w:after="0" w:line="259" w:lineRule="auto"/>
              <w:ind w:left="0" w:right="0" w:firstLine="0"/>
              <w:jc w:val="left"/>
            </w:pPr>
            <w:r>
              <w:t>2022; Unlu &amp;</w:t>
            </w:r>
          </w:p>
          <w:p w:rsidR="00C87101" w:rsidRDefault="0093245B">
            <w:pPr>
              <w:spacing w:after="0" w:line="259" w:lineRule="auto"/>
              <w:ind w:left="0" w:right="0" w:firstLine="0"/>
              <w:jc w:val="left"/>
            </w:pPr>
            <w:r>
              <w:t>Pen˜a, 2025)</w:t>
            </w:r>
          </w:p>
        </w:tc>
      </w:tr>
      <w:tr w:rsidR="00C87101">
        <w:tblPrEx>
          <w:tblCellMar>
            <w:top w:w="29" w:type="dxa"/>
            <w:right w:w="115" w:type="dxa"/>
          </w:tblCellMar>
        </w:tblPrEx>
        <w:trPr>
          <w:trHeight w:val="1913"/>
        </w:trPr>
        <w:tc>
          <w:tcPr>
            <w:tcW w:w="2626" w:type="dxa"/>
            <w:gridSpan w:val="2"/>
            <w:tcBorders>
              <w:top w:val="nil"/>
              <w:left w:val="nil"/>
              <w:bottom w:val="nil"/>
              <w:right w:val="nil"/>
            </w:tcBorders>
            <w:shd w:val="clear" w:color="auto" w:fill="E5E5E5"/>
          </w:tcPr>
          <w:p w:rsidR="00C87101" w:rsidRDefault="0093245B">
            <w:pPr>
              <w:spacing w:after="0" w:line="259" w:lineRule="auto"/>
              <w:ind w:left="120" w:right="9" w:firstLine="0"/>
              <w:jc w:val="left"/>
            </w:pPr>
            <w:r>
              <w:t>Transferability and interpretability need further research</w:t>
            </w:r>
          </w:p>
        </w:tc>
        <w:tc>
          <w:tcPr>
            <w:tcW w:w="1373" w:type="dxa"/>
            <w:tcBorders>
              <w:top w:val="nil"/>
              <w:left w:val="nil"/>
              <w:bottom w:val="nil"/>
              <w:right w:val="nil"/>
            </w:tcBorders>
            <w:shd w:val="clear" w:color="auto" w:fill="E5E5E5"/>
          </w:tcPr>
          <w:p w:rsidR="00C87101" w:rsidRDefault="0093245B">
            <w:pPr>
              <w:spacing w:after="0" w:line="259" w:lineRule="auto"/>
              <w:ind w:left="0" w:right="0" w:firstLine="0"/>
              <w:jc w:val="left"/>
            </w:pPr>
            <w:r>
              <w:t>Moderate</w:t>
            </w:r>
          </w:p>
        </w:tc>
        <w:tc>
          <w:tcPr>
            <w:tcW w:w="2507" w:type="dxa"/>
            <w:tcBorders>
              <w:top w:val="nil"/>
              <w:left w:val="nil"/>
              <w:bottom w:val="nil"/>
              <w:right w:val="nil"/>
            </w:tcBorders>
            <w:shd w:val="clear" w:color="auto" w:fill="E5E5E5"/>
          </w:tcPr>
          <w:p w:rsidR="00C87101" w:rsidRDefault="0093245B">
            <w:pPr>
              <w:spacing w:after="0" w:line="259" w:lineRule="auto"/>
              <w:ind w:left="0" w:right="0" w:firstLine="0"/>
              <w:jc w:val="left"/>
            </w:pPr>
            <w:r>
              <w:t>Limited studies on generalizability and transparency of adaptive model selection</w:t>
            </w:r>
          </w:p>
        </w:tc>
        <w:tc>
          <w:tcPr>
            <w:tcW w:w="1820" w:type="dxa"/>
            <w:gridSpan w:val="3"/>
            <w:tcBorders>
              <w:top w:val="nil"/>
              <w:left w:val="nil"/>
              <w:bottom w:val="nil"/>
              <w:right w:val="nil"/>
            </w:tcBorders>
            <w:shd w:val="clear" w:color="auto" w:fill="E5E5E5"/>
          </w:tcPr>
          <w:p w:rsidR="00C87101" w:rsidRDefault="0093245B">
            <w:pPr>
              <w:spacing w:after="0" w:line="259" w:lineRule="auto"/>
              <w:ind w:left="0" w:right="0" w:firstLine="0"/>
              <w:jc w:val="left"/>
            </w:pPr>
            <w:r>
              <w:t>(Cervantes et al.,</w:t>
            </w:r>
          </w:p>
          <w:p w:rsidR="00C87101" w:rsidRDefault="0093245B">
            <w:pPr>
              <w:spacing w:after="0" w:line="259" w:lineRule="auto"/>
              <w:ind w:left="0" w:right="0" w:firstLine="0"/>
              <w:jc w:val="left"/>
            </w:pPr>
            <w:r>
              <w:t>2025; Serras et al.,</w:t>
            </w:r>
          </w:p>
          <w:p w:rsidR="00C87101" w:rsidRDefault="0093245B">
            <w:pPr>
              <w:spacing w:after="0" w:line="259" w:lineRule="auto"/>
              <w:ind w:left="0" w:right="0" w:firstLine="0"/>
              <w:jc w:val="left"/>
            </w:pPr>
            <w:r>
              <w:t>2024; Wang et al.,</w:t>
            </w:r>
          </w:p>
          <w:p w:rsidR="00C87101" w:rsidRDefault="0093245B">
            <w:pPr>
              <w:spacing w:after="0" w:line="259" w:lineRule="auto"/>
              <w:ind w:left="0" w:right="0" w:firstLine="0"/>
              <w:jc w:val="left"/>
            </w:pPr>
            <w:r>
              <w:t>2021; Jain, 2022;</w:t>
            </w:r>
          </w:p>
          <w:p w:rsidR="00C87101" w:rsidRDefault="0093245B">
            <w:pPr>
              <w:spacing w:after="0" w:line="259" w:lineRule="auto"/>
              <w:ind w:left="0" w:right="0" w:firstLine="0"/>
              <w:jc w:val="left"/>
            </w:pPr>
            <w:r>
              <w:t>Blazakis et al.,</w:t>
            </w:r>
          </w:p>
          <w:p w:rsidR="00C87101" w:rsidRDefault="0093245B">
            <w:pPr>
              <w:spacing w:after="0" w:line="259" w:lineRule="auto"/>
              <w:ind w:left="0" w:right="0" w:firstLine="0"/>
              <w:jc w:val="left"/>
            </w:pPr>
            <w:r>
              <w:t>2024; Lim et al.,</w:t>
            </w:r>
          </w:p>
          <w:p w:rsidR="00C87101" w:rsidRDefault="0093245B">
            <w:pPr>
              <w:spacing w:after="0" w:line="259" w:lineRule="auto"/>
              <w:ind w:left="0" w:right="0" w:firstLine="0"/>
              <w:jc w:val="left"/>
            </w:pPr>
            <w:r>
              <w:t>2022; Unlu &amp;</w:t>
            </w:r>
          </w:p>
          <w:p w:rsidR="00C87101" w:rsidRDefault="0093245B">
            <w:pPr>
              <w:spacing w:after="0" w:line="259" w:lineRule="auto"/>
              <w:ind w:left="0" w:right="0" w:firstLine="0"/>
              <w:jc w:val="left"/>
            </w:pPr>
            <w:r>
              <w:t>Pen˜a, 2025)</w:t>
            </w:r>
          </w:p>
        </w:tc>
      </w:tr>
    </w:tbl>
    <w:p w:rsidR="00C87101" w:rsidRDefault="0093245B">
      <w:pPr>
        <w:spacing w:after="227" w:line="259" w:lineRule="auto"/>
        <w:ind w:left="350" w:right="0" w:firstLine="0"/>
        <w:jc w:val="left"/>
      </w:pPr>
      <w:r>
        <w:rPr>
          <w:rFonts w:ascii="Calibri" w:eastAsia="Calibri" w:hAnsi="Calibri" w:cs="Calibri"/>
          <w:noProof/>
          <w:sz w:val="22"/>
        </w:rPr>
        <mc:AlternateContent>
          <mc:Choice Requires="wpg">
            <w:drawing>
              <wp:inline distT="0" distB="0" distL="0" distR="0">
                <wp:extent cx="5287328" cy="10122"/>
                <wp:effectExtent l="0" t="0" r="0" b="0"/>
                <wp:docPr id="6242" name="Group 6242"/>
                <wp:cNvGraphicFramePr/>
                <a:graphic xmlns:a="http://schemas.openxmlformats.org/drawingml/2006/main">
                  <a:graphicData uri="http://schemas.microsoft.com/office/word/2010/wordprocessingGroup">
                    <wpg:wgp>
                      <wpg:cNvGrpSpPr/>
                      <wpg:grpSpPr>
                        <a:xfrm>
                          <a:off x="0" y="0"/>
                          <a:ext cx="5287328" cy="10122"/>
                          <a:chOff x="0" y="0"/>
                          <a:chExt cx="5287328" cy="10122"/>
                        </a:xfrm>
                      </wpg:grpSpPr>
                      <wps:wsp>
                        <wps:cNvPr id="325" name="Shape 325"/>
                        <wps:cNvSpPr/>
                        <wps:spPr>
                          <a:xfrm>
                            <a:off x="0" y="0"/>
                            <a:ext cx="5287328" cy="0"/>
                          </a:xfrm>
                          <a:custGeom>
                            <a:avLst/>
                            <a:gdLst/>
                            <a:ahLst/>
                            <a:cxnLst/>
                            <a:rect l="0" t="0" r="0" b="0"/>
                            <a:pathLst>
                              <a:path w="5287328">
                                <a:moveTo>
                                  <a:pt x="0" y="0"/>
                                </a:moveTo>
                                <a:lnTo>
                                  <a:pt x="528732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2" style="width:416.325pt;height:0.797pt;mso-position-horizontal-relative:char;mso-position-vertical-relative:line" coordsize="52873,101">
                <v:shape id="Shape 325" style="position:absolute;width:52873;height:0;left:0;top:0;" coordsize="5287328,0" path="m0,0l5287328,0">
                  <v:stroke weight="0.797pt" endcap="flat" joinstyle="miter" miterlimit="10" on="true" color="#000000"/>
                  <v:fill on="false" color="#000000" opacity="0"/>
                </v:shape>
              </v:group>
            </w:pict>
          </mc:Fallback>
        </mc:AlternateContent>
      </w:r>
    </w:p>
    <w:p w:rsidR="00C87101" w:rsidRDefault="0093245B">
      <w:pPr>
        <w:spacing w:after="836"/>
        <w:ind w:left="1531" w:right="1425"/>
      </w:pPr>
      <w:r>
        <w:t>Table 2: Key claims and support evidence identified in these papers.</w:t>
      </w:r>
    </w:p>
    <w:p w:rsidR="00C87101" w:rsidRDefault="0093245B">
      <w:pPr>
        <w:pStyle w:val="Heading2"/>
        <w:numPr>
          <w:ilvl w:val="0"/>
          <w:numId w:val="0"/>
        </w:numPr>
        <w:tabs>
          <w:tab w:val="center" w:pos="4053"/>
          <w:tab w:val="center" w:pos="6042"/>
          <w:tab w:val="center" w:pos="8021"/>
          <w:tab w:val="right" w:pos="10466"/>
        </w:tabs>
        <w:spacing w:before="93" w:after="72" w:line="259" w:lineRule="auto"/>
        <w:ind w:right="-14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8420722</wp:posOffset>
                </wp:positionV>
                <wp:extent cx="6645605" cy="10122"/>
                <wp:effectExtent l="0" t="0" r="0" b="0"/>
                <wp:wrapTopAndBottom/>
                <wp:docPr id="6243" name="Group 6243"/>
                <wp:cNvGraphicFramePr/>
                <a:graphic xmlns:a="http://schemas.openxmlformats.org/drawingml/2006/main">
                  <a:graphicData uri="http://schemas.microsoft.com/office/word/2010/wordprocessingGroup">
                    <wpg:wgp>
                      <wpg:cNvGrpSpPr/>
                      <wpg:grpSpPr>
                        <a:xfrm>
                          <a:off x="0" y="0"/>
                          <a:ext cx="6645605" cy="10122"/>
                          <a:chOff x="0" y="0"/>
                          <a:chExt cx="6645605" cy="10122"/>
                        </a:xfrm>
                      </wpg:grpSpPr>
                      <wps:wsp>
                        <wps:cNvPr id="327" name="Shape 327"/>
                        <wps:cNvSpPr/>
                        <wps:spPr>
                          <a:xfrm>
                            <a:off x="0" y="0"/>
                            <a:ext cx="6645605" cy="0"/>
                          </a:xfrm>
                          <a:custGeom>
                            <a:avLst/>
                            <a:gdLst/>
                            <a:ahLst/>
                            <a:cxnLst/>
                            <a:rect l="0" t="0" r="0" b="0"/>
                            <a:pathLst>
                              <a:path w="6645605">
                                <a:moveTo>
                                  <a:pt x="6645605"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43" style="width:523.276pt;height:0.797pt;position:absolute;mso-position-horizontal-relative:page;mso-position-horizontal:absolute;margin-left:72pt;mso-position-vertical-relative:page;margin-top:663.049pt;" coordsize="66456,101">
                <v:shape id="Shape 327" style="position:absolute;width:66456;height:0;left:0;top:0;" coordsize="6645605,0" path="m6645605,0l0,0">
                  <v:stroke weight="0.797pt" endcap="flat" joinstyle="miter" miterlimit="10"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914400</wp:posOffset>
                </wp:positionH>
                <wp:positionV relativeFrom="page">
                  <wp:posOffset>8637969</wp:posOffset>
                </wp:positionV>
                <wp:extent cx="6645605" cy="6325"/>
                <wp:effectExtent l="0" t="0" r="0" b="0"/>
                <wp:wrapTopAndBottom/>
                <wp:docPr id="6244" name="Group 6244"/>
                <wp:cNvGraphicFramePr/>
                <a:graphic xmlns:a="http://schemas.openxmlformats.org/drawingml/2006/main">
                  <a:graphicData uri="http://schemas.microsoft.com/office/word/2010/wordprocessingGroup">
                    <wpg:wgp>
                      <wpg:cNvGrpSpPr/>
                      <wpg:grpSpPr>
                        <a:xfrm>
                          <a:off x="0" y="0"/>
                          <a:ext cx="6645605" cy="6325"/>
                          <a:chOff x="0" y="0"/>
                          <a:chExt cx="6645605" cy="6325"/>
                        </a:xfrm>
                      </wpg:grpSpPr>
                      <wps:wsp>
                        <wps:cNvPr id="330" name="Shape 330"/>
                        <wps:cNvSpPr/>
                        <wps:spPr>
                          <a:xfrm>
                            <a:off x="0" y="0"/>
                            <a:ext cx="6645605" cy="0"/>
                          </a:xfrm>
                          <a:custGeom>
                            <a:avLst/>
                            <a:gdLst/>
                            <a:ahLst/>
                            <a:cxnLst/>
                            <a:rect l="0" t="0" r="0" b="0"/>
                            <a:pathLst>
                              <a:path w="6645605">
                                <a:moveTo>
                                  <a:pt x="664560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44" style="width:523.276pt;height:0.498pt;position:absolute;mso-position-horizontal-relative:page;mso-position-horizontal:absolute;margin-left:72pt;mso-position-vertical-relative:page;margin-top:680.155pt;" coordsize="66456,63">
                <v:shape id="Shape 330" style="position:absolute;width:66456;height:0;left:0;top:0;" coordsize="6645605,0" path="m6645605,0l0,0">
                  <v:stroke weight="0.498pt" endcap="flat" joinstyle="miter" miterlimit="10"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9310713</wp:posOffset>
                </wp:positionV>
                <wp:extent cx="6645605" cy="10122"/>
                <wp:effectExtent l="0" t="0" r="0" b="0"/>
                <wp:wrapTopAndBottom/>
                <wp:docPr id="6245" name="Group 6245"/>
                <wp:cNvGraphicFramePr/>
                <a:graphic xmlns:a="http://schemas.openxmlformats.org/drawingml/2006/main">
                  <a:graphicData uri="http://schemas.microsoft.com/office/word/2010/wordprocessingGroup">
                    <wpg:wgp>
                      <wpg:cNvGrpSpPr/>
                      <wpg:grpSpPr>
                        <a:xfrm>
                          <a:off x="0" y="0"/>
                          <a:ext cx="6645605" cy="10122"/>
                          <a:chOff x="0" y="0"/>
                          <a:chExt cx="6645605" cy="10122"/>
                        </a:xfrm>
                      </wpg:grpSpPr>
                      <wps:wsp>
                        <wps:cNvPr id="339" name="Shape 339"/>
                        <wps:cNvSpPr/>
                        <wps:spPr>
                          <a:xfrm>
                            <a:off x="0" y="0"/>
                            <a:ext cx="6645605" cy="0"/>
                          </a:xfrm>
                          <a:custGeom>
                            <a:avLst/>
                            <a:gdLst/>
                            <a:ahLst/>
                            <a:cxnLst/>
                            <a:rect l="0" t="0" r="0" b="0"/>
                            <a:pathLst>
                              <a:path w="6645605">
                                <a:moveTo>
                                  <a:pt x="6645605"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45" style="width:523.276pt;height:0.797pt;position:absolute;mso-position-horizontal-relative:page;mso-position-horizontal:absolute;margin-left:72pt;mso-position-vertical-relative:page;margin-top:733.127pt;" coordsize="66456,101">
                <v:shape id="Shape 339" style="position:absolute;width:66456;height:0;left:0;top:0;" coordsize="6645605,0" path="m6645605,0l0,0">
                  <v:stroke weight="0.797pt" endcap="flat" joinstyle="miter" miterlimit="10" on="true" color="#000000"/>
                  <v:fill on="false" color="#000000" opacity="0"/>
                </v:shape>
                <w10:wrap type="topAndBottom"/>
              </v:group>
            </w:pict>
          </mc:Fallback>
        </mc:AlternateContent>
      </w:r>
      <w:r>
        <w:rPr>
          <w:sz w:val="20"/>
        </w:rPr>
        <w:t>Topic / Attribute</w:t>
      </w:r>
      <w:r>
        <w:rPr>
          <w:sz w:val="20"/>
        </w:rPr>
        <w:tab/>
        <w:t>Solar Forecasting</w:t>
      </w:r>
      <w:r>
        <w:rPr>
          <w:sz w:val="20"/>
        </w:rPr>
        <w:tab/>
        <w:t>Wind Forecasting</w:t>
      </w:r>
      <w:r>
        <w:rPr>
          <w:sz w:val="20"/>
        </w:rPr>
        <w:tab/>
        <w:t>Load Forecasting</w:t>
      </w:r>
      <w:r>
        <w:rPr>
          <w:sz w:val="20"/>
        </w:rPr>
        <w:tab/>
        <w:t>Hybrid/Ensem</w:t>
      </w:r>
    </w:p>
    <w:p w:rsidR="00C87101" w:rsidRDefault="0093245B">
      <w:pPr>
        <w:spacing w:before="90" w:after="75" w:line="279" w:lineRule="auto"/>
        <w:ind w:left="120" w:right="-27" w:firstLine="0"/>
        <w:jc w:val="left"/>
      </w:pPr>
      <w:r>
        <w:t>Weather-Driven Model Selection</w:t>
      </w:r>
      <w:r>
        <w:tab/>
        <w:t>7</w:t>
      </w:r>
      <w:r>
        <w:tab/>
        <w:t>6</w:t>
      </w:r>
      <w:r>
        <w:tab/>
        <w:t>3</w:t>
      </w:r>
      <w:r>
        <w:tab/>
        <w:t>5 Static Model Comparison</w:t>
      </w:r>
      <w:r>
        <w:tab/>
        <w:t>5</w:t>
      </w:r>
      <w:r>
        <w:tab/>
        <w:t>4</w:t>
      </w:r>
      <w:r>
        <w:tab/>
        <w:t>2</w:t>
      </w:r>
      <w:r>
        <w:tab/>
        <w:t>3 Probabilistic Forecasting</w:t>
      </w:r>
      <w:r>
        <w:tab/>
        <w:t>2</w:t>
      </w:r>
      <w:r>
        <w:tab/>
        <w:t>2</w:t>
      </w:r>
      <w:r>
        <w:tab/>
      </w:r>
      <w:r>
        <w:t>1</w:t>
      </w:r>
      <w:r>
        <w:tab/>
        <w:t>1 Long-Term Forecasting</w:t>
      </w:r>
      <w:r>
        <w:tab/>
        <w:t>1</w:t>
      </w:r>
      <w:r>
        <w:tab/>
        <w:t>1</w:t>
      </w:r>
      <w:r>
        <w:tab/>
        <w:t>1</w:t>
      </w:r>
      <w:r>
        <w:tab/>
        <w:t>GA</w:t>
      </w:r>
    </w:p>
    <w:p w:rsidR="00C87101" w:rsidRDefault="0093245B">
      <w:pPr>
        <w:spacing w:before="227"/>
        <w:ind w:left="41" w:right="1425"/>
      </w:pPr>
      <w:r>
        <w:t>Table 3: Heatmap of research coverage by topic and study attribute, highlighting underexplored areas.</w:t>
      </w:r>
    </w:p>
    <w:sectPr w:rsidR="00C87101">
      <w:footerReference w:type="even" r:id="rId7"/>
      <w:footerReference w:type="default" r:id="rId8"/>
      <w:footerReference w:type="first" r:id="rId9"/>
      <w:pgSz w:w="11906" w:h="16838"/>
      <w:pgMar w:top="1473" w:right="0" w:bottom="1771"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45B" w:rsidRDefault="0093245B">
      <w:pPr>
        <w:spacing w:after="0" w:line="240" w:lineRule="auto"/>
      </w:pPr>
      <w:r>
        <w:separator/>
      </w:r>
    </w:p>
  </w:endnote>
  <w:endnote w:type="continuationSeparator" w:id="0">
    <w:p w:rsidR="0093245B" w:rsidRDefault="00932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101" w:rsidRDefault="0093245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101" w:rsidRDefault="0093245B">
    <w:pPr>
      <w:spacing w:after="0" w:line="259" w:lineRule="auto"/>
      <w:ind w:left="0" w:firstLine="0"/>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101" w:rsidRDefault="0093245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45B" w:rsidRDefault="0093245B">
      <w:pPr>
        <w:spacing w:after="0" w:line="240" w:lineRule="auto"/>
      </w:pPr>
      <w:r>
        <w:separator/>
      </w:r>
    </w:p>
  </w:footnote>
  <w:footnote w:type="continuationSeparator" w:id="0">
    <w:p w:rsidR="0093245B" w:rsidRDefault="00932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94DFE"/>
    <w:multiLevelType w:val="hybridMultilevel"/>
    <w:tmpl w:val="84C2ACB0"/>
    <w:lvl w:ilvl="0" w:tplc="6ADE2962">
      <w:start w:val="1"/>
      <w:numFmt w:val="decimal"/>
      <w:lvlText w:val="%1."/>
      <w:lvlJc w:val="left"/>
      <w:pPr>
        <w:ind w:left="5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FDDEDE88">
      <w:start w:val="1"/>
      <w:numFmt w:val="lowerLetter"/>
      <w:lvlText w:val="%2"/>
      <w:lvlJc w:val="left"/>
      <w:pPr>
        <w:ind w:left="12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E928DB6">
      <w:start w:val="1"/>
      <w:numFmt w:val="lowerRoman"/>
      <w:lvlText w:val="%3"/>
      <w:lvlJc w:val="left"/>
      <w:pPr>
        <w:ind w:left="19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62CB3EC">
      <w:start w:val="1"/>
      <w:numFmt w:val="decimal"/>
      <w:lvlText w:val="%4"/>
      <w:lvlJc w:val="left"/>
      <w:pPr>
        <w:ind w:left="26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B5AB058">
      <w:start w:val="1"/>
      <w:numFmt w:val="lowerLetter"/>
      <w:lvlText w:val="%5"/>
      <w:lvlJc w:val="left"/>
      <w:pPr>
        <w:ind w:left="33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B363164">
      <w:start w:val="1"/>
      <w:numFmt w:val="lowerRoman"/>
      <w:lvlText w:val="%6"/>
      <w:lvlJc w:val="left"/>
      <w:pPr>
        <w:ind w:left="41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2F9CCE78">
      <w:start w:val="1"/>
      <w:numFmt w:val="decimal"/>
      <w:lvlText w:val="%7"/>
      <w:lvlJc w:val="left"/>
      <w:pPr>
        <w:ind w:left="48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46EC5392">
      <w:start w:val="1"/>
      <w:numFmt w:val="lowerLetter"/>
      <w:lvlText w:val="%8"/>
      <w:lvlJc w:val="left"/>
      <w:pPr>
        <w:ind w:left="5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16AC6D4">
      <w:start w:val="1"/>
      <w:numFmt w:val="lowerRoman"/>
      <w:lvlText w:val="%9"/>
      <w:lvlJc w:val="left"/>
      <w:pPr>
        <w:ind w:left="6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300927"/>
    <w:multiLevelType w:val="multilevel"/>
    <w:tmpl w:val="7B38B4C8"/>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101"/>
    <w:rsid w:val="00846844"/>
    <w:rsid w:val="0093245B"/>
    <w:rsid w:val="00C871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C606BE-9E03-48F3-86D9-116278C0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6" w:line="252" w:lineRule="auto"/>
      <w:ind w:left="10" w:right="1440" w:hanging="10"/>
      <w:jc w:val="both"/>
    </w:pPr>
    <w:rPr>
      <w:rFonts w:ascii="Cambria" w:eastAsia="Cambria" w:hAnsi="Cambria" w:cs="Cambria"/>
      <w:color w:val="000000"/>
      <w:sz w:val="20"/>
    </w:rPr>
  </w:style>
  <w:style w:type="paragraph" w:styleId="Heading1">
    <w:name w:val="heading 1"/>
    <w:next w:val="Normal"/>
    <w:link w:val="Heading1Char"/>
    <w:uiPriority w:val="9"/>
    <w:unhideWhenUsed/>
    <w:qFormat/>
    <w:pPr>
      <w:keepNext/>
      <w:keepLines/>
      <w:numPr>
        <w:numId w:val="2"/>
      </w:numPr>
      <w:spacing w:after="85"/>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2"/>
      </w:numPr>
      <w:spacing w:after="69" w:line="265" w:lineRule="auto"/>
      <w:ind w:left="10" w:hanging="10"/>
      <w:outlineLvl w:val="1"/>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Elnagar</dc:creator>
  <cp:keywords/>
  <cp:lastModifiedBy>Abdelrahman Elnagar</cp:lastModifiedBy>
  <cp:revision>2</cp:revision>
  <dcterms:created xsi:type="dcterms:W3CDTF">2025-11-02T15:02:00Z</dcterms:created>
  <dcterms:modified xsi:type="dcterms:W3CDTF">2025-11-02T15:02:00Z</dcterms:modified>
</cp:coreProperties>
</file>