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ptos" w:cs="Aptos" w:eastAsia="Aptos" w:hAnsi="Aptos"/>
          <w:b/>
          <w:bCs/>
          <w:color w:val="1B365D"/>
          <w:sz w:val="36"/>
          <w:szCs w:val="36"/>
        </w:rPr>
        <w:t xml:space="preserve">JJR</w:t>
      </w:r>
      <w:r>
        <w:rPr>
          <w:rFonts w:ascii="Aptos" w:cs="Aptos" w:eastAsia="Aptos" w:hAnsi="Aptos"/>
          <w:color w:val="4CBB17"/>
          <w:sz w:val="36"/>
          <w:szCs w:val="36"/>
        </w:rPr>
        <w:t xml:space="preserve">consulting</w:t>
      </w:r>
    </w:p>
    <w:p>
      <w:pPr>
        <w:pBdr>
          <w:bottom w:val="single" w:color="4CBB17" w:sz="6"/>
        </w:pBdr>
        <w:spacing w:after="500" w:before="200"/>
        <w:jc w:val="center"/>
      </w:pP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B365D"/>
          <w:sz w:val="52"/>
          <w:szCs w:val="52"/>
        </w:rPr>
        <w:t xml:space="preserve">JJR Hub — Architecture Definition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1B365D"/>
          <w:sz w:val="44"/>
          <w:szCs w:val="44"/>
        </w:rPr>
        <w:t xml:space="preserve">Active Projects page</w:t>
      </w:r>
    </w:p>
    <w:p>
      <w:pPr>
        <w:spacing w:after="500"/>
        <w:jc w:val="center"/>
      </w:pPr>
      <w:r>
        <w:rPr>
          <w:rFonts w:ascii="Segoe UI" w:cs="Segoe UI" w:eastAsia="Segoe UI" w:hAnsi="Segoe UI"/>
          <w:color w:val="4CBB17"/>
          <w:sz w:val="24"/>
          <w:szCs w:val="24"/>
        </w:rPr>
        <w:t xml:space="preserve">Roles &amp; responsibilities · sensitive data · data ownership · user flows — per section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Phase 1 · employee-only scope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1B365D"/>
          <w:sz w:val="20"/>
          <w:szCs w:val="20"/>
        </w:rPr>
        <w:t xml:space="preserve">Version 0.1 — working draft · July 2026</w:t>
      </w:r>
    </w:p>
    <w:p>
      <w:pPr>
        <w:spacing w:before="14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4CBB17"/>
          <w:spacing w:val="16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CONTEXT</w:t>
      </w:r>
    </w:p>
    <w:p>
      <w:pPr>
        <w:pStyle w:val="Heading1"/>
      </w:pPr>
      <w:r>
        <w:t xml:space="preserve">The portfolio page, in one line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Active Projects is the full expression of the home page’s Projects section: a scoped portfolio list with filters, a milestones-and-health sidebar, and a request-access path. Because it is the Projects core flow at depth, most of its model is already locked — this document records it and flags the few page-specific decisions that remain.</w:t>
      </w:r>
    </w:p>
    <w:p>
      <w:pPr>
        <w:spacing w:after="120" w:line="30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Status keys —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Confirmed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= decided;  Proposed = recommended, awaiting sign-off;  Open = still to decide.</w:t>
      </w:r>
    </w:p>
    <w:p>
      <w:pPr>
        <w:pStyle w:val="Heading3"/>
      </w:pPr>
      <w:r>
        <w:t xml:space="preserve">Carried-over foundations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Scoped access: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every project element resolves through ProjectMembership + explicit AccessGrant — a lead reaches only their own projects, not all.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Backend-enforced: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list, each card, each file open, and each aggregate are filtered server-side; the front-end filter only re-sorts an already-scoped set.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Three data buckets: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records → App DB · documents → SharePoint via Graph · tasks, dashboard, and progress → Planner (external).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Milestone is a first-class entity,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read here, on the home context bar, and in notifications — one source of truth.</w:t>
      </w:r>
    </w:p>
    <w:p>
      <w:pPr>
        <w:spacing w:after="120" w:line="280"/>
      </w:pPr>
      <w:r>
        <w:rPr>
          <w:rFonts w:ascii="Segoe UI" w:cs="Segoe UI" w:eastAsia="Segoe UI" w:hAnsi="Segoe UI"/>
          <w:b/>
          <w:bCs/>
          <w:color w:val="1B365D"/>
          <w:sz w:val="18"/>
          <w:szCs w:val="18"/>
        </w:rPr>
        <w:t xml:space="preserve">Legend: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● view    ◐ view (self / scoped)    </w:t>
      </w:r>
      <w:r>
        <w:rPr>
          <w:rFonts w:ascii="Segoe UI" w:cs="Segoe UI" w:eastAsia="Segoe UI" w:hAnsi="Segoe UI"/>
          <w:color w:val="4CBB17"/>
          <w:sz w:val="18"/>
          <w:szCs w:val="18"/>
        </w:rPr>
        <w:t xml:space="preserve">✎ edit / manage  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↗ external system    ○ none    — n/a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1</w:t>
      </w:r>
    </w:p>
    <w:p>
      <w:pPr>
        <w:pStyle w:val="Heading1"/>
      </w:pPr>
      <w:r>
        <w:t xml:space="preserve">Roles &amp; responsibilities — per section</w:t>
      </w:r>
    </w:p>
    <w:p>
      <w:pPr>
        <w:spacing w:after="120" w:line="280"/>
      </w:pPr>
      <w:r>
        <w:rPr>
          <w:rFonts w:ascii="Segoe UI" w:cs="Segoe UI" w:eastAsia="Segoe UI" w:hAnsi="Segoe UI"/>
          <w:b/>
          <w:bCs/>
          <w:color w:val="1B365D"/>
          <w:sz w:val="18"/>
          <w:szCs w:val="18"/>
        </w:rPr>
        <w:t xml:space="preserve">Legend: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● view    ◐ view (self / scoped)    </w:t>
      </w:r>
      <w:r>
        <w:rPr>
          <w:rFonts w:ascii="Segoe UI" w:cs="Segoe UI" w:eastAsia="Segoe UI" w:hAnsi="Segoe UI"/>
          <w:color w:val="4CBB17"/>
          <w:sz w:val="18"/>
          <w:szCs w:val="18"/>
        </w:rPr>
        <w:t xml:space="preserve">✎ edit / manage    </w:t>
      </w:r>
      <w:r>
        <w:rPr>
          <w:rFonts w:ascii="Segoe UI" w:cs="Segoe UI" w:eastAsia="Segoe UI" w:hAnsi="Segoe UI"/>
          <w:color w:val="1B365D"/>
          <w:sz w:val="18"/>
          <w:szCs w:val="18"/>
        </w:rPr>
        <w:t xml:space="preserve">↗ external system    ○ none    — n/a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050"/>
        <w:gridCol w:w="1120"/>
        <w:gridCol w:w="1120"/>
        <w:gridCol w:w="900"/>
        <w:gridCol w:w="1120"/>
        <w:gridCol w:w="1050"/>
        <w:gridCol w:w="4550"/>
      </w:tblGrid>
      <w:tr>
        <w:trPr>
          <w:tblHeader/>
        </w:trPr>
        <w:tc>
          <w:tcPr>
            <w:tcW w:type="dxa" w:w="205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SECTION / ELEMENT</w:t>
            </w:r>
          </w:p>
        </w:tc>
        <w:tc>
          <w:tcPr>
            <w:tcW w:type="dxa" w:w="105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CONSULTANT</w:t>
            </w:r>
          </w:p>
        </w:tc>
        <w:tc>
          <w:tcPr>
            <w:tcW w:type="dxa" w:w="112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PROJECT LEAD</w:t>
            </w:r>
          </w:p>
        </w:tc>
        <w:tc>
          <w:tcPr>
            <w:tcW w:type="dxa" w:w="112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PRACTICE LEAD</w:t>
            </w:r>
          </w:p>
        </w:tc>
        <w:tc>
          <w:tcPr>
            <w:tcW w:type="dxa" w:w="90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PMO</w:t>
            </w:r>
          </w:p>
        </w:tc>
        <w:tc>
          <w:tcPr>
            <w:tcW w:type="dxa" w:w="112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LEADERSHIP</w:t>
            </w:r>
          </w:p>
        </w:tc>
        <w:tc>
          <w:tcPr>
            <w:tcW w:type="dxa" w:w="105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EDITOR / ADMIN</w:t>
            </w:r>
          </w:p>
        </w:tc>
        <w:tc>
          <w:tcPr>
            <w:tcW w:type="dxa" w:w="4550"/>
            <w:shd w:fill="F4F2EF" w:val="clear"/>
            <w:tcMar>
              <w:top w:type="dxa" w:w="70"/>
              <w:left w:type="dxa" w:w="90"/>
              <w:bottom w:type="dxa" w:w="80"/>
              <w:right w:type="dxa" w:w="9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20"/>
                <w:sz w:val="14"/>
                <w:szCs w:val="14"/>
              </w:rPr>
              <w:t xml:space="preserve">SCOPE &amp; NOTES</w:t>
            </w:r>
          </w:p>
        </w:tc>
      </w:tr>
      <w:tr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Portfolio list (cards)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Scoped by membership + grants. Consultant/lead = their projects · practice lead = practice · PMO/Leadership = all. [Confirmed]</w:t>
            </w:r>
          </w:p>
        </w:tc>
      </w:tr>
      <w:tr>
        <w:tc>
          <w:tcPr>
            <w:tcW w:type="dxa" w:w="20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Filters — My / All projects</w:t>
            </w:r>
          </w:p>
        </w:tc>
        <w:tc>
          <w:tcPr>
            <w:tcW w:type="dxa" w:w="10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9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0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45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“My” = member subset; “All” = everything in the user’s scope. Client-side over a backend-scoped set. [Confirmed]</w:t>
            </w:r>
          </w:p>
        </w:tc>
      </w:tr>
      <w:tr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Hero &amp; context counts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Scoped aggregates over the visible set (active / in review / wrapping). [Proposed]</w:t>
            </w:r>
          </w:p>
        </w:tc>
      </w:tr>
      <w:tr>
        <w:tc>
          <w:tcPr>
            <w:tcW w:type="dxa" w:w="20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Quick links — Files / Planner / SOW</w:t>
            </w:r>
          </w:p>
        </w:tc>
        <w:tc>
          <w:tcPr>
            <w:tcW w:type="dxa" w:w="10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0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45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Files → SharePoint (security-trimmed) · Planner / Dashboard → Planner · SOW → SharePoint doc. [Confirmed]</w:t>
            </w:r>
          </w:p>
        </w:tc>
      </w:tr>
      <w:tr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Upcoming milestones (30 days)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Scoped to the user’s projects; the project lead maintains them. [Proposed]</w:t>
            </w:r>
          </w:p>
        </w:tc>
      </w:tr>
      <w:tr>
        <w:tc>
          <w:tcPr>
            <w:tcW w:type="dxa" w:w="20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Portfolio health</w:t>
            </w:r>
          </w:p>
        </w:tc>
        <w:tc>
          <w:tcPr>
            <w:tcW w:type="dxa" w:w="10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0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45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Roll-up of statuses over the visible portfolio. [Proposed]</w:t>
            </w:r>
          </w:p>
        </w:tc>
      </w:tr>
      <w:tr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Request project access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9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●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Anyone can request; routed to admin / owner, resolved within ~1 business day. [Confirmed]</w:t>
            </w:r>
          </w:p>
        </w:tc>
      </w:tr>
      <w:tr>
        <w:tc>
          <w:tcPr>
            <w:tcW w:type="dxa" w:w="20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Create project</w:t>
            </w:r>
          </w:p>
        </w:tc>
        <w:tc>
          <w:tcPr>
            <w:tcW w:type="dxa" w:w="10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12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050"/>
            <w:shd w:fill="FAF9F7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4550"/>
            <w:shd w:fill="FAF9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Who may create a project — PMO / Leadership / Admin (practice leads?). [Open]</w:t>
            </w:r>
          </w:p>
        </w:tc>
      </w:tr>
      <w:tr>
        <w:tc>
          <w:tcPr>
            <w:tcW w:type="dxa" w:w="20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5"/>
                <w:szCs w:val="15"/>
              </w:rPr>
              <w:t xml:space="preserve">Edit project (status, team, milestones)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○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12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20"/>
                <w:szCs w:val="20"/>
              </w:rPr>
              <w:t xml:space="preserve">✎</w:t>
            </w:r>
          </w:p>
        </w:tc>
        <w:tc>
          <w:tcPr>
            <w:tcW w:type="dxa" w:w="105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20"/>
                <w:szCs w:val="20"/>
              </w:rPr>
              <w:t xml:space="preserve">—</w:t>
            </w:r>
          </w:p>
        </w:tc>
        <w:tc>
          <w:tcPr>
            <w:tcW w:type="dxa" w:w="45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40"/>
            </w:pPr>
            <w:r>
              <w:rPr>
                <w:rFonts w:ascii="Segoe UI" w:cs="Segoe UI" w:eastAsia="Segoe UI" w:hAnsi="Segoe UI"/>
                <w:color w:val="1B365D"/>
                <w:sz w:val="15"/>
                <w:szCs w:val="15"/>
              </w:rPr>
              <w:t xml:space="preserve">Lead manages their own project; practice lead within the practice; PMO/Leadership broad. [Proposed]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2</w:t>
      </w:r>
    </w:p>
    <w:p>
      <w:pPr>
        <w:pStyle w:val="Heading1"/>
      </w:pPr>
      <w:r>
        <w:t xml:space="preserve">Sensitive-data inventory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Client-linked project data and deliverables are the confidential core; every item is scoped by project access and enforced server-side.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1250"/>
        <w:gridCol w:w="2650"/>
        <w:gridCol w:w="2360"/>
        <w:gridCol w:w="1150"/>
      </w:tblGrid>
      <w:tr>
        <w:trPr>
          <w:tblHeader/>
        </w:trPr>
        <w:tc>
          <w:tcPr>
            <w:tcW w:type="dxa" w:w="19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DATA ITEM</w:t>
            </w:r>
          </w:p>
        </w:tc>
        <w:tc>
          <w:tcPr>
            <w:tcW w:type="dxa" w:w="12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26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WHO MAY SEE IT (SCOPE)</w:t>
            </w:r>
          </w:p>
        </w:tc>
        <w:tc>
          <w:tcPr>
            <w:tcW w:type="dxa" w:w="236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WHERE IT LIVES</w:t>
            </w:r>
          </w:p>
        </w:tc>
        <w:tc>
          <w:tcPr>
            <w:tcW w:type="dxa" w:w="11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9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Project records</w:t>
            </w:r>
          </w:p>
        </w:tc>
        <w:tc>
          <w:tcPr>
            <w:tcW w:type="dxa" w:w="1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Confidential</w:t>
            </w:r>
          </w:p>
        </w:tc>
        <w:tc>
          <w:tcPr>
            <w:tcW w:type="dxa" w:w="26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Member / lead · practice lead: practice · PMO / Leadership: all</w:t>
            </w:r>
          </w:p>
        </w:tc>
        <w:tc>
          <w:tcPr>
            <w:tcW w:type="dxa" w:w="23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9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Client &amp; service line</w:t>
            </w:r>
          </w:p>
        </w:tc>
        <w:tc>
          <w:tcPr>
            <w:tcW w:type="dxa" w:w="1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Confidential</w:t>
            </w:r>
          </w:p>
        </w:tc>
        <w:tc>
          <w:tcPr>
            <w:tcW w:type="dxa" w:w="26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With project access</w:t>
            </w:r>
          </w:p>
        </w:tc>
        <w:tc>
          <w:tcPr>
            <w:tcW w:type="dxa" w:w="23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(Client / Practice)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9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Project documents (Files, SOW, deliverables)</w:t>
            </w:r>
          </w:p>
        </w:tc>
        <w:tc>
          <w:tcPr>
            <w:tcW w:type="dxa" w:w="1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Confidential</w:t>
            </w:r>
          </w:p>
        </w:tc>
        <w:tc>
          <w:tcPr>
            <w:tcW w:type="dxa" w:w="26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With project access</w:t>
            </w:r>
          </w:p>
        </w:tc>
        <w:tc>
          <w:tcPr>
            <w:tcW w:type="dxa" w:w="23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(via Graph)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9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Milestones</w:t>
            </w:r>
          </w:p>
        </w:tc>
        <w:tc>
          <w:tcPr>
            <w:tcW w:type="dxa" w:w="1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 → Confidential</w:t>
            </w:r>
          </w:p>
        </w:tc>
        <w:tc>
          <w:tcPr>
            <w:tcW w:type="dxa" w:w="26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Scoped to the user’s projects</w:t>
            </w:r>
          </w:p>
        </w:tc>
        <w:tc>
          <w:tcPr>
            <w:tcW w:type="dxa" w:w="23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9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Portfolio-health metrics</w:t>
            </w:r>
          </w:p>
        </w:tc>
        <w:tc>
          <w:tcPr>
            <w:tcW w:type="dxa" w:w="1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</w:t>
            </w:r>
          </w:p>
        </w:tc>
        <w:tc>
          <w:tcPr>
            <w:tcW w:type="dxa" w:w="26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Scoped roll-up over the visible set</w:t>
            </w:r>
          </w:p>
        </w:tc>
        <w:tc>
          <w:tcPr>
            <w:tcW w:type="dxa" w:w="23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(computed)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19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Progress %</w:t>
            </w:r>
          </w:p>
        </w:tc>
        <w:tc>
          <w:tcPr>
            <w:tcW w:type="dxa" w:w="1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</w:t>
            </w:r>
          </w:p>
        </w:tc>
        <w:tc>
          <w:tcPr>
            <w:tcW w:type="dxa" w:w="26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With project access</w:t>
            </w:r>
          </w:p>
        </w:tc>
        <w:tc>
          <w:tcPr>
            <w:tcW w:type="dxa" w:w="23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External — Planner (derived)</w:t>
            </w:r>
          </w:p>
        </w:tc>
        <w:tc>
          <w:tcPr>
            <w:tcW w:type="dxa" w:w="1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19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Project access requests</w:t>
            </w:r>
          </w:p>
        </w:tc>
        <w:tc>
          <w:tcPr>
            <w:tcW w:type="dxa" w:w="1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Internal</w:t>
            </w:r>
          </w:p>
        </w:tc>
        <w:tc>
          <w:tcPr>
            <w:tcW w:type="dxa" w:w="26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Requester + admin / owner</w:t>
            </w:r>
          </w:p>
        </w:tc>
        <w:tc>
          <w:tcPr>
            <w:tcW w:type="dxa" w:w="23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1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3</w:t>
      </w:r>
    </w:p>
    <w:p>
      <w:pPr>
        <w:pStyle w:val="Heading1"/>
      </w:pPr>
      <w:r>
        <w:t xml:space="preserve">Data-placement table</w:t>
      </w:r>
    </w:p>
    <w:p>
      <w:pPr>
        <w:spacing w:after="140" w:line="300"/>
      </w:pPr>
      <w:r>
        <w:rPr>
          <w:rFonts w:ascii="Segoe UI" w:cs="Segoe UI" w:eastAsia="Segoe UI" w:hAnsi="Segoe UI"/>
          <w:color w:val="1B365D"/>
          <w:sz w:val="22"/>
          <w:szCs w:val="22"/>
        </w:rPr>
        <w:t xml:space="preserve">Each data type in its system of record, with the pointer noted where a project spans two systems — a record in the App DB pointing to its documents in SharePoint and its tasks in Planner.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250"/>
        <w:gridCol w:w="3560"/>
        <w:gridCol w:w="1200"/>
      </w:tblGrid>
      <w:tr>
        <w:trPr>
          <w:tblHeader/>
        </w:trPr>
        <w:tc>
          <w:tcPr>
            <w:tcW w:type="dxa" w:w="23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DATA TYPE</w:t>
            </w:r>
          </w:p>
        </w:tc>
        <w:tc>
          <w:tcPr>
            <w:tcW w:type="dxa" w:w="22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SYSTEM OF RECORD</w:t>
            </w:r>
          </w:p>
        </w:tc>
        <w:tc>
          <w:tcPr>
            <w:tcW w:type="dxa" w:w="356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IN-HUB REPRESENTATION / POINTER</w:t>
            </w:r>
          </w:p>
        </w:tc>
        <w:tc>
          <w:tcPr>
            <w:tcW w:type="dxa" w:w="12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Project record (name, client, practice)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(Postgres / Azure SQL)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Owns the record; links to the SharePoint document folder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Milestone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5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One dataset — sidebar here, plus home context bar and notifications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ProjectMembership / AccessGrant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Membership + explicit grants; drives every project-scoped query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Client / Practice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5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 project belongs to one client and one practice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Status (active / in review / wrapping)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Lead-maintained field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Progress %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External — Planner</w:t>
            </w:r>
          </w:p>
        </w:tc>
        <w:tc>
          <w:tcPr>
            <w:tcW w:type="dxa" w:w="35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Derived from task completion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Portfolio health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 (computed)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Roll-up of statuses across the visible set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Project access request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App DB</w:t>
            </w:r>
          </w:p>
        </w:tc>
        <w:tc>
          <w:tcPr>
            <w:tcW w:type="dxa" w:w="35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From “request project access” → admin, ~1 business day → AccessGrant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Documents (Files, SOW, deliverables)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SharePoint (via Graph)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Linked by reference; served security-trimmed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Tasks &amp; dashboard</w:t>
            </w:r>
          </w:p>
        </w:tc>
        <w:tc>
          <w:tcPr>
            <w:tcW w:type="dxa" w:w="22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External — Microsoft Planner</w:t>
            </w:r>
          </w:p>
        </w:tc>
        <w:tc>
          <w:tcPr>
            <w:tcW w:type="dxa" w:w="356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Deep-link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3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Team identity / avatars</w:t>
            </w:r>
          </w:p>
        </w:tc>
        <w:tc>
          <w:tcPr>
            <w:tcW w:type="dxa" w:w="22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Entra + App DB</w:t>
            </w:r>
          </w:p>
        </w:tc>
        <w:tc>
          <w:tcPr>
            <w:tcW w:type="dxa" w:w="356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Membership (DB) + identity &amp; photo (Entra)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</w:tbl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ARTIFACT 4</w:t>
      </w:r>
    </w:p>
    <w:p>
      <w:pPr>
        <w:pStyle w:val="Heading1"/>
      </w:pPr>
      <w:r>
        <w:t xml:space="preserve">User flows — with the backend check marked</w:t>
      </w:r>
    </w:p>
    <w:p>
      <w:pPr>
        <w:pStyle w:val="Heading3"/>
      </w:pPr>
      <w:r>
        <w:t xml:space="preserve">A · Load the portfolio (scoped)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User opens Active Projects.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resolves identity + project access (membership + grants).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backend returns only projects in the user’s scope; the hero and context counts and portfolio health are aggregates over that set.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3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list renders; “My projects” filters to member projects, “All projects” shows the full visible scope — a client-side filter over an already-scoped set.</w:t>
      </w:r>
    </w:p>
    <w:p>
      <w:pPr>
        <w:pStyle w:val="Heading3"/>
      </w:pPr>
      <w:r>
        <w:t xml:space="preserve">B · Open a project’s files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User clicks Files on a card.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re-verifies access to that specific project.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Documents load from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SharePoint via Graph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, security-trimmed; SOW opens the specific document; Planner and Dashboard deep-link to Planner.</w:t>
      </w:r>
    </w:p>
    <w:p>
      <w:pPr>
        <w:pStyle w:val="Heading3"/>
      </w:pPr>
      <w:r>
        <w:t xml:space="preserve">C · Request project access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Someone assigned off-system opens the page but doesn’t see the project.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They click “Request project access” → an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AccessRequest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(App DB) is filed to admin / owner.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3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Resolved within ~1 business day; on grant, an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AccessGrant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is added and the project appears. </w:t>
      </w: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[backend check]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governs throughout.</w:t>
      </w:r>
    </w:p>
    <w:p>
      <w:pPr>
        <w:pStyle w:val="Heading3"/>
      </w:pPr>
      <w:r>
        <w:t xml:space="preserve">D · Milestones &amp; portfolio health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1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The sidebar queries milestones due in 30 days </w:t>
      </w:r>
      <w:r>
        <w:rPr>
          <w:rFonts w:ascii="Segoe UI" w:cs="Segoe UI" w:eastAsia="Segoe UI" w:hAnsi="Segoe UI"/>
          <w:b/>
          <w:bCs/>
          <w:color w:val="1B365D"/>
          <w:sz w:val="22"/>
          <w:szCs w:val="22"/>
        </w:rPr>
        <w:t xml:space="preserve">across the user’s projects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 — a scoped aggregate.</w:t>
      </w:r>
    </w:p>
    <w:p>
      <w:pPr>
        <w:spacing w:after="80" w:line="280"/>
        <w:ind w:left="360" w:hanging="300"/>
      </w:pPr>
      <w:r>
        <w:rPr>
          <w:rFonts w:ascii="Segoe UI" w:cs="Segoe UI" w:eastAsia="Segoe UI" w:hAnsi="Segoe UI"/>
          <w:b/>
          <w:bCs/>
          <w:color w:val="4CBB17"/>
          <w:sz w:val="22"/>
          <w:szCs w:val="22"/>
        </w:rPr>
        <w:t xml:space="preserve">2  </w:t>
      </w:r>
      <w:r>
        <w:rPr>
          <w:rFonts w:ascii="Segoe UI" w:cs="Segoe UI" w:eastAsia="Segoe UI" w:hAnsi="Segoe UI"/>
          <w:color w:val="1B365D"/>
          <w:sz w:val="22"/>
          <w:szCs w:val="22"/>
        </w:rPr>
        <w:t xml:space="preserve">Portfolio health rolls up project statuses over the visible set. Both recompute per user; nothing outside the user’s scope is counted.</w:t>
      </w:r>
    </w:p>
    <w:p>
      <w:pPr>
        <w:spacing w:after="60" w:before="360"/>
      </w:pPr>
      <w:r>
        <w:rPr>
          <w:rFonts w:ascii="Segoe UI" w:cs="Segoe UI" w:eastAsia="Segoe UI" w:hAnsi="Segoe UI"/>
          <w:b/>
          <w:bCs/>
          <w:color w:val="4CBB17"/>
          <w:spacing w:val="120"/>
          <w:sz w:val="18"/>
          <w:szCs w:val="18"/>
        </w:rPr>
        <w:t xml:space="preserve">OPEN ITEMS</w:t>
      </w:r>
    </w:p>
    <w:p>
      <w:pPr>
        <w:pStyle w:val="Heading1"/>
      </w:pPr>
      <w:r>
        <w:t xml:space="preserve">Open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50"/>
        <w:gridCol w:w="4510"/>
        <w:gridCol w:w="1200"/>
      </w:tblGrid>
      <w:tr>
        <w:trPr>
          <w:tblHeader/>
        </w:trPr>
        <w:tc>
          <w:tcPr>
            <w:tcW w:type="dxa" w:w="5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#</w:t>
            </w:r>
          </w:p>
        </w:tc>
        <w:tc>
          <w:tcPr>
            <w:tcW w:type="dxa" w:w="315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OPEN DECISION</w:t>
            </w:r>
          </w:p>
        </w:tc>
        <w:tc>
          <w:tcPr>
            <w:tcW w:type="dxa" w:w="451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1200"/>
            <w:shd w:fill="F4F2EF" w:val="clear"/>
            <w:tcMar>
              <w:top w:type="dxa" w:w="90"/>
              <w:left w:type="dxa" w:w="140"/>
              <w:bottom w:type="dxa" w:w="100"/>
              <w:right w:type="dxa" w:w="140"/>
            </w:tcMar>
            <w:vAlign w:val="center"/>
            <w:tcBorders>
              <w:top w:val="single" w:sz="4" w:color="DDD9D4" w:space="0"/>
              <w:bottom w:val="single" w:sz="8" w:color="4CBB17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pacing w:val="30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1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Who may create a project?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PMO / Leadership / Admin; consider letting practice leads create within their practice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C05621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2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Project status field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Store as a lead-maintained App DB field (progress stays Planner-derived)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3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“All projects” semantics per role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Consultant/lead = their set · practice lead = practice · PMO/Leadership = all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4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Portfolio-health scope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Scope to the user’s visible portfolio; a firm-wide roll-up for leadership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5</w:t>
            </w:r>
          </w:p>
        </w:tc>
        <w:tc>
          <w:tcPr>
            <w:tcW w:type="dxa" w:w="315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Milestone “next 30 days” scope</w:t>
            </w:r>
          </w:p>
        </w:tc>
        <w:tc>
          <w:tcPr>
            <w:tcW w:type="dxa" w:w="451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Limit to the user’s projects</w:t>
            </w:r>
          </w:p>
        </w:tc>
        <w:tc>
          <w:tcPr>
            <w:tcW w:type="dxa" w:w="1200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2" w:color="E8E5E1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5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4" w:color="DDD9D4" w:space="0"/>
              <w:right w:val="single" w:sz="2" w:color="E8E5E1" w:space="0"/>
            </w:tcBorders>
          </w:tcPr>
          <w:p>
            <w:pPr>
              <w:spacing w:after="0" w:line="25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6</w:t>
            </w:r>
          </w:p>
        </w:tc>
        <w:tc>
          <w:tcPr>
            <w:tcW w:type="dxa" w:w="315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1B365D"/>
                <w:sz w:val="19"/>
                <w:szCs w:val="19"/>
              </w:rPr>
              <w:t xml:space="preserve">Project access requests</w:t>
            </w:r>
          </w:p>
        </w:tc>
        <w:tc>
          <w:tcPr>
            <w:tcW w:type="dxa" w:w="451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2" w:color="E8E5E1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color w:val="1B365D"/>
                <w:sz w:val="19"/>
                <w:szCs w:val="19"/>
              </w:rPr>
              <w:t xml:space="preserve">Reuse the home AccessRequest entity; grant adds an AccessGrant</w:t>
            </w:r>
          </w:p>
        </w:tc>
        <w:tc>
          <w:tcPr>
            <w:tcW w:type="dxa" w:w="1200"/>
            <w:shd w:fill="FAF9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  <w:tcBorders>
              <w:top w:val="none" w:sz="0" w:color="FFFFFF" w:space="0"/>
              <w:bottom w:val="single" w:sz="6" w:color="C5C0B9" w:space="0"/>
              <w:left w:val="single" w:sz="2" w:color="E8E5E1" w:space="0"/>
              <w:right w:val="single" w:sz="6" w:color="C5C0B9" w:space="0"/>
            </w:tcBorders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4CBB17"/>
                <w:sz w:val="18"/>
                <w:szCs w:val="18"/>
              </w:rPr>
              <w:t xml:space="preserve">Confirmed</w:t>
            </w:r>
          </w:p>
        </w:tc>
      </w:tr>
    </w:tbl>
    <w:p>
      <w:pPr>
        <w:spacing w:before="200"/>
      </w:pPr>
    </w:p>
    <w:p>
      <w:pPr>
        <w:pBdr>
          <w:left w:val="single" w:color="4CBB17" w:sz="12" w:space="12"/>
        </w:pBdr>
        <w:spacing w:after="200" w:before="200"/>
        <w:ind w:left="360"/>
      </w:pPr>
      <w:r>
        <w:rPr>
          <w:rFonts w:ascii="Segoe UI" w:cs="Segoe UI" w:eastAsia="Segoe UI" w:hAnsi="Segoe UI"/>
          <w:i/>
          <w:iCs/>
          <w:color w:val="1B365D"/>
          <w:sz w:val="22"/>
          <w:szCs w:val="22"/>
        </w:rPr>
        <w:t xml:space="preserve">The “request project access” and footer “report an access concern” paths reuse the same AccessRequest entity and quarterly review defined for the home page — one governance loop across the hub.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93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129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0EEEB" w:sz="2" w:space="4"/>
      </w:pBdr>
      <w:tabs>
        <w:tab w:val="right" w:pos="9360"/>
      </w:tabs>
    </w:pPr>
    <w:r>
      <w:rPr>
        <w:rFonts w:ascii="Segoe UI" w:cs="Segoe UI" w:eastAsia="Segoe UI" w:hAnsi="Segoe UI"/>
        <w:i/>
        <w:iCs/>
        <w:color w:val="8A94A6"/>
        <w:sz w:val="14"/>
        <w:szCs w:val="14"/>
      </w:rPr>
      <w:t xml:space="preserve">Confidential — internal architecture working document</w:t>
    </w:r>
    <w:r>
      <w:t xml:space="preserve">	</w:t>
    </w:r>
    <w:r>
      <w:rPr>
        <w:rFonts w:ascii="Segoe UI" w:cs="Segoe UI" w:eastAsia="Segoe UI" w:hAnsi="Segoe UI"/>
        <w:color w:val="1B365D"/>
        <w:sz w:val="14"/>
        <w:szCs w:val="14"/>
      </w:rPr>
      <w:t xml:space="preserve">Page </w:t>
    </w:r>
    <w:r>
      <w:rPr>
        <w:rFonts w:ascii="Segoe UI" w:cs="Segoe UI" w:eastAsia="Segoe UI" w:hAnsi="Segoe UI"/>
        <w:color w:val="1B365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Active Projects Architecture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Active Projects Architecture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B17" w:sz="4" w:space="4"/>
      </w:pBdr>
      <w:spacing w:after="0"/>
    </w:pPr>
    <w:r>
      <w:rPr>
        <w:rFonts w:ascii="Aptos" w:cs="Aptos" w:eastAsia="Aptos" w:hAnsi="Aptos"/>
        <w:b/>
        <w:bCs/>
        <w:color w:val="1B365D"/>
        <w:sz w:val="18"/>
        <w:szCs w:val="18"/>
      </w:rPr>
      <w:t xml:space="preserve">JJR</w:t>
    </w:r>
    <w:r>
      <w:rPr>
        <w:rFonts w:ascii="Aptos" w:cs="Aptos" w:eastAsia="Aptos" w:hAnsi="Aptos"/>
        <w:color w:val="4CBB17"/>
        <w:sz w:val="18"/>
        <w:szCs w:val="18"/>
      </w:rPr>
      <w:t xml:space="preserve">consulting</w:t>
    </w:r>
    <w:r>
      <w:rPr>
        <w:rFonts w:ascii="Segoe UI" w:cs="Segoe UI" w:eastAsia="Segoe UI" w:hAnsi="Segoe UI"/>
        <w:color w:val="8A94A6"/>
        <w:sz w:val="14"/>
        <w:szCs w:val="14"/>
      </w:rPr>
      <w:t xml:space="preserve">    Hub — Active Projects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365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ptos" w:cs="Aptos" w:eastAsia="Aptos" w:hAnsi="Aptos"/>
      <w:b/>
      <w:bCs/>
      <w:color w:val="1B365D"/>
      <w:sz w:val="40"/>
      <w:szCs w:val="4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ptos" w:cs="Aptos" w:eastAsia="Aptos" w:hAnsi="Aptos"/>
      <w:b/>
      <w:bCs/>
      <w:color w:val="4CBB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JJR Hub — Active Projects Architecture Definition</dc:title>
  <dc:creator>JJR consulting</dc:creator>
  <cp:lastModifiedBy>Un-named</cp:lastModifiedBy>
  <cp:revision>1</cp:revision>
  <dcterms:created xsi:type="dcterms:W3CDTF">2026-08-04T00:32:26.719Z</dcterms:created>
  <dcterms:modified xsi:type="dcterms:W3CDTF">2026-08-04T00:32:26.734Z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