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ptos" w:cs="Aptos" w:eastAsia="Aptos" w:hAnsi="Aptos"/>
          <w:b/>
          <w:bCs/>
          <w:color w:val="1B365D"/>
          <w:sz w:val="36"/>
          <w:szCs w:val="36"/>
        </w:rPr>
        <w:t xml:space="preserve">JJR</w:t>
      </w:r>
      <w:r>
        <w:rPr>
          <w:rFonts w:ascii="Aptos" w:cs="Aptos" w:eastAsia="Aptos" w:hAnsi="Aptos"/>
          <w:color w:val="4CBB17"/>
          <w:sz w:val="36"/>
          <w:szCs w:val="36"/>
        </w:rPr>
        <w:t xml:space="preserve">consulting</w:t>
      </w:r>
    </w:p>
    <w:p>
      <w:pPr>
        <w:pBdr>
          <w:bottom w:val="single" w:color="4CBB17" w:sz="6"/>
        </w:pBdr>
        <w:spacing w:after="500" w:before="200"/>
        <w:jc w:val="center"/>
      </w:pPr>
    </w:p>
    <w:p>
      <w:pPr>
        <w:spacing w:after="120"/>
        <w:jc w:val="center"/>
      </w:pPr>
      <w:r>
        <w:rPr>
          <w:rFonts w:ascii="Aptos" w:cs="Aptos" w:eastAsia="Aptos" w:hAnsi="Aptos"/>
          <w:b/>
          <w:bCs/>
          <w:color w:val="1B365D"/>
          <w:sz w:val="52"/>
          <w:szCs w:val="52"/>
        </w:rPr>
        <w:t xml:space="preserve">JJR Hub — Architecture Definition</w:t>
      </w:r>
    </w:p>
    <w:p>
      <w:pPr>
        <w:spacing w:after="120"/>
        <w:jc w:val="center"/>
      </w:pPr>
      <w:r>
        <w:rPr>
          <w:rFonts w:ascii="Aptos" w:cs="Aptos" w:eastAsia="Aptos" w:hAnsi="Aptos"/>
          <w:b/>
          <w:bCs/>
          <w:color w:val="1B365D"/>
          <w:sz w:val="44"/>
          <w:szCs w:val="44"/>
        </w:rPr>
        <w:t xml:space="preserve">PMO Hub page</w:t>
      </w:r>
    </w:p>
    <w:p>
      <w:pPr>
        <w:spacing w:after="500"/>
        <w:jc w:val="center"/>
      </w:pPr>
      <w:r>
        <w:rPr>
          <w:rFonts w:ascii="Segoe UI" w:cs="Segoe UI" w:eastAsia="Segoe UI" w:hAnsi="Segoe UI"/>
          <w:color w:val="4CBB17"/>
          <w:sz w:val="24"/>
          <w:szCs w:val="24"/>
        </w:rPr>
        <w:t xml:space="preserve">Roles &amp; responsibilities · sensitive data · data ownership · user flows — per section</w:t>
      </w:r>
    </w:p>
    <w:p>
      <w:pPr>
        <w:spacing w:after="60"/>
        <w:jc w:val="center"/>
      </w:pPr>
      <w:r>
        <w:rPr>
          <w:rFonts w:ascii="Segoe UI" w:cs="Segoe UI" w:eastAsia="Segoe UI" w:hAnsi="Segoe UI"/>
          <w:color w:val="1B365D"/>
          <w:sz w:val="22"/>
          <w:szCs w:val="22"/>
        </w:rPr>
        <w:t xml:space="preserve">Phase 1 · employee-only scope</w:t>
      </w:r>
    </w:p>
    <w:p>
      <w:pPr>
        <w:spacing w:after="60"/>
        <w:jc w:val="center"/>
      </w:pPr>
      <w:r>
        <w:rPr>
          <w:rFonts w:ascii="Segoe UI" w:cs="Segoe UI" w:eastAsia="Segoe UI" w:hAnsi="Segoe UI"/>
          <w:color w:val="1B365D"/>
          <w:sz w:val="20"/>
          <w:szCs w:val="20"/>
        </w:rPr>
        <w:t xml:space="preserve">Version 0.1 — working draft · August 2026</w:t>
      </w:r>
    </w:p>
    <w:p>
      <w:pPr>
        <w:spacing w:before="14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4CBB17"/>
          <w:spacing w:val="160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spacing w:after="60" w:before="360"/>
      </w:pPr>
      <w:r>
        <w:rPr>
          <w:rFonts w:ascii="Segoe UI" w:cs="Segoe UI" w:eastAsia="Segoe UI" w:hAnsi="Segoe UI"/>
          <w:b/>
          <w:bCs/>
          <w:color w:val="4CBB17"/>
          <w:spacing w:val="120"/>
          <w:sz w:val="18"/>
          <w:szCs w:val="18"/>
        </w:rPr>
        <w:t xml:space="preserve">CONTEXT</w:t>
      </w:r>
    </w:p>
    <w:p>
      <w:pPr>
        <w:pStyle w:val="Heading1"/>
      </w:pPr>
      <w:r>
        <w:t xml:space="preserve">The firm’s operating manual</w:t>
      </w:r>
    </w:p>
    <w:p>
      <w:pPr>
        <w:spacing w:after="140" w:line="300"/>
      </w:pPr>
      <w:r>
        <w:rPr>
          <w:rFonts w:ascii="Segoe UI" w:cs="Segoe UI" w:eastAsia="Segoe UI" w:hAnsi="Segoe UI"/>
          <w:color w:val="1B365D"/>
          <w:sz w:val="22"/>
          <w:szCs w:val="22"/>
        </w:rPr>
        <w:t xml:space="preserve">PMO Hub is the opposite of Exec &amp; Strategy: not a locked vault but the firm’s one source of truth for how JJR delivers — the project lifecycle, governance frameworks, and templates, open for everyone to read. What it adds on top is an authoring authority (the PMO) and a knowledge loop (lessons learned feeding back from closed projects).</w:t>
      </w:r>
    </w:p>
    <w:p>
      <w:pPr>
        <w:pStyle w:val="Heading3"/>
      </w:pPr>
      <w:r>
        <w:t xml:space="preserve">Three things worth separating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Firm-wide read methodology.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Lifecycle, governance, best practices, and templates are visible to every employee — the delivery standard. The documents live in SharePoint; the PMO maintains them.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The PMO is the authoring authority.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A firm-scope capability: it owns the methodology, posts announcements (often targeted to project leads), schedules reviews, and curates lessons.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A knowledge loop — lessons learned.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A native App-DB entity: any consultant deposits an insight at closeout, linked to its project; the PMO curates it back into the firm-wide feed.</w:t>
      </w:r>
    </w:p>
    <w:p>
      <w:pPr>
        <w:pBdr>
          <w:left w:val="single" w:color="4CBB17" w:sz="12" w:space="12"/>
        </w:pBdr>
        <w:spacing w:after="200" w:before="200"/>
        <w:ind w:left="360"/>
      </w:pPr>
      <w:r>
        <w:rPr>
          <w:rFonts w:ascii="Segoe UI" w:cs="Segoe UI" w:eastAsia="Segoe UI" w:hAnsi="Segoe UI"/>
          <w:i/>
          <w:iCs/>
          <w:color w:val="1B365D"/>
          <w:sz w:val="22"/>
          <w:szCs w:val="22"/>
        </w:rPr>
        <w:t xml:space="preserve">Two mechanisms here are the same ones seen elsewhere: the PMO announcement is a targeted message (the Action-Needed / Notifications engine, authored by a scoped lead), and the review calendar is the Meeting Hub pattern (Graph calendar + add-to-calendar). Deciding them here settles them across the hub.</w:t>
      </w:r>
    </w:p>
    <w:p>
      <w:pPr>
        <w:spacing w:after="120" w:line="300"/>
      </w:pP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Status keys — </w:t>
      </w: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Confirmed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 = decided;  Proposed = recommended, awaiting sign-off;  Open = still to decide.</w:t>
      </w:r>
    </w:p>
    <w:p>
      <w:pPr>
        <w:spacing w:after="120" w:line="280"/>
      </w:pPr>
      <w:r>
        <w:rPr>
          <w:rFonts w:ascii="Segoe UI" w:cs="Segoe UI" w:eastAsia="Segoe UI" w:hAnsi="Segoe UI"/>
          <w:b/>
          <w:bCs/>
          <w:color w:val="1B365D"/>
          <w:sz w:val="18"/>
          <w:szCs w:val="18"/>
        </w:rPr>
        <w:t xml:space="preserve">Legend:  </w:t>
      </w:r>
      <w:r>
        <w:rPr>
          <w:rFonts w:ascii="Segoe UI" w:cs="Segoe UI" w:eastAsia="Segoe UI" w:hAnsi="Segoe UI"/>
          <w:color w:val="1B365D"/>
          <w:sz w:val="18"/>
          <w:szCs w:val="18"/>
        </w:rPr>
        <w:t xml:space="preserve">● view    </w:t>
      </w:r>
      <w:r>
        <w:rPr>
          <w:rFonts w:ascii="Segoe UI" w:cs="Segoe UI" w:eastAsia="Segoe UI" w:hAnsi="Segoe UI"/>
          <w:color w:val="4CBB17"/>
          <w:sz w:val="18"/>
          <w:szCs w:val="18"/>
        </w:rPr>
        <w:t xml:space="preserve">✎ act / edit / manage    </w:t>
      </w:r>
      <w:r>
        <w:rPr>
          <w:rFonts w:ascii="Segoe UI" w:cs="Segoe UI" w:eastAsia="Segoe UI" w:hAnsi="Segoe UI"/>
          <w:color w:val="1B365D"/>
          <w:sz w:val="18"/>
          <w:szCs w:val="18"/>
        </w:rPr>
        <w:t xml:space="preserve">○ none    — n/a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360"/>
      </w:pPr>
      <w:r>
        <w:rPr>
          <w:rFonts w:ascii="Segoe UI" w:cs="Segoe UI" w:eastAsia="Segoe UI" w:hAnsi="Segoe UI"/>
          <w:b/>
          <w:bCs/>
          <w:color w:val="4CBB17"/>
          <w:spacing w:val="120"/>
          <w:sz w:val="18"/>
          <w:szCs w:val="18"/>
        </w:rPr>
        <w:t xml:space="preserve">ARTIFACT 1</w:t>
      </w:r>
    </w:p>
    <w:p>
      <w:pPr>
        <w:pStyle w:val="Heading1"/>
      </w:pPr>
      <w:r>
        <w:t xml:space="preserve">Roles &amp; responsibilities — per section</w:t>
      </w:r>
    </w:p>
    <w:p>
      <w:pPr>
        <w:spacing w:after="140" w:line="300"/>
      </w:pPr>
      <w:r>
        <w:rPr>
          <w:rFonts w:ascii="Segoe UI" w:cs="Segoe UI" w:eastAsia="Segoe UI" w:hAnsi="Segoe UI"/>
          <w:color w:val="1B365D"/>
          <w:sz w:val="22"/>
          <w:szCs w:val="22"/>
        </w:rPr>
        <w:t xml:space="preserve">The audience gradient is the useful lens here: everyone reads, project leads are the primary audience, the PMO authors and maintains, and leadership joins certain review gates. So the columns run all employees → PM / project lead → PMO → leadership.</w:t>
      </w:r>
    </w:p>
    <w:p>
      <w:pPr>
        <w:spacing w:after="120" w:line="280"/>
      </w:pPr>
      <w:r>
        <w:rPr>
          <w:rFonts w:ascii="Segoe UI" w:cs="Segoe UI" w:eastAsia="Segoe UI" w:hAnsi="Segoe UI"/>
          <w:b/>
          <w:bCs/>
          <w:color w:val="1B365D"/>
          <w:sz w:val="18"/>
          <w:szCs w:val="18"/>
        </w:rPr>
        <w:t xml:space="preserve">Legend:  </w:t>
      </w:r>
      <w:r>
        <w:rPr>
          <w:rFonts w:ascii="Segoe UI" w:cs="Segoe UI" w:eastAsia="Segoe UI" w:hAnsi="Segoe UI"/>
          <w:color w:val="1B365D"/>
          <w:sz w:val="18"/>
          <w:szCs w:val="18"/>
        </w:rPr>
        <w:t xml:space="preserve">● view    </w:t>
      </w:r>
      <w:r>
        <w:rPr>
          <w:rFonts w:ascii="Segoe UI" w:cs="Segoe UI" w:eastAsia="Segoe UI" w:hAnsi="Segoe UI"/>
          <w:color w:val="4CBB17"/>
          <w:sz w:val="18"/>
          <w:szCs w:val="18"/>
        </w:rPr>
        <w:t xml:space="preserve">✎ act / edit / manage    </w:t>
      </w:r>
      <w:r>
        <w:rPr>
          <w:rFonts w:ascii="Segoe UI" w:cs="Segoe UI" w:eastAsia="Segoe UI" w:hAnsi="Segoe UI"/>
          <w:color w:val="1B365D"/>
          <w:sz w:val="18"/>
          <w:szCs w:val="18"/>
        </w:rPr>
        <w:t xml:space="preserve">○ none    — n/a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350"/>
        <w:gridCol w:w="1400"/>
        <w:gridCol w:w="1200"/>
        <w:gridCol w:w="1400"/>
        <w:gridCol w:w="5260"/>
      </w:tblGrid>
      <w:tr>
        <w:trPr>
          <w:tblHeader/>
        </w:trPr>
        <w:tc>
          <w:tcPr>
            <w:tcW w:type="dxa" w:w="235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SECTION / ELEMENT</w:t>
            </w:r>
          </w:p>
        </w:tc>
        <w:tc>
          <w:tcPr>
            <w:tcW w:type="dxa" w:w="135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ALL EMPLOYEES</w:t>
            </w:r>
          </w:p>
        </w:tc>
        <w:tc>
          <w:tcPr>
            <w:tcW w:type="dxa" w:w="140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PM / PROJECT LEAD</w:t>
            </w:r>
          </w:p>
        </w:tc>
        <w:tc>
          <w:tcPr>
            <w:tcW w:type="dxa" w:w="120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PMO</w:t>
            </w:r>
          </w:p>
        </w:tc>
        <w:tc>
          <w:tcPr>
            <w:tcW w:type="dxa" w:w="140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LEADERSHIP</w:t>
            </w:r>
          </w:p>
        </w:tc>
        <w:tc>
          <w:tcPr>
            <w:tcW w:type="dxa" w:w="526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SCOPE &amp; NOTES</w:t>
            </w:r>
          </w:p>
        </w:tc>
      </w:tr>
      <w:tr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Hero + ops stats</w:t>
            </w:r>
          </w:p>
        </w:tc>
        <w:tc>
          <w:tcPr>
            <w:tcW w:type="dxa" w:w="135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4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2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4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52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Firm-wide delivery stats (live projects, on-time, lessons); low sensitivity. [Proposed]</w:t>
            </w:r>
          </w:p>
        </w:tc>
      </w:tr>
      <w:tr>
        <w:tc>
          <w:tcPr>
            <w:tcW w:type="dxa" w:w="235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PMO announcements</w:t>
            </w:r>
          </w:p>
        </w:tc>
        <w:tc>
          <w:tcPr>
            <w:tcW w:type="dxa" w:w="135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4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2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4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526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PMO authors; often targeted to project leads — a targeted message. [Proposed]</w:t>
            </w:r>
          </w:p>
        </w:tc>
      </w:tr>
      <w:tr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Project lifecycle (process + templates)</w:t>
            </w:r>
          </w:p>
        </w:tc>
        <w:tc>
          <w:tcPr>
            <w:tcW w:type="dxa" w:w="135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4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2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4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52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Firm-wide read; templates in SharePoint; PMO maintains. [Confirmed]</w:t>
            </w:r>
          </w:p>
        </w:tc>
      </w:tr>
      <w:tr>
        <w:tc>
          <w:tcPr>
            <w:tcW w:type="dxa" w:w="235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Governance &amp; best practices</w:t>
            </w:r>
          </w:p>
        </w:tc>
        <w:tc>
          <w:tcPr>
            <w:tcW w:type="dxa" w:w="135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4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2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4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526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Firm-wide read documents (SharePoint); PMO maintains. [Confirmed]</w:t>
            </w:r>
          </w:p>
        </w:tc>
      </w:tr>
      <w:tr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Lessons learned — browse</w:t>
            </w:r>
          </w:p>
        </w:tc>
        <w:tc>
          <w:tcPr>
            <w:tcW w:type="dxa" w:w="135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4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2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4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52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Firm-wide knowledge; native app-DB, linked to projects. [Confirmed]</w:t>
            </w:r>
          </w:p>
        </w:tc>
      </w:tr>
      <w:tr>
        <w:tc>
          <w:tcPr>
            <w:tcW w:type="dxa" w:w="235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Lessons learned — submit</w:t>
            </w:r>
          </w:p>
        </w:tc>
        <w:tc>
          <w:tcPr>
            <w:tcW w:type="dxa" w:w="135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4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2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4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526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Anyone deposits on closeout; PMO curates. [Proposed]</w:t>
            </w:r>
          </w:p>
        </w:tc>
      </w:tr>
      <w:tr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Review calendar</w:t>
            </w:r>
          </w:p>
        </w:tc>
        <w:tc>
          <w:tcPr>
            <w:tcW w:type="dxa" w:w="135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4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2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4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52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PMO schedules; financial gates are PMO + Leadership; Graph calendar. [Proposed]</w:t>
            </w:r>
          </w:p>
        </w:tc>
      </w:tr>
      <w:tr>
        <w:tc>
          <w:tcPr>
            <w:tcW w:type="dxa" w:w="235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PMO contacts</w:t>
            </w:r>
          </w:p>
        </w:tc>
        <w:tc>
          <w:tcPr>
            <w:tcW w:type="dxa" w:w="135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4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2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4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526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Links to profiles. [Confirmed]</w:t>
            </w:r>
          </w:p>
        </w:tc>
      </w:tr>
      <w:tr>
        <w:tc>
          <w:tcPr>
            <w:tcW w:type="dxa" w:w="2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PM templates (quick access)</w:t>
            </w:r>
          </w:p>
        </w:tc>
        <w:tc>
          <w:tcPr>
            <w:tcW w:type="dxa" w:w="135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4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2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4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52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SharePoint documents. [Confirmed]</w:t>
            </w:r>
          </w:p>
        </w:tc>
      </w:tr>
      <w:tr>
        <w:tc>
          <w:tcPr>
            <w:tcW w:type="dxa" w:w="235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Improve the PMO (feedback)</w:t>
            </w:r>
          </w:p>
        </w:tc>
        <w:tc>
          <w:tcPr>
            <w:tcW w:type="dxa" w:w="135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4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2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4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526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Anyone submits; PMO reviews. [Proposed]</w:t>
            </w:r>
          </w:p>
        </w:tc>
      </w:tr>
    </w:tbl>
    <w:p>
      <w:pPr>
        <w:sectPr>
          <w:headerReference w:type="default" r:id="rId9"/>
          <w:footerReference w:type="default" r:id="rId10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360"/>
      </w:pPr>
      <w:r>
        <w:rPr>
          <w:rFonts w:ascii="Segoe UI" w:cs="Segoe UI" w:eastAsia="Segoe UI" w:hAnsi="Segoe UI"/>
          <w:b/>
          <w:bCs/>
          <w:color w:val="4CBB17"/>
          <w:spacing w:val="120"/>
          <w:sz w:val="18"/>
          <w:szCs w:val="18"/>
        </w:rPr>
        <w:t xml:space="preserve">ARTIFACT 2</w:t>
      </w:r>
    </w:p>
    <w:p>
      <w:pPr>
        <w:pStyle w:val="Heading1"/>
      </w:pPr>
      <w:r>
        <w:t xml:space="preserve">Sensitive-data inventory</w:t>
      </w:r>
    </w:p>
    <w:p>
      <w:pPr>
        <w:spacing w:after="140" w:line="300"/>
      </w:pPr>
      <w:r>
        <w:rPr>
          <w:rFonts w:ascii="Segoe UI" w:cs="Segoe UI" w:eastAsia="Segoe UI" w:hAnsi="Segoe UI"/>
          <w:color w:val="1B365D"/>
          <w:sz w:val="22"/>
          <w:szCs w:val="22"/>
        </w:rPr>
        <w:t xml:space="preserve">Most of this page is low-sensitivity firm knowledge. The items to watch are lessons that reference client projects and the financial-gate reviews scoped to PMO and leadership.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350"/>
        <w:gridCol w:w="2500"/>
        <w:gridCol w:w="2210"/>
        <w:gridCol w:w="1150"/>
      </w:tblGrid>
      <w:tr>
        <w:trPr>
          <w:tblHeader/>
        </w:trPr>
        <w:tc>
          <w:tcPr>
            <w:tcW w:type="dxa" w:w="21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DATA ITEM</w:t>
            </w:r>
          </w:p>
        </w:tc>
        <w:tc>
          <w:tcPr>
            <w:tcW w:type="dxa" w:w="13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250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WHO MAY SEE IT (SCOPE)</w:t>
            </w:r>
          </w:p>
        </w:tc>
        <w:tc>
          <w:tcPr>
            <w:tcW w:type="dxa" w:w="221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WHERE IT LIVES</w:t>
            </w:r>
          </w:p>
        </w:tc>
        <w:tc>
          <w:tcPr>
            <w:tcW w:type="dxa" w:w="11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Governance, methodology &amp; templates</w:t>
            </w:r>
          </w:p>
        </w:tc>
        <w:tc>
          <w:tcPr>
            <w:tcW w:type="dxa" w:w="13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Low / internal</w:t>
            </w:r>
          </w:p>
        </w:tc>
        <w:tc>
          <w:tcPr>
            <w:tcW w:type="dxa" w:w="25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All employees</w:t>
            </w:r>
          </w:p>
        </w:tc>
        <w:tc>
          <w:tcPr>
            <w:tcW w:type="dxa" w:w="221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SharePoint</w:t>
            </w:r>
          </w:p>
        </w:tc>
        <w:tc>
          <w:tcPr>
            <w:tcW w:type="dxa" w:w="1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Lessons learned (reference client projects)</w:t>
            </w:r>
          </w:p>
        </w:tc>
        <w:tc>
          <w:tcPr>
            <w:tcW w:type="dxa" w:w="13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Internal (low–moderate)</w:t>
            </w:r>
          </w:p>
        </w:tc>
        <w:tc>
          <w:tcPr>
            <w:tcW w:type="dxa" w:w="25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All employees; PMO curates</w:t>
            </w:r>
          </w:p>
        </w:tc>
        <w:tc>
          <w:tcPr>
            <w:tcW w:type="dxa" w:w="221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 (linked to projects)</w:t>
            </w:r>
          </w:p>
        </w:tc>
        <w:tc>
          <w:tcPr>
            <w:tcW w:type="dxa" w:w="1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2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PMO announcements</w:t>
            </w:r>
          </w:p>
        </w:tc>
        <w:tc>
          <w:tcPr>
            <w:tcW w:type="dxa" w:w="13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Internal</w:t>
            </w:r>
          </w:p>
        </w:tc>
        <w:tc>
          <w:tcPr>
            <w:tcW w:type="dxa" w:w="25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All / targeted to PMs</w:t>
            </w:r>
          </w:p>
        </w:tc>
        <w:tc>
          <w:tcPr>
            <w:tcW w:type="dxa" w:w="221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</w:t>
            </w:r>
          </w:p>
        </w:tc>
        <w:tc>
          <w:tcPr>
            <w:tcW w:type="dxa" w:w="1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2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Review calendar (some financial gates)</w:t>
            </w:r>
          </w:p>
        </w:tc>
        <w:tc>
          <w:tcPr>
            <w:tcW w:type="dxa" w:w="13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Internal</w:t>
            </w:r>
          </w:p>
        </w:tc>
        <w:tc>
          <w:tcPr>
            <w:tcW w:type="dxa" w:w="25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All see; financial gates PMO + Leadership</w:t>
            </w:r>
          </w:p>
        </w:tc>
        <w:tc>
          <w:tcPr>
            <w:tcW w:type="dxa" w:w="221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 + Outlook</w:t>
            </w:r>
          </w:p>
        </w:tc>
        <w:tc>
          <w:tcPr>
            <w:tcW w:type="dxa" w:w="1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2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Ops stats (on-time, live projects)</w:t>
            </w:r>
          </w:p>
        </w:tc>
        <w:tc>
          <w:tcPr>
            <w:tcW w:type="dxa" w:w="13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Internal (low)</w:t>
            </w:r>
          </w:p>
        </w:tc>
        <w:tc>
          <w:tcPr>
            <w:tcW w:type="dxa" w:w="25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All employees</w:t>
            </w:r>
          </w:p>
        </w:tc>
        <w:tc>
          <w:tcPr>
            <w:tcW w:type="dxa" w:w="221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 (computed)</w:t>
            </w:r>
          </w:p>
        </w:tc>
        <w:tc>
          <w:tcPr>
            <w:tcW w:type="dxa" w:w="1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2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PMO feedback</w:t>
            </w:r>
          </w:p>
        </w:tc>
        <w:tc>
          <w:tcPr>
            <w:tcW w:type="dxa" w:w="13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Internal</w:t>
            </w:r>
          </w:p>
        </w:tc>
        <w:tc>
          <w:tcPr>
            <w:tcW w:type="dxa" w:w="25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Submitter + PMO</w:t>
            </w:r>
          </w:p>
        </w:tc>
        <w:tc>
          <w:tcPr>
            <w:tcW w:type="dxa" w:w="221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</w:t>
            </w:r>
          </w:p>
        </w:tc>
        <w:tc>
          <w:tcPr>
            <w:tcW w:type="dxa" w:w="1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</w:tbl>
    <w:p>
      <w:pPr>
        <w:spacing w:after="60" w:before="360"/>
      </w:pPr>
      <w:r>
        <w:rPr>
          <w:rFonts w:ascii="Segoe UI" w:cs="Segoe UI" w:eastAsia="Segoe UI" w:hAnsi="Segoe UI"/>
          <w:b/>
          <w:bCs/>
          <w:color w:val="4CBB17"/>
          <w:spacing w:val="120"/>
          <w:sz w:val="18"/>
          <w:szCs w:val="18"/>
        </w:rPr>
        <w:t xml:space="preserve">ARTIFACT 3</w:t>
      </w:r>
    </w:p>
    <w:p>
      <w:pPr>
        <w:pStyle w:val="Heading1"/>
      </w:pPr>
      <w:r>
        <w:t xml:space="preserve">Data-placement table</w:t>
      </w:r>
    </w:p>
    <w:p>
      <w:pPr>
        <w:spacing w:after="140" w:line="300"/>
      </w:pPr>
      <w:r>
        <w:rPr>
          <w:rFonts w:ascii="Segoe UI" w:cs="Segoe UI" w:eastAsia="Segoe UI" w:hAnsi="Segoe UI"/>
          <w:color w:val="1B365D"/>
          <w:sz w:val="22"/>
          <w:szCs w:val="22"/>
        </w:rPr>
        <w:t xml:space="preserve">Methodology and templates live in SharePoint; lessons, announcements, and reviews are App-DB records; financial dashboards come from Power BI. The page is mostly a well-organised surface over the firm’s delivery knowledge.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250"/>
        <w:gridCol w:w="3460"/>
        <w:gridCol w:w="1200"/>
      </w:tblGrid>
      <w:tr>
        <w:trPr>
          <w:tblHeader/>
        </w:trPr>
        <w:tc>
          <w:tcPr>
            <w:tcW w:type="dxa" w:w="24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DATA TYPE</w:t>
            </w:r>
          </w:p>
        </w:tc>
        <w:tc>
          <w:tcPr>
            <w:tcW w:type="dxa" w:w="22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SYSTEM OF RECORD</w:t>
            </w:r>
          </w:p>
        </w:tc>
        <w:tc>
          <w:tcPr>
            <w:tcW w:type="dxa" w:w="346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IN-HUB REPRESENTATION / POINTER</w:t>
            </w:r>
          </w:p>
        </w:tc>
        <w:tc>
          <w:tcPr>
            <w:tcW w:type="dxa" w:w="120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4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Lifecycle &amp; governance content</w:t>
            </w:r>
          </w:p>
        </w:tc>
        <w:tc>
          <w:tcPr>
            <w:tcW w:type="dxa" w:w="2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SharePoint pages / App DB</w:t>
            </w:r>
          </w:p>
        </w:tc>
        <w:tc>
          <w:tcPr>
            <w:tcW w:type="dxa" w:w="34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PMO-maintained methodology; template docs → SharePoint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Templates (SOW, budget, status, closeout…)</w:t>
            </w:r>
          </w:p>
        </w:tc>
        <w:tc>
          <w:tcPr>
            <w:tcW w:type="dxa" w:w="2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SharePoint (via Graph)</w:t>
            </w:r>
          </w:p>
        </w:tc>
        <w:tc>
          <w:tcPr>
            <w:tcW w:type="dxa" w:w="346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Linked from lifecycle stages and quick-access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LessonLearned</w:t>
            </w:r>
          </w:p>
        </w:tc>
        <w:tc>
          <w:tcPr>
            <w:tcW w:type="dxa" w:w="2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</w:t>
            </w:r>
          </w:p>
        </w:tc>
        <w:tc>
          <w:tcPr>
            <w:tcW w:type="dxa" w:w="34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Title, type, body, author, project link, tags; browsable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PMO announcement</w:t>
            </w:r>
          </w:p>
        </w:tc>
        <w:tc>
          <w:tcPr>
            <w:tcW w:type="dxa" w:w="2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</w:t>
            </w:r>
          </w:p>
        </w:tc>
        <w:tc>
          <w:tcPr>
            <w:tcW w:type="dxa" w:w="346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 targeted message (the shared messaging engine)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24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Review event</w:t>
            </w:r>
          </w:p>
        </w:tc>
        <w:tc>
          <w:tcPr>
            <w:tcW w:type="dxa" w:w="2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 + Outlook (Graph)</w:t>
            </w:r>
          </w:p>
        </w:tc>
        <w:tc>
          <w:tcPr>
            <w:tcW w:type="dxa" w:w="34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Attendees, time, location; some PMO + Leadership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24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Ops stats (live projects, on-time, lessons)</w:t>
            </w:r>
          </w:p>
        </w:tc>
        <w:tc>
          <w:tcPr>
            <w:tcW w:type="dxa" w:w="2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 (computed)</w:t>
            </w:r>
          </w:p>
        </w:tc>
        <w:tc>
          <w:tcPr>
            <w:tcW w:type="dxa" w:w="346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Derived aggregates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24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Financial dashboards (governance)</w:t>
            </w:r>
          </w:p>
        </w:tc>
        <w:tc>
          <w:tcPr>
            <w:tcW w:type="dxa" w:w="2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External — Power BI</w:t>
            </w:r>
          </w:p>
        </w:tc>
        <w:tc>
          <w:tcPr>
            <w:tcW w:type="dxa" w:w="34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Referenced for real-time financials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24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PMO contacts</w:t>
            </w:r>
          </w:p>
        </w:tc>
        <w:tc>
          <w:tcPr>
            <w:tcW w:type="dxa" w:w="2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Entra + App DB</w:t>
            </w:r>
          </w:p>
        </w:tc>
        <w:tc>
          <w:tcPr>
            <w:tcW w:type="dxa" w:w="346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Identity + roles; links to profiles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PMO feedback / improvement idea</w:t>
            </w:r>
          </w:p>
        </w:tc>
        <w:tc>
          <w:tcPr>
            <w:tcW w:type="dxa" w:w="2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</w:t>
            </w:r>
          </w:p>
        </w:tc>
        <w:tc>
          <w:tcPr>
            <w:tcW w:type="dxa" w:w="34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Submitter + PMO review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</w:tbl>
    <w:p>
      <w:pPr>
        <w:spacing w:after="60" w:before="360"/>
      </w:pPr>
      <w:r>
        <w:rPr>
          <w:rFonts w:ascii="Segoe UI" w:cs="Segoe UI" w:eastAsia="Segoe UI" w:hAnsi="Segoe UI"/>
          <w:b/>
          <w:bCs/>
          <w:color w:val="4CBB17"/>
          <w:spacing w:val="120"/>
          <w:sz w:val="18"/>
          <w:szCs w:val="18"/>
        </w:rPr>
        <w:t xml:space="preserve">ARTIFACT 4</w:t>
      </w:r>
    </w:p>
    <w:p>
      <w:pPr>
        <w:pStyle w:val="Heading1"/>
      </w:pPr>
      <w:r>
        <w:t xml:space="preserve">User flows — with the backend check marked</w:t>
      </w:r>
    </w:p>
    <w:p>
      <w:pPr>
        <w:pStyle w:val="Heading3"/>
      </w:pPr>
      <w:r>
        <w:t xml:space="preserve">A · Read the methodology (firm-wide)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1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Any employee opens PMO Hub. </w:t>
      </w: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[backend check]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resolves identity; the lifecycle, governance, and templates render for all.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2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Opening a template loads it from </w:t>
      </w: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SharePoint via Graph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.</w:t>
      </w:r>
    </w:p>
    <w:p>
      <w:pPr>
        <w:pStyle w:val="Heading3"/>
      </w:pPr>
      <w:r>
        <w:t xml:space="preserve">B · Submit a lesson learned (closeout)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1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At closeout a consultant submits a lesson → a </w:t>
      </w: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LessonLearned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 record (App DB), linked to the project.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2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The PMO curates it; it appears in the firm-wide feed and feeds knowledge back in.</w:t>
      </w:r>
    </w:p>
    <w:p>
      <w:pPr>
        <w:pStyle w:val="Heading3"/>
      </w:pPr>
      <w:r>
        <w:t xml:space="preserve">C · PMO authors &amp; schedules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1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The PMO posts an announcement (targeted to PMs) and schedules reviews — </w:t>
      </w: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[backend check]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on the PMO capability; Graph creates the calendar events.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2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Financial-gate reviews are scoped to </w:t>
      </w: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PMO + Leadership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.</w:t>
      </w:r>
    </w:p>
    <w:p>
      <w:pPr>
        <w:pStyle w:val="Heading3"/>
      </w:pPr>
      <w:r>
        <w:t xml:space="preserve">D · Improve the PMO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1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Anyone submits PMO feedback → App DB → PMO reviews monthly.</w:t>
      </w:r>
    </w:p>
    <w:p>
      <w:pPr>
        <w:spacing w:after="60" w:before="360"/>
      </w:pPr>
      <w:r>
        <w:rPr>
          <w:rFonts w:ascii="Segoe UI" w:cs="Segoe UI" w:eastAsia="Segoe UI" w:hAnsi="Segoe UI"/>
          <w:b/>
          <w:bCs/>
          <w:color w:val="4CBB17"/>
          <w:spacing w:val="120"/>
          <w:sz w:val="18"/>
          <w:szCs w:val="18"/>
        </w:rPr>
        <w:t xml:space="preserve">OPEN ITEMS</w:t>
      </w:r>
    </w:p>
    <w:p>
      <w:pPr>
        <w:pStyle w:val="Heading1"/>
      </w:pPr>
      <w:r>
        <w:t xml:space="preserve">Open decisions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50"/>
        <w:gridCol w:w="4510"/>
        <w:gridCol w:w="1200"/>
      </w:tblGrid>
      <w:tr>
        <w:trPr>
          <w:tblHeader/>
        </w:trPr>
        <w:tc>
          <w:tcPr>
            <w:tcW w:type="dxa" w:w="50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#</w:t>
            </w:r>
          </w:p>
        </w:tc>
        <w:tc>
          <w:tcPr>
            <w:tcW w:type="dxa" w:w="31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OPEN DECISION</w:t>
            </w:r>
          </w:p>
        </w:tc>
        <w:tc>
          <w:tcPr>
            <w:tcW w:type="dxa" w:w="451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120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1</w:t>
            </w:r>
          </w:p>
        </w:tc>
        <w:tc>
          <w:tcPr>
            <w:tcW w:type="dxa" w:w="3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PMO announcements</w:t>
            </w:r>
          </w:p>
        </w:tc>
        <w:tc>
          <w:tcPr>
            <w:tcW w:type="dxa" w:w="451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Use the shared targeted-message engine, authored by PMO (scoped authoring) — settles the Action-Needed question too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5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2</w:t>
            </w:r>
          </w:p>
        </w:tc>
        <w:tc>
          <w:tcPr>
            <w:tcW w:type="dxa" w:w="3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Lessons Learned entity</w:t>
            </w:r>
          </w:p>
        </w:tc>
        <w:tc>
          <w:tcPr>
            <w:tcW w:type="dxa" w:w="451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Native App-DB entity linked to projects, PMO-curated; decide who moderates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5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3</w:t>
            </w:r>
          </w:p>
        </w:tc>
        <w:tc>
          <w:tcPr>
            <w:tcW w:type="dxa" w:w="3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Review calendar</w:t>
            </w:r>
          </w:p>
        </w:tc>
        <w:tc>
          <w:tcPr>
            <w:tcW w:type="dxa" w:w="451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Reuse the Meeting Hub pattern (Graph + add-to-calendar); scope financial gates to PMO + Leadership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5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4</w:t>
            </w:r>
          </w:p>
        </w:tc>
        <w:tc>
          <w:tcPr>
            <w:tcW w:type="dxa" w:w="3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Governance-content placement</w:t>
            </w:r>
          </w:p>
        </w:tc>
        <w:tc>
          <w:tcPr>
            <w:tcW w:type="dxa" w:w="451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SharePoint pages vs App-DB records for the maintained methodology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C05621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5</w:t>
            </w:r>
          </w:p>
        </w:tc>
        <w:tc>
          <w:tcPr>
            <w:tcW w:type="dxa" w:w="3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Ops-stats source</w:t>
            </w:r>
          </w:p>
        </w:tc>
        <w:tc>
          <w:tcPr>
            <w:tcW w:type="dxa" w:w="451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Computed aggregates from projects / Planner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5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6</w:t>
            </w:r>
          </w:p>
        </w:tc>
        <w:tc>
          <w:tcPr>
            <w:tcW w:type="dxa" w:w="3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Power BI financial integration</w:t>
            </w:r>
          </w:p>
        </w:tc>
        <w:tc>
          <w:tcPr>
            <w:tcW w:type="dxa" w:w="451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Confirm the reporting integration referenced in governance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5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7</w:t>
            </w:r>
          </w:p>
        </w:tc>
        <w:tc>
          <w:tcPr>
            <w:tcW w:type="dxa" w:w="3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Lesson visibility</w:t>
            </w:r>
          </w:p>
        </w:tc>
        <w:tc>
          <w:tcPr>
            <w:tcW w:type="dxa" w:w="451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All firm-wide, or scope a lesson that references client-confidential detail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C05621"/>
                <w:sz w:val="18"/>
                <w:szCs w:val="18"/>
              </w:rPr>
              <w:t xml:space="preserve">Open</w:t>
            </w:r>
          </w:p>
        </w:tc>
      </w:tr>
    </w:tbl>
    <w:p>
      <w:pPr>
        <w:spacing w:before="200"/>
      </w:pPr>
    </w:p>
    <w:p>
      <w:pPr>
        <w:pBdr>
          <w:left w:val="single" w:color="4CBB17" w:sz="12" w:space="12"/>
        </w:pBdr>
        <w:spacing w:after="200" w:before="200"/>
        <w:ind w:left="360"/>
      </w:pPr>
      <w:r>
        <w:rPr>
          <w:rFonts w:ascii="Segoe UI" w:cs="Segoe UI" w:eastAsia="Segoe UI" w:hAnsi="Segoe UI"/>
          <w:i/>
          <w:iCs/>
          <w:color w:val="1B365D"/>
          <w:sz w:val="22"/>
          <w:szCs w:val="22"/>
        </w:rPr>
        <w:t xml:space="preserve">The PMO announcement is the concrete case that answers the home page’s open Action-Needed question: a scoped lead (the PMO) authoring a targeted message to a specific audience. If the shared messaging engine supports scoped authoring, both are solved at once.</w:t>
      </w:r>
    </w:p>
    <w:sectPr>
      <w:headerReference w:type="default" r:id="rId11"/>
      <w:footerReference w:type="default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0EEEB" w:sz="2" w:space="4"/>
      </w:pBdr>
      <w:tabs>
        <w:tab w:val="right" w:pos="9360"/>
      </w:tabs>
    </w:pPr>
    <w:r>
      <w:rPr>
        <w:rFonts w:ascii="Segoe UI" w:cs="Segoe UI" w:eastAsia="Segoe UI" w:hAnsi="Segoe UI"/>
        <w:i/>
        <w:iCs/>
        <w:color w:val="8A94A6"/>
        <w:sz w:val="14"/>
        <w:szCs w:val="14"/>
      </w:rPr>
      <w:t xml:space="preserve">Confidential — internal architecture working document</w:t>
    </w:r>
    <w:r>
      <w:t xml:space="preserve">	</w:t>
    </w:r>
    <w:r>
      <w:rPr>
        <w:rFonts w:ascii="Segoe UI" w:cs="Segoe UI" w:eastAsia="Segoe UI" w:hAnsi="Segoe UI"/>
        <w:color w:val="1B365D"/>
        <w:sz w:val="14"/>
        <w:szCs w:val="14"/>
      </w:rPr>
      <w:t xml:space="preserve">Page </w:t>
    </w:r>
    <w:r>
      <w:rPr>
        <w:rFonts w:ascii="Segoe UI" w:cs="Segoe UI" w:eastAsia="Segoe UI" w:hAnsi="Segoe UI"/>
        <w:color w:val="1B365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0EEEB" w:sz="2" w:space="4"/>
      </w:pBdr>
      <w:tabs>
        <w:tab w:val="right" w:pos="12960"/>
      </w:tabs>
    </w:pPr>
    <w:r>
      <w:rPr>
        <w:rFonts w:ascii="Segoe UI" w:cs="Segoe UI" w:eastAsia="Segoe UI" w:hAnsi="Segoe UI"/>
        <w:i/>
        <w:iCs/>
        <w:color w:val="8A94A6"/>
        <w:sz w:val="14"/>
        <w:szCs w:val="14"/>
      </w:rPr>
      <w:t xml:space="preserve">Confidential — internal architecture working document</w:t>
    </w:r>
    <w:r>
      <w:t xml:space="preserve">	</w:t>
    </w:r>
    <w:r>
      <w:rPr>
        <w:rFonts w:ascii="Segoe UI" w:cs="Segoe UI" w:eastAsia="Segoe UI" w:hAnsi="Segoe UI"/>
        <w:color w:val="1B365D"/>
        <w:sz w:val="14"/>
        <w:szCs w:val="14"/>
      </w:rPr>
      <w:t xml:space="preserve">Page </w:t>
    </w:r>
    <w:r>
      <w:rPr>
        <w:rFonts w:ascii="Segoe UI" w:cs="Segoe UI" w:eastAsia="Segoe UI" w:hAnsi="Segoe UI"/>
        <w:color w:val="1B365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0EEEB" w:sz="2" w:space="4"/>
      </w:pBdr>
      <w:tabs>
        <w:tab w:val="right" w:pos="9360"/>
      </w:tabs>
    </w:pPr>
    <w:r>
      <w:rPr>
        <w:rFonts w:ascii="Segoe UI" w:cs="Segoe UI" w:eastAsia="Segoe UI" w:hAnsi="Segoe UI"/>
        <w:i/>
        <w:iCs/>
        <w:color w:val="8A94A6"/>
        <w:sz w:val="14"/>
        <w:szCs w:val="14"/>
      </w:rPr>
      <w:t xml:space="preserve">Confidential — internal architecture working document</w:t>
    </w:r>
    <w:r>
      <w:t xml:space="preserve">	</w:t>
    </w:r>
    <w:r>
      <w:rPr>
        <w:rFonts w:ascii="Segoe UI" w:cs="Segoe UI" w:eastAsia="Segoe UI" w:hAnsi="Segoe UI"/>
        <w:color w:val="1B365D"/>
        <w:sz w:val="14"/>
        <w:szCs w:val="14"/>
      </w:rPr>
      <w:t xml:space="preserve">Page </w:t>
    </w:r>
    <w:r>
      <w:rPr>
        <w:rFonts w:ascii="Segoe UI" w:cs="Segoe UI" w:eastAsia="Segoe UI" w:hAnsi="Segoe UI"/>
        <w:color w:val="1B365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BB17" w:sz="4" w:space="4"/>
      </w:pBdr>
      <w:spacing w:after="0"/>
    </w:pPr>
    <w:r>
      <w:rPr>
        <w:rFonts w:ascii="Aptos" w:cs="Aptos" w:eastAsia="Aptos" w:hAnsi="Aptos"/>
        <w:b/>
        <w:bCs/>
        <w:color w:val="1B365D"/>
        <w:sz w:val="18"/>
        <w:szCs w:val="18"/>
      </w:rPr>
      <w:t xml:space="preserve">JJR</w:t>
    </w:r>
    <w:r>
      <w:rPr>
        <w:rFonts w:ascii="Aptos" w:cs="Aptos" w:eastAsia="Aptos" w:hAnsi="Aptos"/>
        <w:color w:val="4CBB17"/>
        <w:sz w:val="18"/>
        <w:szCs w:val="18"/>
      </w:rPr>
      <w:t xml:space="preserve">consulting</w:t>
    </w:r>
    <w:r>
      <w:rPr>
        <w:rFonts w:ascii="Segoe UI" w:cs="Segoe UI" w:eastAsia="Segoe UI" w:hAnsi="Segoe UI"/>
        <w:color w:val="8A94A6"/>
        <w:sz w:val="14"/>
        <w:szCs w:val="14"/>
      </w:rPr>
      <w:t xml:space="preserve">    Hub — PMO Hub Architecture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BB17" w:sz="4" w:space="4"/>
      </w:pBdr>
      <w:spacing w:after="0"/>
    </w:pPr>
    <w:r>
      <w:rPr>
        <w:rFonts w:ascii="Aptos" w:cs="Aptos" w:eastAsia="Aptos" w:hAnsi="Aptos"/>
        <w:b/>
        <w:bCs/>
        <w:color w:val="1B365D"/>
        <w:sz w:val="18"/>
        <w:szCs w:val="18"/>
      </w:rPr>
      <w:t xml:space="preserve">JJR</w:t>
    </w:r>
    <w:r>
      <w:rPr>
        <w:rFonts w:ascii="Aptos" w:cs="Aptos" w:eastAsia="Aptos" w:hAnsi="Aptos"/>
        <w:color w:val="4CBB17"/>
        <w:sz w:val="18"/>
        <w:szCs w:val="18"/>
      </w:rPr>
      <w:t xml:space="preserve">consulting</w:t>
    </w:r>
    <w:r>
      <w:rPr>
        <w:rFonts w:ascii="Segoe UI" w:cs="Segoe UI" w:eastAsia="Segoe UI" w:hAnsi="Segoe UI"/>
        <w:color w:val="8A94A6"/>
        <w:sz w:val="14"/>
        <w:szCs w:val="14"/>
      </w:rPr>
      <w:t xml:space="preserve">    Hub — PMO Hub Architecture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BB17" w:sz="4" w:space="4"/>
      </w:pBdr>
      <w:spacing w:after="0"/>
    </w:pPr>
    <w:r>
      <w:rPr>
        <w:rFonts w:ascii="Aptos" w:cs="Aptos" w:eastAsia="Aptos" w:hAnsi="Aptos"/>
        <w:b/>
        <w:bCs/>
        <w:color w:val="1B365D"/>
        <w:sz w:val="18"/>
        <w:szCs w:val="18"/>
      </w:rPr>
      <w:t xml:space="preserve">JJR</w:t>
    </w:r>
    <w:r>
      <w:rPr>
        <w:rFonts w:ascii="Aptos" w:cs="Aptos" w:eastAsia="Aptos" w:hAnsi="Aptos"/>
        <w:color w:val="4CBB17"/>
        <w:sz w:val="18"/>
        <w:szCs w:val="18"/>
      </w:rPr>
      <w:t xml:space="preserve">consulting</w:t>
    </w:r>
    <w:r>
      <w:rPr>
        <w:rFonts w:ascii="Segoe UI" w:cs="Segoe UI" w:eastAsia="Segoe UI" w:hAnsi="Segoe UI"/>
        <w:color w:val="8A94A6"/>
        <w:sz w:val="14"/>
        <w:szCs w:val="14"/>
      </w:rPr>
      <w:t xml:space="preserve">    Hub — PMO Hub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B365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ptos" w:cs="Aptos" w:eastAsia="Aptos" w:hAnsi="Aptos"/>
      <w:b/>
      <w:bCs/>
      <w:color w:val="1B365D"/>
      <w:sz w:val="40"/>
      <w:szCs w:val="4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ptos" w:cs="Aptos" w:eastAsia="Aptos" w:hAnsi="Aptos"/>
      <w:b/>
      <w:bCs/>
      <w:color w:val="4CBB1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JJR Hub — PMO Hub Architecture Definition</dc:title>
  <dc:creator>JJR consulting</dc:creator>
  <cp:lastModifiedBy>Un-named</cp:lastModifiedBy>
  <cp:revision>1</cp:revision>
  <dcterms:created xsi:type="dcterms:W3CDTF">2026-08-04T01:33:58.374Z</dcterms:created>
  <dcterms:modified xsi:type="dcterms:W3CDTF">2026-08-04T01:33:58.390Z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