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t xml:space="preserve">Product Requirements Document · PRD</w:t>
      </w:r>
    </w:p>
    <w:p>
      <w:pPr>
        <w:pStyle w:val="Title"/>
      </w:pPr>
      <w:r>
        <w:t xml:space="preserve">Billing System</w:t>
      </w:r>
    </w:p>
    <w:p>
      <w:pPr>
        <w:pStyle w:val="Subtitle"/>
      </w:pPr>
      <w:r>
        <w:t xml:space="preserve">Centralized Revenue Cycle Management platform for Physical Therapy and multi-specialty billing</w:t>
      </w:r>
    </w:p>
    <w:p>
      <w:pPr>
        <w:pStyle w:val="Meta"/>
      </w:pPr>
      <w:r>
        <w:rPr>
          <w:color w:val="605D5D"/>
          <w:sz w:val="16"/>
          <w:szCs w:val="16"/>
        </w:rPr>
        <w:t xml:space="preserve">OWNER  </w:t>
      </w:r>
      <w:r>
        <w:t xml:space="preserve">Business Development</w:t>
      </w:r>
    </w:p>
    <w:p>
      <w:pPr>
        <w:pStyle w:val="Meta"/>
      </w:pPr>
      <w:r>
        <w:rPr>
          <w:color w:val="605D5D"/>
          <w:sz w:val="16"/>
          <w:szCs w:val="16"/>
        </w:rPr>
        <w:t xml:space="preserve">VERSION · STATUS  </w:t>
      </w:r>
      <w:r>
        <w:t xml:space="preserve">2.0 · Draft</w:t>
      </w:r>
    </w:p>
    <w:p>
      <w:pPr>
        <w:pStyle w:val="Meta"/>
      </w:pPr>
      <w:r>
        <w:rPr>
          <w:color w:val="605D5D"/>
          <w:sz w:val="16"/>
          <w:szCs w:val="16"/>
        </w:rPr>
        <w:t xml:space="preserve">TARGET SPECIALTY  </w:t>
      </w:r>
      <w:r>
        <w:t xml:space="preserve">Physical Therapy &amp; Multi-Specialty RCM</w:t>
      </w:r>
    </w:p>
    <w:p>
      <w:pPr>
        <w:pStyle w:val="Meta"/>
      </w:pPr>
      <w:r>
        <w:rPr>
          <w:color w:val="605D5D"/>
          <w:sz w:val="16"/>
          <w:szCs w:val="16"/>
        </w:rPr>
        <w:t xml:space="preserve">SYSTEM PHILOSOPHY  </w:t>
      </w:r>
      <w:r>
        <w:t xml:space="preserve">Action-oriented operating system</w:t>
      </w:r>
    </w:p>
    <w:p>
      <w:pPr>
        <w:pStyle w:val="Normal"/>
      </w:pPr>
      <w:r>
        <w:t xml:space="preserve">This document consolidates two sources: the </w:t>
      </w:r>
      <w:r>
        <w:rPr>
          <w:i/>
        </w:rPr>
        <w:t xml:space="preserve">Billing System PRD 2.0</w:t>
      </w:r>
      <w:r>
        <w:t xml:space="preserve"> (functional requirements) and the </w:t>
      </w:r>
      <w:r>
        <w:rPr>
          <w:i/>
        </w:rPr>
        <w:t xml:space="preserve">Billing System Core Database Schema v2</w:t>
      </w:r>
      <w:r>
        <w:t xml:space="preserve"> (PostgreSQL data model). Chapters 1–9 state what the platform must do; chapter 10 states the data it stores; chapter 11 lists the work not yet specified.</w:t>
      </w:r>
    </w:p>
    <w:p>
      <w:pPr>
        <w:pStyle w:val="Kicker"/>
        <w:pBdr>
          <w:top w:val="single" w:sz="6" w:space="6" w:color="B68235"/>
        </w:pBdr>
      </w:pPr>
      <w:r>
        <w:t xml:space="preserve">Core product principle</w:t>
      </w:r>
    </w:p>
    <w:p>
      <w:pPr>
        <w:pStyle w:val="Callout"/>
      </w:pPr>
      <w:r>
        <w:t xml:space="preserve">Every actionable item within the platform maintains strict ownership: </w:t>
      </w:r>
      <w:r>
        <w:rPr>
          <w:b/>
        </w:rPr>
        <w:t xml:space="preserve">Owner + Status + Priority + Due Date + Next Action + History</w:t>
      </w:r>
      <w:r>
        <w:t xml:space="preserve">, across the entire flow: Eligibility → Referral → Authorization → Encounter → Claim → Denial / A/R → Payment → Appeals.</w:t>
      </w:r>
    </w:p>
    <w:p>
      <w:pPr>
        <w:pStyle w:val="Heading1"/>
      </w:pPr>
      <w:r>
        <w:t xml:space="preserve">Contents</w:t>
      </w:r>
    </w:p>
    <w:p>
      <w:pPr>
        <w:pStyle w:val="ListParagraph"/>
        <w:numPr>
          <w:ilvl w:val="0"/>
          <w:numId w:val="2"/>
        </w:numPr>
      </w:pPr>
      <w:r>
        <w:rPr>
          <w:color w:val="B68235"/>
        </w:rPr>
        <w:t xml:space="preserve">1</w:t>
      </w:r>
      <w:r>
        <w:t xml:space="preserve">Account setup &amp; provisioning</w:t>
      </w:r>
    </w:p>
    <w:p>
      <w:pPr>
        <w:pStyle w:val="ListParagraph"/>
        <w:numPr>
          <w:ilvl w:val="0"/>
          <w:numId w:val="2"/>
        </w:numPr>
      </w:pPr>
      <w:r>
        <w:rPr>
          <w:color w:val="B68235"/>
        </w:rPr>
        <w:t xml:space="preserve">2</w:t>
      </w:r>
      <w:r>
        <w:t xml:space="preserve">EMR integration architecture</w:t>
      </w:r>
    </w:p>
    <w:p>
      <w:pPr>
        <w:pStyle w:val="ListParagraph"/>
        <w:numPr>
          <w:ilvl w:val="0"/>
          <w:numId w:val="2"/>
        </w:numPr>
      </w:pPr>
      <w:r>
        <w:rPr>
          <w:color w:val="B68235"/>
        </w:rPr>
        <w:t xml:space="preserve">3</w:t>
      </w:r>
      <w:r>
        <w:t xml:space="preserve">Core metadata &amp; structural hierarchies</w:t>
      </w:r>
    </w:p>
    <w:p>
      <w:pPr>
        <w:pStyle w:val="ListParagraph"/>
        <w:numPr>
          <w:ilvl w:val="0"/>
          <w:numId w:val="2"/>
        </w:numPr>
      </w:pPr>
      <w:r>
        <w:rPr>
          <w:color w:val="B68235"/>
        </w:rPr>
        <w:t xml:space="preserve">4</w:t>
      </w:r>
      <w:r>
        <w:t xml:space="preserve">Ingestion &amp; pre-scrubbing workflow</w:t>
      </w:r>
    </w:p>
    <w:p>
      <w:pPr>
        <w:pStyle w:val="ListParagraph"/>
        <w:numPr>
          <w:ilvl w:val="0"/>
          <w:numId w:val="2"/>
        </w:numPr>
      </w:pPr>
      <w:r>
        <w:rPr>
          <w:color w:val="B68235"/>
        </w:rPr>
        <w:t xml:space="preserve">5</w:t>
      </w:r>
      <w:r>
        <w:t xml:space="preserve">Queue management &amp; batch operations</w:t>
      </w:r>
    </w:p>
    <w:p>
      <w:pPr>
        <w:pStyle w:val="ListParagraph"/>
        <w:numPr>
          <w:ilvl w:val="0"/>
          <w:numId w:val="2"/>
        </w:numPr>
      </w:pPr>
      <w:r>
        <w:rPr>
          <w:color w:val="B68235"/>
        </w:rPr>
        <w:t xml:space="preserve">6</w:t>
      </w:r>
      <w:r>
        <w:t xml:space="preserve">Coding engine &amp; automated scrubbing rules</w:t>
      </w:r>
    </w:p>
    <w:p>
      <w:pPr>
        <w:pStyle w:val="ListParagraph"/>
        <w:numPr>
          <w:ilvl w:val="0"/>
          <w:numId w:val="2"/>
        </w:numPr>
      </w:pPr>
      <w:r>
        <w:rPr>
          <w:color w:val="B68235"/>
        </w:rPr>
        <w:t xml:space="preserve">7</w:t>
      </w:r>
      <w:r>
        <w:t xml:space="preserve">Lifecycle states &amp; clearinghouse batch analytics</w:t>
      </w:r>
    </w:p>
    <w:p>
      <w:pPr>
        <w:pStyle w:val="ListParagraph"/>
        <w:numPr>
          <w:ilvl w:val="0"/>
          <w:numId w:val="2"/>
        </w:numPr>
      </w:pPr>
      <w:r>
        <w:rPr>
          <w:color w:val="B68235"/>
        </w:rPr>
        <w:t xml:space="preserve">8</w:t>
      </w:r>
      <w:r>
        <w:t xml:space="preserve">CMS-1500 mapping specification</w:t>
      </w:r>
    </w:p>
    <w:p>
      <w:pPr>
        <w:pStyle w:val="ListParagraph"/>
        <w:numPr>
          <w:ilvl w:val="0"/>
          <w:numId w:val="2"/>
        </w:numPr>
      </w:pPr>
      <w:r>
        <w:rPr>
          <w:color w:val="B68235"/>
        </w:rPr>
        <w:t xml:space="preserve">9</w:t>
      </w:r>
      <w:r>
        <w:t xml:space="preserve">Payment posting, denial &amp; A/R management</w:t>
      </w:r>
    </w:p>
    <w:p>
      <w:pPr>
        <w:pStyle w:val="ListParagraph"/>
        <w:numPr>
          <w:ilvl w:val="0"/>
          <w:numId w:val="2"/>
        </w:numPr>
      </w:pPr>
      <w:r>
        <w:rPr>
          <w:color w:val="B68235"/>
        </w:rPr>
        <w:t xml:space="preserve">10</w:t>
      </w:r>
      <w:r>
        <w:t xml:space="preserve">Data model</w:t>
      </w:r>
    </w:p>
    <w:p>
      <w:pPr>
        <w:pStyle w:val="ListParagraph"/>
        <w:numPr>
          <w:ilvl w:val="0"/>
          <w:numId w:val="2"/>
        </w:numPr>
      </w:pPr>
      <w:r>
        <w:rPr>
          <w:color w:val="B68235"/>
        </w:rPr>
        <w:t xml:space="preserve">11</w:t>
      </w:r>
      <w:r>
        <w:t xml:space="preserve">Next steps</w:t>
      </w:r>
    </w:p>
    <w:p>
      <w:pPr>
        <w:pStyle w:val="ListParagraph"/>
        <w:numPr>
          <w:ilvl w:val="0"/>
          <w:numId w:val="2"/>
        </w:numPr>
      </w:pPr>
      <w:r>
        <w:rPr>
          <w:color w:val="B68235"/>
        </w:rPr>
        <w:t xml:space="preserve">—</w:t>
      </w:r>
      <w:r>
        <w:t xml:space="preserve">References</w:t>
      </w:r>
    </w:p>
    <w:p>
      <w:pPr>
        <w:pStyle w:val="Kicker"/>
      </w:pPr>
      <w:r>
        <w:t xml:space="preserve">Chapter 1</w:t>
      </w:r>
    </w:p>
    <w:p>
      <w:pPr>
        <w:pStyle w:val="Heading1"/>
      </w:pPr>
      <w:r>
        <w:t xml:space="preserve">Account setup &amp; provisioning</w:t>
      </w:r>
    </w:p>
    <w:p>
      <w:pPr>
        <w:pStyle w:val="Heading2"/>
      </w:pPr>
      <w:r>
        <w:rPr>
          <w:color w:val="B68235"/>
        </w:rPr>
        <w:t xml:space="preserve">1.1</w:t>
      </w:r>
      <w:r>
        <w:t xml:space="preserve">Practice onboarding requirements</w:t>
      </w:r>
    </w:p>
    <w:p>
      <w:pPr>
        <w:pStyle w:val="Normal"/>
      </w:pPr>
      <w:r>
        <w:t xml:space="preserve">Whenever an account is initialized for either the EMR or the Billing platform, the requester must supply the following practice-level metadata:</w:t>
      </w:r>
    </w:p>
    <w:p>
      <w:pPr>
        <w:pStyle w:val="ListParagraph"/>
        <w:numPr>
          <w:ilvl w:val="0"/>
          <w:numId w:val="3"/>
        </w:numPr>
      </w:pPr>
      <w:r>
        <w:rPr>
          <w:b/>
        </w:rPr>
        <w:t xml:space="preserve">Practice legal name</w:t>
      </w:r>
      <w:r>
        <w:t xml:space="preserve"> — legal entity name as registered for tax and billing purposes.</w:t>
      </w:r>
    </w:p>
    <w:p>
      <w:pPr>
        <w:pStyle w:val="ListParagraph"/>
        <w:numPr>
          <w:ilvl w:val="0"/>
          <w:numId w:val="3"/>
        </w:numPr>
      </w:pPr>
      <w:r>
        <w:rPr>
          <w:b/>
        </w:rPr>
        <w:t xml:space="preserve">Practice DBA</w:t>
      </w:r>
      <w:r>
        <w:t xml:space="preserve"> — Doing Business As name (optional).</w:t>
      </w:r>
    </w:p>
    <w:p>
      <w:pPr>
        <w:pStyle w:val="ListParagraph"/>
        <w:numPr>
          <w:ilvl w:val="0"/>
          <w:numId w:val="3"/>
        </w:numPr>
      </w:pPr>
      <w:r>
        <w:rPr>
          <w:b/>
        </w:rPr>
        <w:t xml:space="preserve">Billing address</w:t>
      </w:r>
      <w:r>
        <w:t xml:space="preserve"> — official physical / mailing address for claims billing and correspondence.</w:t>
      </w:r>
    </w:p>
    <w:p>
      <w:pPr>
        <w:pStyle w:val="ListParagraph"/>
        <w:numPr>
          <w:ilvl w:val="0"/>
          <w:numId w:val="3"/>
        </w:numPr>
      </w:pPr>
      <w:r>
        <w:rPr>
          <w:b/>
        </w:rPr>
        <w:t xml:space="preserve">Tax ID</w:t>
      </w:r>
      <w:r>
        <w:t xml:space="preserve"> — Federal Employer Identification Number (EIN) or SSN.</w:t>
      </w:r>
    </w:p>
    <w:p>
      <w:pPr>
        <w:pStyle w:val="ListParagraph"/>
        <w:numPr>
          <w:ilvl w:val="0"/>
          <w:numId w:val="3"/>
        </w:numPr>
      </w:pPr>
      <w:r>
        <w:rPr>
          <w:b/>
        </w:rPr>
        <w:t xml:space="preserve">Taxonomy code</w:t>
      </w:r>
      <w:r>
        <w:t xml:space="preserve"> — primary healthcare provider taxonomy code for claim formatting.</w:t>
      </w:r>
    </w:p>
    <w:p>
      <w:pPr>
        <w:pStyle w:val="ListParagraph"/>
        <w:numPr>
          <w:ilvl w:val="0"/>
          <w:numId w:val="3"/>
        </w:numPr>
      </w:pPr>
      <w:r>
        <w:rPr>
          <w:b/>
        </w:rPr>
        <w:t xml:space="preserve">Group NPI</w:t>
      </w:r>
      <w:r>
        <w:t xml:space="preserve"> — 10-digit organizational NPI used for group billing.</w:t>
      </w:r>
    </w:p>
    <w:p>
      <w:pPr>
        <w:pStyle w:val="Heading2"/>
      </w:pPr>
      <w:r>
        <w:rPr>
          <w:color w:val="B68235"/>
        </w:rPr>
        <w:t xml:space="preserve">1.2</w:t>
      </w:r>
      <w:r>
        <w:t xml:space="preserve">Facility (location) setup</w:t>
      </w:r>
    </w:p>
    <w:p>
      <w:pPr>
        <w:pStyle w:val="Normal"/>
      </w:pPr>
      <w:r>
        <w:t xml:space="preserve">At least one primary facility location is mandatory during initial account creation. Additional locations can be added under the practice hierarchy. Each location requires:</w:t>
      </w:r>
    </w:p>
    <w:p>
      <w:pPr>
        <w:pStyle w:val="ListParagraph"/>
        <w:numPr>
          <w:ilvl w:val="0"/>
          <w:numId w:val="1"/>
        </w:numPr>
      </w:pPr>
      <w:r>
        <w:rPr>
          <w:b/>
        </w:rPr>
        <w:t xml:space="preserve">Facility name</w:t>
      </w:r>
      <w:r>
        <w:t xml:space="preserve"> — name of the specific clinic branch or site.</w:t>
      </w:r>
    </w:p>
    <w:p>
      <w:pPr>
        <w:pStyle w:val="ListParagraph"/>
        <w:numPr>
          <w:ilvl w:val="0"/>
          <w:numId w:val="1"/>
        </w:numPr>
      </w:pPr>
      <w:r>
        <w:rPr>
          <w:b/>
        </w:rPr>
        <w:t xml:space="preserve">Rendering address</w:t>
      </w:r>
      <w:r>
        <w:t xml:space="preserve"> — physical address where healthcare services are delivered.</w:t>
      </w:r>
    </w:p>
    <w:p>
      <w:pPr>
        <w:pStyle w:val="ListParagraph"/>
        <w:numPr>
          <w:ilvl w:val="0"/>
          <w:numId w:val="1"/>
        </w:numPr>
      </w:pPr>
      <w:r>
        <w:rPr>
          <w:b/>
        </w:rPr>
        <w:t xml:space="preserve">Group NPI</w:t>
      </w:r>
      <w:r>
        <w:t xml:space="preserve"> — facility-specific or group organizational NPI.</w:t>
      </w:r>
    </w:p>
    <w:p>
      <w:pPr>
        <w:pStyle w:val="Heading2"/>
      </w:pPr>
      <w:r>
        <w:rPr>
          <w:color w:val="B68235"/>
        </w:rPr>
        <w:t xml:space="preserve">1.3</w:t>
      </w:r>
      <w:r>
        <w:t xml:space="preserve">User provisioning &amp; clinician profile rules</w:t>
      </w:r>
    </w:p>
    <w:p>
      <w:pPr>
        <w:pStyle w:val="ListParagraph"/>
        <w:numPr>
          <w:ilvl w:val="0"/>
          <w:numId w:val="1"/>
        </w:numPr>
      </w:pPr>
      <w:r>
        <w:rPr>
          <w:b/>
        </w:rPr>
        <w:t xml:space="preserve">Clinician identity exception.</w:t>
      </w:r>
      <w:r>
        <w:t xml:space="preserve"> Clinicians do not hold active user accounts in the billing system. Clinician entity profiles are created either manually in the billing platform or automatically via EMR integration when their first clinical note is finalized.</w:t>
      </w:r>
    </w:p>
    <w:p>
      <w:pPr>
        <w:pStyle w:val="ListParagraph"/>
        <w:numPr>
          <w:ilvl w:val="0"/>
          <w:numId w:val="1"/>
        </w:numPr>
      </w:pPr>
      <w:r>
        <w:rPr>
          <w:b/>
        </w:rPr>
        <w:t xml:space="preserve">Administrative roles.</w:t>
      </w:r>
      <w:r>
        <w:t xml:space="preserve"> System users are designated as Organization Admins (top-level, cross-practice visibility) or Practice Admins.</w:t>
      </w:r>
    </w:p>
    <w:p>
      <w:pPr>
        <w:pStyle w:val="ListParagraph"/>
        <w:numPr>
          <w:ilvl w:val="0"/>
          <w:numId w:val="1"/>
        </w:numPr>
      </w:pPr>
      <w:r>
        <w:rPr>
          <w:b/>
        </w:rPr>
        <w:t xml:space="preserve">Scope of access.</w:t>
      </w:r>
      <w:r>
        <w:t xml:space="preserve"> Granted at the Practice and/or Location level based on the organizational hierarchy.</w:t>
      </w:r>
    </w:p>
    <w:p>
      <w:pPr>
        <w:pStyle w:val="Heading2"/>
      </w:pPr>
      <w:r>
        <w:rPr>
          <w:color w:val="B68235"/>
        </w:rPr>
        <w:t xml:space="preserve">1.4</w:t>
      </w:r>
      <w:r>
        <w:t xml:space="preserve">Access control &amp; granular permissions matrix</w:t>
      </w:r>
    </w:p>
    <w:p>
      <w:pPr>
        <w:pStyle w:val="Normal"/>
      </w:pPr>
      <w:r>
        <w:t xml:space="preserve">Permissions are enforced per user and per section across the organization or practice using a three-tier model:</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763"/>
        <w:gridCol w:w="2154"/>
        <w:gridCol w:w="5875"/>
      </w:tblGrid>
      <w:tr>
        <w:trPr>
          <w:tblHeader/>
          <w:cantSplit/>
        </w:trPr>
        <w:tc>
          <w:tcPr>
            <w:tcW w:w="1763" w:type="dxa"/>
            <w:tcBorders>
              <w:bottom w:val="single" w:sz="6" w:color="201F1D"/>
            </w:tcBorders>
          </w:tcPr>
          <w:p>
            <w:pPr>
              <w:pStyle w:val="TableText"/>
            </w:pPr>
            <w:r>
              <w:rPr>
                <w:caps/>
                <w:color w:val="605D5D"/>
                <w:sz w:val="15"/>
                <w:szCs w:val="15"/>
              </w:rPr>
              <w:t xml:space="preserve">Permission level</w:t>
            </w:r>
          </w:p>
        </w:tc>
        <w:tc>
          <w:tcPr>
            <w:tcW w:w="2154" w:type="dxa"/>
            <w:tcBorders>
              <w:bottom w:val="single" w:sz="6" w:color="201F1D"/>
            </w:tcBorders>
          </w:tcPr>
          <w:p>
            <w:pPr>
              <w:pStyle w:val="TableText"/>
            </w:pPr>
            <w:r>
              <w:rPr>
                <w:caps/>
                <w:color w:val="605D5D"/>
                <w:sz w:val="15"/>
                <w:szCs w:val="15"/>
              </w:rPr>
              <w:t xml:space="preserve">System capability</w:t>
            </w:r>
          </w:p>
        </w:tc>
        <w:tc>
          <w:tcPr>
            <w:tcW w:w="5875" w:type="dxa"/>
            <w:tcBorders>
              <w:bottom w:val="single" w:sz="6" w:color="201F1D"/>
            </w:tcBorders>
          </w:tcPr>
          <w:p>
            <w:pPr>
              <w:pStyle w:val="TableText"/>
            </w:pPr>
            <w:r>
              <w:rPr>
                <w:caps/>
                <w:color w:val="605D5D"/>
                <w:sz w:val="15"/>
                <w:szCs w:val="15"/>
              </w:rPr>
              <w:t xml:space="preserve">Operational impact</w:t>
            </w:r>
          </w:p>
        </w:tc>
      </w:tr>
      <w:tr>
        <w:trPr>
          <w:cantSplit/>
        </w:trPr>
        <w:tc>
          <w:tcPr>
            <w:tcW w:w="1763" w:type="dxa"/>
          </w:tcPr>
          <w:p>
            <w:pPr>
              <w:pStyle w:val="TableText"/>
            </w:pPr>
            <w:r>
              <w:rPr>
                <w:sz w:val="19"/>
                <w:szCs w:val="19"/>
              </w:rPr>
              <w:t xml:space="preserve">Edit</w:t>
            </w:r>
          </w:p>
        </w:tc>
        <w:tc>
          <w:tcPr>
            <w:tcW w:w="2154" w:type="dxa"/>
          </w:tcPr>
          <w:p>
            <w:pPr>
              <w:pStyle w:val="TableText"/>
            </w:pPr>
            <w:r>
              <w:rPr>
                <w:sz w:val="19"/>
                <w:szCs w:val="19"/>
              </w:rPr>
              <w:t xml:space="preserve">Full read / write</w:t>
            </w:r>
          </w:p>
        </w:tc>
        <w:tc>
          <w:tcPr>
            <w:tcW w:w="5875" w:type="dxa"/>
          </w:tcPr>
          <w:p>
            <w:pPr>
              <w:pStyle w:val="TableText"/>
            </w:pPr>
            <w:r>
              <w:rPr>
                <w:sz w:val="19"/>
                <w:szCs w:val="19"/>
              </w:rPr>
              <w:t xml:space="preserve">User can view, create, modify, execute actions and update records within the module.</w:t>
            </w:r>
          </w:p>
        </w:tc>
      </w:tr>
      <w:tr>
        <w:trPr>
          <w:cantSplit/>
        </w:trPr>
        <w:tc>
          <w:tcPr>
            <w:tcW w:w="1763" w:type="dxa"/>
          </w:tcPr>
          <w:p>
            <w:pPr>
              <w:pStyle w:val="TableText"/>
            </w:pPr>
            <w:r>
              <w:rPr>
                <w:sz w:val="19"/>
                <w:szCs w:val="19"/>
              </w:rPr>
              <w:t xml:space="preserve">View</w:t>
            </w:r>
          </w:p>
        </w:tc>
        <w:tc>
          <w:tcPr>
            <w:tcW w:w="2154" w:type="dxa"/>
          </w:tcPr>
          <w:p>
            <w:pPr>
              <w:pStyle w:val="TableText"/>
            </w:pPr>
            <w:r>
              <w:rPr>
                <w:sz w:val="19"/>
                <w:szCs w:val="19"/>
              </w:rPr>
              <w:t xml:space="preserve">Read-only</w:t>
            </w:r>
          </w:p>
        </w:tc>
        <w:tc>
          <w:tcPr>
            <w:tcW w:w="5875" w:type="dxa"/>
          </w:tcPr>
          <w:p>
            <w:pPr>
              <w:pStyle w:val="TableText"/>
            </w:pPr>
            <w:r>
              <w:rPr>
                <w:sz w:val="19"/>
                <w:szCs w:val="19"/>
              </w:rPr>
              <w:t xml:space="preserve">User can inspect data, run reports and view audit history, but cannot create or modify records.</w:t>
            </w:r>
          </w:p>
        </w:tc>
      </w:tr>
      <w:tr>
        <w:trPr>
          <w:cantSplit/>
        </w:trPr>
        <w:tc>
          <w:tcPr>
            <w:tcW w:w="1763" w:type="dxa"/>
          </w:tcPr>
          <w:p>
            <w:pPr>
              <w:pStyle w:val="TableText"/>
            </w:pPr>
            <w:r>
              <w:rPr>
                <w:sz w:val="19"/>
                <w:szCs w:val="19"/>
              </w:rPr>
              <w:t xml:space="preserve">Hidden</w:t>
            </w:r>
          </w:p>
        </w:tc>
        <w:tc>
          <w:tcPr>
            <w:tcW w:w="2154" w:type="dxa"/>
          </w:tcPr>
          <w:p>
            <w:pPr>
              <w:pStyle w:val="TableText"/>
            </w:pPr>
            <w:r>
              <w:rPr>
                <w:sz w:val="19"/>
                <w:szCs w:val="19"/>
              </w:rPr>
              <w:t xml:space="preserve">No access</w:t>
            </w:r>
          </w:p>
        </w:tc>
        <w:tc>
          <w:tcPr>
            <w:tcW w:w="5875" w:type="dxa"/>
          </w:tcPr>
          <w:p>
            <w:pPr>
              <w:pStyle w:val="TableText"/>
            </w:pPr>
            <w:r>
              <w:rPr>
                <w:sz w:val="19"/>
                <w:szCs w:val="19"/>
              </w:rPr>
              <w:t xml:space="preserve">The module section, tab or data field is completely masked and inaccessible in the UI.</w:t>
            </w:r>
          </w:p>
        </w:tc>
      </w:tr>
    </w:tbl>
    <w:p>
      <w:pPr>
        <w:pStyle w:val="Spacer"/>
      </w:pPr>
    </w:p>
    <w:p>
      <w:pPr>
        <w:pStyle w:val="Kicker"/>
      </w:pPr>
      <w:r>
        <w:t xml:space="preserve">Chapter 2</w:t>
      </w:r>
    </w:p>
    <w:p>
      <w:pPr>
        <w:pStyle w:val="Heading1"/>
      </w:pPr>
      <w:r>
        <w:t xml:space="preserve">EMR integration architecture</w:t>
      </w:r>
    </w:p>
    <w:p>
      <w:pPr>
        <w:pStyle w:val="Heading2"/>
      </w:pPr>
      <w:r>
        <w:rPr>
          <w:color w:val="B68235"/>
        </w:rPr>
        <w:t xml:space="preserve">2.1</w:t>
      </w:r>
      <w:r>
        <w:t xml:space="preserve">Facility-level integration model</w:t>
      </w:r>
    </w:p>
    <w:p>
      <w:pPr>
        <w:pStyle w:val="Normal"/>
      </w:pPr>
      <w:r>
        <w:t xml:space="preserve">EMR integration is provisioned and configured per facility (location), never globally across a practice or organization.</w:t>
      </w:r>
    </w:p>
    <w:p>
      <w:pPr>
        <w:pStyle w:val="Heading2"/>
      </w:pPr>
      <w:r>
        <w:rPr>
          <w:color w:val="B68235"/>
        </w:rPr>
        <w:t xml:space="preserve">2.2</w:t>
      </w:r>
      <w:r>
        <w:t xml:space="preserve">Domain Admin request &amp; location linking workflow</w:t>
      </w:r>
    </w:p>
    <w:p>
      <w:pPr>
        <w:pStyle w:val="ListParagraph"/>
        <w:numPr>
          <w:ilvl w:val="0"/>
          <w:numId w:val="1"/>
        </w:numPr>
      </w:pPr>
      <w:r>
        <w:rPr>
          <w:b/>
        </w:rPr>
        <w:t xml:space="preserve">Admin request trigger.</w:t>
      </w:r>
      <w:r>
        <w:t xml:space="preserve"> Integration begins with a formal request raised by a Domain Admin in the administrative portal.</w:t>
      </w:r>
    </w:p>
    <w:p>
      <w:pPr>
        <w:pStyle w:val="ListParagraph"/>
        <w:numPr>
          <w:ilvl w:val="0"/>
          <w:numId w:val="1"/>
        </w:numPr>
      </w:pPr>
      <w:r>
        <w:rPr>
          <w:b/>
        </w:rPr>
        <w:t xml:space="preserve">Unique ID mapping.</w:t>
      </w:r>
      <w:r>
        <w:t xml:space="preserve"> The linking mechanism establishes a 1:1 mapping between corresponding location entities across systems using a shared Unique Location ID.</w:t>
      </w:r>
    </w:p>
    <w:p>
      <w:pPr>
        <w:pStyle w:val="Heading2"/>
      </w:pPr>
      <w:r>
        <w:rPr>
          <w:color w:val="B68235"/>
        </w:rPr>
        <w:t xml:space="preserve">2.3</w:t>
      </w:r>
      <w:r>
        <w:t xml:space="preserve">Selective location billing election</w:t>
      </w:r>
    </w:p>
    <w:p>
      <w:pPr>
        <w:pStyle w:val="Normal"/>
      </w:pPr>
      <w:r>
        <w:t xml:space="preserve">Domain administrators elect which locations integrate with the billing platform; the rest remain “EMR only”.</w:t>
      </w:r>
    </w:p>
    <w:p>
      <w:pPr>
        <w:pStyle w:val="ListParagraph"/>
        <w:numPr>
          <w:ilvl w:val="0"/>
          <w:numId w:val="1"/>
        </w:numPr>
      </w:pPr>
      <w:r>
        <w:rPr>
          <w:b/>
        </w:rPr>
        <w:t xml:space="preserve">Integrated locations.</w:t>
      </w:r>
      <w:r>
        <w:t xml:space="preserve"> Full data flow. Only integrated locations automatically transmit sessions, charges, patient charts, cases and provider entities into the billing ingestion pipeline.</w:t>
      </w:r>
    </w:p>
    <w:p>
      <w:pPr>
        <w:pStyle w:val="ListParagraph"/>
        <w:numPr>
          <w:ilvl w:val="0"/>
          <w:numId w:val="1"/>
        </w:numPr>
      </w:pPr>
      <w:r>
        <w:rPr>
          <w:b/>
        </w:rPr>
        <w:t xml:space="preserve">EMR-only locations.</w:t>
      </w:r>
      <w:r>
        <w:t xml:space="preserve"> Restricted to clinical documentation within the EMR. Payloads, encounters and charges generated at non-integrated facilities are blocked from the billing system.</w:t>
      </w:r>
    </w:p>
    <w:p>
      <w:pPr>
        <w:pStyle w:val="Kicker"/>
      </w:pPr>
      <w:r>
        <w:t xml:space="preserve">Chapter 3</w:t>
      </w:r>
    </w:p>
    <w:p>
      <w:pPr>
        <w:pStyle w:val="Heading1"/>
      </w:pPr>
      <w:r>
        <w:t xml:space="preserve">Core metadata &amp; structural hierarchies</w:t>
      </w:r>
    </w:p>
    <w:p>
      <w:pPr>
        <w:pStyle w:val="Heading2"/>
      </w:pPr>
      <w:r>
        <w:rPr>
          <w:color w:val="B68235"/>
        </w:rPr>
        <w:t xml:space="preserve">3.1</w:t>
      </w:r>
      <w:r>
        <w:t xml:space="preserve">Hierarchy standard</w:t>
      </w:r>
    </w:p>
    <w:p>
      <w:pPr>
        <w:pStyle w:val="Normal"/>
      </w:pPr>
      <w:r>
        <w:t xml:space="preserve">System structure, from top to bottom:</w:t>
      </w:r>
    </w:p>
    <w:p>
      <w:pPr>
        <w:pStyle w:val="Hierarchy"/>
      </w:pPr>
      <w:r>
        <w:t xml:space="preserve">Organization (optional)→ Practice→ Location→ Provider→ Patient→ Case→ Session / Claim→ Charge line / CPT code</w:t>
      </w:r>
    </w:p>
    <w:p>
      <w:pPr>
        <w:pStyle w:val="Heading2"/>
      </w:pPr>
      <w:r>
        <w:rPr>
          <w:color w:val="B68235"/>
        </w:rPr>
        <w:t xml:space="preserve">3.2</w:t>
      </w:r>
      <w:r>
        <w:t xml:space="preserve">Case profile object</w:t>
      </w:r>
    </w:p>
    <w:p>
      <w:pPr>
        <w:pStyle w:val="Normal"/>
      </w:pPr>
      <w:r>
        <w:t xml:space="preserve">Located within the Patient Chart, the Case is the central administrative container linking clinical and financial metadata:</w:t>
      </w:r>
    </w:p>
    <w:p>
      <w:pPr>
        <w:pStyle w:val="ListParagraph"/>
        <w:numPr>
          <w:ilvl w:val="0"/>
          <w:numId w:val="1"/>
        </w:numPr>
      </w:pPr>
      <w:r>
        <w:rPr>
          <w:b/>
        </w:rPr>
        <w:t xml:space="preserve">Insurances</w:t>
      </w:r>
      <w:r>
        <w:t xml:space="preserve"> — primary, secondary and tertiary policies, including subscriber info, member ID, group number, effective and termination dates.</w:t>
      </w:r>
    </w:p>
    <w:p>
      <w:pPr>
        <w:pStyle w:val="ListParagraph"/>
        <w:numPr>
          <w:ilvl w:val="0"/>
          <w:numId w:val="1"/>
        </w:numPr>
      </w:pPr>
      <w:r>
        <w:rPr>
          <w:b/>
        </w:rPr>
        <w:t xml:space="preserve">Authorizations</w:t>
      </w:r>
      <w:r>
        <w:t xml:space="preserve"> — valid authorization numbers, active date ranges, approved visits, used visits and remaining visits.</w:t>
      </w:r>
    </w:p>
    <w:p>
      <w:pPr>
        <w:pStyle w:val="ListParagraph"/>
        <w:numPr>
          <w:ilvl w:val="0"/>
          <w:numId w:val="1"/>
        </w:numPr>
      </w:pPr>
      <w:r>
        <w:rPr>
          <w:b/>
        </w:rPr>
        <w:t xml:space="preserve">ICD-10 codes</w:t>
      </w:r>
      <w:r>
        <w:t xml:space="preserve"> — primary and secondary diagnosis codes (up to 12).</w:t>
      </w:r>
    </w:p>
    <w:p>
      <w:pPr>
        <w:pStyle w:val="ListParagraph"/>
        <w:numPr>
          <w:ilvl w:val="0"/>
          <w:numId w:val="1"/>
        </w:numPr>
      </w:pPr>
      <w:r>
        <w:rPr>
          <w:b/>
        </w:rPr>
        <w:t xml:space="preserve">Referring physician</w:t>
      </w:r>
      <w:r>
        <w:t xml:space="preserve"> — linked directory profile containing name, NPI, taxonomy, practice name, address, phone / fax and referral orders. Name, type and NPI are required for billing.</w:t>
      </w:r>
    </w:p>
    <w:p>
      <w:pPr>
        <w:pStyle w:val="Heading2"/>
      </w:pPr>
      <w:r>
        <w:rPr>
          <w:color w:val="B68235"/>
        </w:rPr>
        <w:t xml:space="preserve">3.3</w:t>
      </w:r>
      <w:r>
        <w:t xml:space="preserve">Provider taxonomy &amp; roles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154"/>
        <w:gridCol w:w="4308"/>
        <w:gridCol w:w="3329"/>
      </w:tblGrid>
      <w:tr>
        <w:trPr>
          <w:tblHeader/>
          <w:cantSplit/>
        </w:trPr>
        <w:tc>
          <w:tcPr>
            <w:tcW w:w="2154" w:type="dxa"/>
            <w:tcBorders>
              <w:bottom w:val="single" w:sz="6" w:color="201F1D"/>
            </w:tcBorders>
          </w:tcPr>
          <w:p>
            <w:pPr>
              <w:pStyle w:val="TableText"/>
            </w:pPr>
            <w:r>
              <w:rPr>
                <w:caps/>
                <w:color w:val="605D5D"/>
                <w:sz w:val="15"/>
                <w:szCs w:val="15"/>
              </w:rPr>
              <w:t xml:space="preserve">Role</w:t>
            </w:r>
          </w:p>
        </w:tc>
        <w:tc>
          <w:tcPr>
            <w:tcW w:w="4308" w:type="dxa"/>
            <w:tcBorders>
              <w:bottom w:val="single" w:sz="6" w:color="201F1D"/>
            </w:tcBorders>
          </w:tcPr>
          <w:p>
            <w:pPr>
              <w:pStyle w:val="TableText"/>
            </w:pPr>
            <w:r>
              <w:rPr>
                <w:caps/>
                <w:color w:val="605D5D"/>
                <w:sz w:val="15"/>
                <w:szCs w:val="15"/>
              </w:rPr>
              <w:t xml:space="preserve">Definition</w:t>
            </w:r>
          </w:p>
        </w:tc>
        <w:tc>
          <w:tcPr>
            <w:tcW w:w="3329" w:type="dxa"/>
            <w:tcBorders>
              <w:bottom w:val="single" w:sz="6" w:color="201F1D"/>
            </w:tcBorders>
          </w:tcPr>
          <w:p>
            <w:pPr>
              <w:pStyle w:val="TableText"/>
            </w:pPr>
            <w:r>
              <w:rPr>
                <w:caps/>
                <w:color w:val="605D5D"/>
                <w:sz w:val="15"/>
                <w:szCs w:val="15"/>
              </w:rPr>
              <w:t xml:space="preserve">Identifiers carried</w:t>
            </w:r>
          </w:p>
        </w:tc>
      </w:tr>
      <w:tr>
        <w:trPr>
          <w:cantSplit/>
        </w:trPr>
        <w:tc>
          <w:tcPr>
            <w:tcW w:w="2154" w:type="dxa"/>
          </w:tcPr>
          <w:p>
            <w:pPr>
              <w:pStyle w:val="TableText"/>
            </w:pPr>
            <w:r>
              <w:rPr>
                <w:sz w:val="19"/>
                <w:szCs w:val="19"/>
              </w:rPr>
              <w:t xml:space="preserve">Billing provider</w:t>
            </w:r>
          </w:p>
        </w:tc>
        <w:tc>
          <w:tcPr>
            <w:tcW w:w="4308" w:type="dxa"/>
          </w:tcPr>
          <w:p>
            <w:pPr>
              <w:pStyle w:val="TableText"/>
            </w:pPr>
            <w:r>
              <w:rPr>
                <w:sz w:val="19"/>
                <w:szCs w:val="19"/>
              </w:rPr>
              <w:t xml:space="preserve">The legal entity responsible for billing and submitting the claim.</w:t>
            </w:r>
          </w:p>
        </w:tc>
        <w:tc>
          <w:tcPr>
            <w:tcW w:w="3329" w:type="dxa"/>
          </w:tcPr>
          <w:p>
            <w:pPr>
              <w:pStyle w:val="TableText"/>
            </w:pPr>
            <w:r>
              <w:rPr>
                <w:sz w:val="19"/>
                <w:szCs w:val="19"/>
              </w:rPr>
              <w:t xml:space="preserve">Tax ID / EIN, Group NPI, billing address</w:t>
            </w:r>
          </w:p>
        </w:tc>
      </w:tr>
      <w:tr>
        <w:trPr>
          <w:cantSplit/>
        </w:trPr>
        <w:tc>
          <w:tcPr>
            <w:tcW w:w="2154" w:type="dxa"/>
          </w:tcPr>
          <w:p>
            <w:pPr>
              <w:pStyle w:val="TableText"/>
            </w:pPr>
            <w:r>
              <w:rPr>
                <w:sz w:val="19"/>
                <w:szCs w:val="19"/>
              </w:rPr>
              <w:t xml:space="preserve">Rendering provider</w:t>
            </w:r>
          </w:p>
        </w:tc>
        <w:tc>
          <w:tcPr>
            <w:tcW w:w="4308" w:type="dxa"/>
          </w:tcPr>
          <w:p>
            <w:pPr>
              <w:pStyle w:val="TableText"/>
            </w:pPr>
            <w:r>
              <w:rPr>
                <w:sz w:val="19"/>
                <w:szCs w:val="19"/>
              </w:rPr>
              <w:t xml:space="preserve">The clinician who performed the service.</w:t>
            </w:r>
          </w:p>
        </w:tc>
        <w:tc>
          <w:tcPr>
            <w:tcW w:w="3329" w:type="dxa"/>
          </w:tcPr>
          <w:p>
            <w:pPr>
              <w:pStyle w:val="TableText"/>
            </w:pPr>
            <w:r>
              <w:rPr>
                <w:sz w:val="19"/>
                <w:szCs w:val="19"/>
              </w:rPr>
              <w:t xml:space="preserve">Individual NPI, state license, taxonomy</w:t>
            </w:r>
          </w:p>
        </w:tc>
      </w:tr>
      <w:tr>
        <w:trPr>
          <w:cantSplit/>
        </w:trPr>
        <w:tc>
          <w:tcPr>
            <w:tcW w:w="2154" w:type="dxa"/>
          </w:tcPr>
          <w:p>
            <w:pPr>
              <w:pStyle w:val="TableText"/>
            </w:pPr>
            <w:r>
              <w:rPr>
                <w:sz w:val="19"/>
                <w:szCs w:val="19"/>
              </w:rPr>
              <w:t xml:space="preserve">Referring provider</w:t>
            </w:r>
          </w:p>
        </w:tc>
        <w:tc>
          <w:tcPr>
            <w:tcW w:w="4308" w:type="dxa"/>
          </w:tcPr>
          <w:p>
            <w:pPr>
              <w:pStyle w:val="TableText"/>
            </w:pPr>
            <w:r>
              <w:rPr>
                <w:sz w:val="19"/>
                <w:szCs w:val="19"/>
              </w:rPr>
              <w:t xml:space="preserve">The physician who referred or ordered treatment.</w:t>
            </w:r>
          </w:p>
        </w:tc>
        <w:tc>
          <w:tcPr>
            <w:tcW w:w="3329" w:type="dxa"/>
          </w:tcPr>
          <w:p>
            <w:pPr>
              <w:pStyle w:val="TableText"/>
            </w:pPr>
            <w:r>
              <w:rPr>
                <w:sz w:val="19"/>
                <w:szCs w:val="19"/>
              </w:rPr>
              <w:t xml:space="preserve">NPI, Box 17 qualifier</w:t>
            </w:r>
          </w:p>
        </w:tc>
      </w:tr>
      <w:tr>
        <w:trPr>
          <w:cantSplit/>
        </w:trPr>
        <w:tc>
          <w:tcPr>
            <w:tcW w:w="2154" w:type="dxa"/>
          </w:tcPr>
          <w:p>
            <w:pPr>
              <w:pStyle w:val="TableText"/>
            </w:pPr>
            <w:r>
              <w:rPr>
                <w:sz w:val="19"/>
                <w:szCs w:val="19"/>
              </w:rPr>
              <w:t xml:space="preserve">Supervising provider</w:t>
            </w:r>
          </w:p>
        </w:tc>
        <w:tc>
          <w:tcPr>
            <w:tcW w:w="4308" w:type="dxa"/>
          </w:tcPr>
          <w:p>
            <w:pPr>
              <w:pStyle w:val="TableText"/>
            </w:pPr>
            <w:r>
              <w:rPr>
                <w:sz w:val="19"/>
                <w:szCs w:val="19"/>
              </w:rPr>
              <w:t xml:space="preserve">Required by payer rules, state regulations or mid-level billing (uncommon).</w:t>
            </w:r>
          </w:p>
        </w:tc>
        <w:tc>
          <w:tcPr>
            <w:tcW w:w="3329" w:type="dxa"/>
          </w:tcPr>
          <w:p>
            <w:pPr>
              <w:pStyle w:val="TableText"/>
            </w:pPr>
            <w:r>
              <w:rPr>
                <w:sz w:val="19"/>
                <w:szCs w:val="19"/>
              </w:rPr>
              <w:t xml:space="preserve">NPI, Box 17 qualifier</w:t>
            </w:r>
          </w:p>
        </w:tc>
      </w:tr>
    </w:tbl>
    <w:p>
      <w:pPr>
        <w:pStyle w:val="Spacer"/>
      </w:pPr>
    </w:p>
    <w:p>
      <w:pPr>
        <w:pStyle w:val="Heading2"/>
      </w:pPr>
      <w:r>
        <w:rPr>
          <w:color w:val="B68235"/>
        </w:rPr>
        <w:t xml:space="preserve">3.4</w:t>
      </w:r>
      <w:r>
        <w:t xml:space="preserve">CPT / HCPCS fee schedule engine</w:t>
      </w:r>
    </w:p>
    <w:p>
      <w:pPr>
        <w:pStyle w:val="ListParagraph"/>
        <w:numPr>
          <w:ilvl w:val="0"/>
          <w:numId w:val="1"/>
        </w:numPr>
      </w:pPr>
      <w:r>
        <w:rPr>
          <w:b/>
        </w:rPr>
        <w:t xml:space="preserve">Pricing models.</w:t>
      </w:r>
      <w:r>
        <w:t xml:space="preserve"> Pricing configured per unit or per code.</w:t>
      </w:r>
    </w:p>
    <w:p>
      <w:pPr>
        <w:pStyle w:val="ListParagraph"/>
        <w:numPr>
          <w:ilvl w:val="0"/>
          <w:numId w:val="1"/>
        </w:numPr>
      </w:pPr>
      <w:r>
        <w:rPr>
          <w:b/>
        </w:rPr>
        <w:t xml:space="preserve">Fee hierarchy.</w:t>
      </w:r>
      <w:r>
        <w:t xml:space="preserve"> The System Default Fee Schedule is overridden by a Payer-Specific Fee Schedule when one is assigned to an active insurance case.</w:t>
      </w:r>
    </w:p>
    <w:p>
      <w:pPr>
        <w:pStyle w:val="Kicker"/>
      </w:pPr>
      <w:r>
        <w:t xml:space="preserve">Chapter 4</w:t>
      </w:r>
    </w:p>
    <w:p>
      <w:pPr>
        <w:pStyle w:val="Heading1"/>
      </w:pPr>
      <w:r>
        <w:t xml:space="preserve">Ingestion &amp; pre-scrubbing workflow</w:t>
      </w:r>
    </w:p>
    <w:p>
      <w:pPr>
        <w:pStyle w:val="Heading2"/>
      </w:pPr>
      <w:r>
        <w:rPr>
          <w:color w:val="B68235"/>
        </w:rPr>
        <w:t xml:space="preserve">4.1</w:t>
      </w:r>
      <w:r>
        <w:t xml:space="preserve">Trigger event</w:t>
      </w:r>
    </w:p>
    <w:p>
      <w:pPr>
        <w:pStyle w:val="Normal"/>
      </w:pPr>
      <w:r>
        <w:t xml:space="preserve">The billing cycle starts automatically when a new session, claim or charge payload is pushed from the EMR or created manually.</w:t>
      </w:r>
    </w:p>
    <w:p>
      <w:pPr>
        <w:pStyle w:val="Heading2"/>
      </w:pPr>
      <w:r>
        <w:rPr>
          <w:color w:val="B68235"/>
        </w:rPr>
        <w:t xml:space="preserve">4.2</w:t>
      </w:r>
      <w:r>
        <w:t xml:space="preserve">Automated record reconciliation</w:t>
      </w:r>
    </w:p>
    <w:p>
      <w:pPr>
        <w:pStyle w:val="Normal"/>
      </w:pPr>
      <w:r>
        <w:t xml:space="preserve">On receipt, the system looks up the Internal Record ID, which maintains a 1:1 relationship with a specific medical note: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3525"/>
        <w:gridCol w:w="6267"/>
      </w:tblGrid>
      <w:tr>
        <w:trPr>
          <w:tblHeader/>
          <w:cantSplit/>
        </w:trPr>
        <w:tc>
          <w:tcPr>
            <w:tcW w:w="3525" w:type="dxa"/>
            <w:tcBorders>
              <w:bottom w:val="single" w:sz="6" w:color="201F1D"/>
            </w:tcBorders>
          </w:tcPr>
          <w:p>
            <w:pPr>
              <w:pStyle w:val="TableText"/>
            </w:pPr>
            <w:r>
              <w:rPr>
                <w:caps/>
                <w:color w:val="605D5D"/>
                <w:sz w:val="15"/>
                <w:szCs w:val="15"/>
              </w:rPr>
              <w:t xml:space="preserve">Lookup result</w:t>
            </w:r>
          </w:p>
        </w:tc>
        <w:tc>
          <w:tcPr>
            <w:tcW w:w="6267" w:type="dxa"/>
            <w:tcBorders>
              <w:bottom w:val="single" w:sz="6" w:color="201F1D"/>
            </w:tcBorders>
          </w:tcPr>
          <w:p>
            <w:pPr>
              <w:pStyle w:val="TableText"/>
            </w:pPr>
            <w:r>
              <w:rPr>
                <w:caps/>
                <w:color w:val="605D5D"/>
                <w:sz w:val="15"/>
                <w:szCs w:val="15"/>
              </w:rPr>
              <w:t xml:space="preserve">System action</w:t>
            </w:r>
          </w:p>
        </w:tc>
      </w:tr>
      <w:tr>
        <w:trPr>
          <w:cantSplit/>
        </w:trPr>
        <w:tc>
          <w:tcPr>
            <w:tcW w:w="3525" w:type="dxa"/>
          </w:tcPr>
          <w:p>
            <w:pPr>
              <w:pStyle w:val="TableText"/>
            </w:pPr>
            <w:r>
              <w:rPr>
                <w:sz w:val="19"/>
                <w:szCs w:val="19"/>
              </w:rPr>
              <w:t xml:space="preserve">New Record ID</w:t>
            </w:r>
          </w:p>
        </w:tc>
        <w:tc>
          <w:tcPr>
            <w:tcW w:w="6267" w:type="dxa"/>
          </w:tcPr>
          <w:p>
            <w:pPr>
              <w:pStyle w:val="TableText"/>
            </w:pPr>
            <w:r>
              <w:rPr>
                <w:sz w:val="19"/>
                <w:szCs w:val="19"/>
              </w:rPr>
              <w:t xml:space="preserve">Routes directly to the ingestion pipeline.</w:t>
            </w:r>
          </w:p>
        </w:tc>
      </w:tr>
      <w:tr>
        <w:trPr>
          <w:cantSplit/>
        </w:trPr>
        <w:tc>
          <w:tcPr>
            <w:tcW w:w="3525" w:type="dxa"/>
          </w:tcPr>
          <w:p>
            <w:pPr>
              <w:pStyle w:val="TableText"/>
            </w:pPr>
            <w:r>
              <w:rPr>
                <w:sz w:val="19"/>
                <w:szCs w:val="19"/>
              </w:rPr>
              <w:t xml:space="preserve">Existing ID in Charges / Claims / Billing or Held</w:t>
            </w:r>
          </w:p>
        </w:tc>
        <w:tc>
          <w:tcPr>
            <w:tcW w:w="6267" w:type="dxa"/>
          </w:tcPr>
          <w:p>
            <w:pPr>
              <w:pStyle w:val="TableText"/>
            </w:pPr>
            <w:r>
              <w:rPr>
                <w:sz w:val="19"/>
                <w:szCs w:val="19"/>
              </w:rPr>
              <w:t xml:space="preserve">Replaces the existing record in the pipeline. The superseded record becomes inactive and is viewable in the Inactive Records section.</w:t>
            </w:r>
          </w:p>
        </w:tc>
      </w:tr>
      <w:tr>
        <w:trPr>
          <w:cantSplit/>
        </w:trPr>
        <w:tc>
          <w:tcPr>
            <w:tcW w:w="3525" w:type="dxa"/>
          </w:tcPr>
          <w:p>
            <w:pPr>
              <w:pStyle w:val="TableText"/>
            </w:pPr>
            <w:r>
              <w:rPr>
                <w:sz w:val="19"/>
                <w:szCs w:val="19"/>
              </w:rPr>
              <w:t xml:space="preserve">Existing ID in Submitted or under scrubbing</w:t>
            </w:r>
          </w:p>
        </w:tc>
        <w:tc>
          <w:tcPr>
            <w:tcW w:w="6267" w:type="dxa"/>
          </w:tcPr>
          <w:p>
            <w:pPr>
              <w:pStyle w:val="TableText"/>
            </w:pPr>
            <w:r>
              <w:rPr>
                <w:sz w:val="19"/>
                <w:szCs w:val="19"/>
              </w:rPr>
              <w:t xml:space="preserve">Stores the newly arrived payload in a dedicated “Updated Charges / Sessions / Claims” section (see §5.2).</w:t>
            </w:r>
          </w:p>
        </w:tc>
      </w:tr>
    </w:tbl>
    <w:p>
      <w:pPr>
        <w:pStyle w:val="Spacer"/>
      </w:pPr>
    </w:p>
    <w:p>
      <w:pPr>
        <w:pStyle w:val="Heading2"/>
      </w:pPr>
      <w:r>
        <w:rPr>
          <w:color w:val="B68235"/>
        </w:rPr>
        <w:t xml:space="preserve">4.3</w:t>
      </w:r>
      <w:r>
        <w:t xml:space="preserve">Incomplete profiles bucket</w:t>
      </w:r>
    </w:p>
    <w:p>
      <w:pPr>
        <w:pStyle w:val="Normal"/>
      </w:pPr>
      <w:r>
        <w:t xml:space="preserve">If an incoming EMR session references a medical provider or insurance that does not exist, the system creates a draft entity profile. The associated session or claim is quarantined in the “Incomplete Entries / Profiles Bucket” until the missing details are resolved.</w:t>
      </w:r>
    </w:p>
    <w:p>
      <w:pPr>
        <w:pStyle w:val="Heading2"/>
      </w:pPr>
      <w:r>
        <w:rPr>
          <w:color w:val="B68235"/>
        </w:rPr>
        <w:t xml:space="preserve">4.4</w:t>
      </w:r>
      <w:r>
        <w:t xml:space="preserve">Billing exceptions</w:t>
      </w:r>
    </w:p>
    <w:p>
      <w:pPr>
        <w:pStyle w:val="Normal"/>
      </w:pPr>
      <w:r>
        <w:t xml:space="preserve">The Billing Exceptions module intercepts incoming EMR payloads with missing mandatory fields, character or digit-length violations, invalid lookup formats, or fee-schedule pricing omissions before claim processing. Exceptions are segregated across five entity levels. Reference standard: </w:t>
      </w:r>
      <w:hyperlink r:id="rId10">
        <w:r>
          <w:rPr>
            <w:color w:val="7D5411"/>
            <w:u w:val="single" w:color="B68235"/>
          </w:rPr>
          <w:t xml:space="preserve">WebPT Billing Exceptions Guide</w:t>
        </w:r>
      </w:hyperlink>
      <w:r>
        <w:t xml:space="preserv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469"/>
        <w:gridCol w:w="3525"/>
        <w:gridCol w:w="4798"/>
      </w:tblGrid>
      <w:tr>
        <w:trPr>
          <w:tblHeader/>
          <w:cantSplit/>
        </w:trPr>
        <w:tc>
          <w:tcPr>
            <w:tcW w:w="1469" w:type="dxa"/>
            <w:tcBorders>
              <w:bottom w:val="single" w:sz="6" w:color="201F1D"/>
            </w:tcBorders>
          </w:tcPr>
          <w:p>
            <w:pPr>
              <w:pStyle w:val="TableText"/>
            </w:pPr>
            <w:r>
              <w:rPr>
                <w:caps/>
                <w:color w:val="605D5D"/>
                <w:sz w:val="15"/>
                <w:szCs w:val="15"/>
              </w:rPr>
              <w:t xml:space="preserve">Entity level</w:t>
            </w:r>
          </w:p>
        </w:tc>
        <w:tc>
          <w:tcPr>
            <w:tcW w:w="3525" w:type="dxa"/>
            <w:tcBorders>
              <w:bottom w:val="single" w:sz="6" w:color="201F1D"/>
            </w:tcBorders>
          </w:tcPr>
          <w:p>
            <w:pPr>
              <w:pStyle w:val="TableText"/>
            </w:pPr>
            <w:r>
              <w:rPr>
                <w:caps/>
                <w:color w:val="605D5D"/>
                <w:sz w:val="15"/>
                <w:szCs w:val="15"/>
              </w:rPr>
              <w:t xml:space="preserve">Exception trigger type</w:t>
            </w:r>
          </w:p>
        </w:tc>
        <w:tc>
          <w:tcPr>
            <w:tcW w:w="4798" w:type="dxa"/>
            <w:tcBorders>
              <w:bottom w:val="single" w:sz="6" w:color="201F1D"/>
            </w:tcBorders>
          </w:tcPr>
          <w:p>
            <w:pPr>
              <w:pStyle w:val="TableText"/>
            </w:pPr>
            <w:r>
              <w:rPr>
                <w:caps/>
                <w:color w:val="605D5D"/>
                <w:sz w:val="15"/>
                <w:szCs w:val="15"/>
              </w:rPr>
              <w:t xml:space="preserve">Validation &amp; system resolution rule</w:t>
            </w:r>
          </w:p>
        </w:tc>
      </w:tr>
      <w:tr>
        <w:trPr>
          <w:cantSplit/>
        </w:trPr>
        <w:tc>
          <w:tcPr>
            <w:tcW w:w="1469" w:type="dxa"/>
          </w:tcPr>
          <w:p>
            <w:pPr>
              <w:pStyle w:val="TableText"/>
            </w:pPr>
            <w:r>
              <w:rPr>
                <w:sz w:val="19"/>
                <w:szCs w:val="19"/>
              </w:rPr>
              <w:t xml:space="preserve">Patient</w:t>
            </w:r>
          </w:p>
        </w:tc>
        <w:tc>
          <w:tcPr>
            <w:tcW w:w="3525" w:type="dxa"/>
          </w:tcPr>
          <w:p>
            <w:pPr>
              <w:pStyle w:val="TableText"/>
            </w:pPr>
            <w:r>
              <w:rPr>
                <w:sz w:val="19"/>
                <w:szCs w:val="19"/>
              </w:rPr>
              <w:t xml:space="preserve">1. Invalid patient phone number (dummy data)</w:t>
            </w:r>
            <w:r>
              <w:br/>
            </w:r>
            <w:r>
              <w:rPr>
                <w:sz w:val="19"/>
                <w:szCs w:val="19"/>
              </w:rPr>
              <w:t xml:space="preserve">2. ZIP code mismatch with state</w:t>
            </w:r>
            <w:r>
              <w:br/>
            </w:r>
            <w:r>
              <w:rPr>
                <w:sz w:val="19"/>
                <w:szCs w:val="19"/>
              </w:rPr>
              <w:t xml:space="preserve">3. Character limit exceeded</w:t>
            </w:r>
          </w:p>
        </w:tc>
        <w:tc>
          <w:tcPr>
            <w:tcW w:w="4798" w:type="dxa"/>
          </w:tcPr>
          <w:p>
            <w:pPr>
              <w:pStyle w:val="TableText"/>
            </w:pPr>
            <w:r>
              <w:rPr>
                <w:sz w:val="19"/>
                <w:szCs w:val="19"/>
              </w:rPr>
              <w:t xml:space="preserve">Flags non-standard phone numbers (e.g. 000-000-0000). Cross-references 5-digit ZIP codes against state postal codes. Truncates or flags patient name and address fields exceeding character caps.</w:t>
            </w:r>
          </w:p>
        </w:tc>
      </w:tr>
      <w:tr>
        <w:trPr>
          <w:cantSplit/>
        </w:trPr>
        <w:tc>
          <w:tcPr>
            <w:tcW w:w="1469" w:type="dxa"/>
          </w:tcPr>
          <w:p>
            <w:pPr>
              <w:pStyle w:val="TableText"/>
            </w:pPr>
            <w:r>
              <w:rPr>
                <w:sz w:val="19"/>
                <w:szCs w:val="19"/>
              </w:rPr>
              <w:t xml:space="preserve">Case</w:t>
            </w:r>
          </w:p>
        </w:tc>
        <w:tc>
          <w:tcPr>
            <w:tcW w:w="3525" w:type="dxa"/>
          </w:tcPr>
          <w:p>
            <w:pPr>
              <w:pStyle w:val="TableText"/>
            </w:pPr>
            <w:r>
              <w:rPr>
                <w:sz w:val="19"/>
                <w:szCs w:val="19"/>
              </w:rPr>
              <w:t xml:space="preserve">1. Missing mandatory EMR case fields</w:t>
            </w:r>
            <w:r>
              <w:br/>
            </w:r>
            <w:r>
              <w:rPr>
                <w:sz w:val="19"/>
                <w:szCs w:val="19"/>
              </w:rPr>
              <w:t xml:space="preserve">2. Invalid / dummy referring NPI</w:t>
            </w:r>
          </w:p>
        </w:tc>
        <w:tc>
          <w:tcPr>
            <w:tcW w:w="4798" w:type="dxa"/>
          </w:tcPr>
          <w:p>
            <w:pPr>
              <w:pStyle w:val="TableText"/>
            </w:pPr>
            <w:r>
              <w:rPr>
                <w:sz w:val="19"/>
                <w:szCs w:val="19"/>
              </w:rPr>
              <w:t xml:space="preserve">Holds the claim if injury date, employment status or primary insurance subscriber details are missing. Flags placeholder NPIs (e.g. 9999999999, 1234567890).</w:t>
            </w:r>
          </w:p>
        </w:tc>
      </w:tr>
      <w:tr>
        <w:trPr>
          <w:cantSplit/>
        </w:trPr>
        <w:tc>
          <w:tcPr>
            <w:tcW w:w="1469" w:type="dxa"/>
          </w:tcPr>
          <w:p>
            <w:pPr>
              <w:pStyle w:val="TableText"/>
            </w:pPr>
            <w:r>
              <w:rPr>
                <w:sz w:val="19"/>
                <w:szCs w:val="19"/>
              </w:rPr>
              <w:t xml:space="preserve">Session</w:t>
            </w:r>
          </w:p>
        </w:tc>
        <w:tc>
          <w:tcPr>
            <w:tcW w:w="3525" w:type="dxa"/>
          </w:tcPr>
          <w:p>
            <w:pPr>
              <w:pStyle w:val="TableText"/>
            </w:pPr>
            <w:r>
              <w:rPr>
                <w:sz w:val="19"/>
                <w:szCs w:val="19"/>
              </w:rPr>
              <w:t xml:space="preserve">1. Field character-length violations</w:t>
            </w:r>
            <w:r>
              <w:br/>
            </w:r>
            <w:r>
              <w:rPr>
                <w:sz w:val="19"/>
                <w:szCs w:val="19"/>
              </w:rPr>
              <w:t xml:space="preserve">2. Missing mandatory rendering NPI</w:t>
            </w:r>
          </w:p>
        </w:tc>
        <w:tc>
          <w:tcPr>
            <w:tcW w:w="4798" w:type="dxa"/>
          </w:tcPr>
          <w:p>
            <w:pPr>
              <w:pStyle w:val="TableText"/>
            </w:pPr>
            <w:r>
              <w:rPr>
                <w:sz w:val="19"/>
                <w:szCs w:val="19"/>
              </w:rPr>
              <w:t xml:space="preserve">Evaluates session-level fields for character overflow. Flags missing or dummy rendering provider NPIs before claim assembly.</w:t>
            </w:r>
          </w:p>
        </w:tc>
      </w:tr>
      <w:tr>
        <w:trPr>
          <w:cantSplit/>
        </w:trPr>
        <w:tc>
          <w:tcPr>
            <w:tcW w:w="1469" w:type="dxa"/>
          </w:tcPr>
          <w:p>
            <w:pPr>
              <w:pStyle w:val="TableText"/>
            </w:pPr>
            <w:r>
              <w:rPr>
                <w:sz w:val="19"/>
                <w:szCs w:val="19"/>
              </w:rPr>
              <w:t xml:space="preserve">Charge</w:t>
            </w:r>
          </w:p>
        </w:tc>
        <w:tc>
          <w:tcPr>
            <w:tcW w:w="3525" w:type="dxa"/>
          </w:tcPr>
          <w:p>
            <w:pPr>
              <w:pStyle w:val="TableText"/>
            </w:pPr>
            <w:r>
              <w:rPr>
                <w:sz w:val="19"/>
                <w:szCs w:val="19"/>
              </w:rPr>
              <w:t xml:space="preserve">1. New CPT codes charged at $0.00</w:t>
            </w:r>
            <w:r>
              <w:br/>
            </w:r>
            <w:r>
              <w:rPr>
                <w:sz w:val="19"/>
                <w:szCs w:val="19"/>
              </w:rPr>
              <w:t xml:space="preserve">2. Missing fee schedule mapping</w:t>
            </w:r>
          </w:p>
        </w:tc>
        <w:tc>
          <w:tcPr>
            <w:tcW w:w="4798" w:type="dxa"/>
          </w:tcPr>
          <w:p>
            <w:pPr>
              <w:pStyle w:val="TableText"/>
            </w:pPr>
            <w:r>
              <w:rPr>
                <w:sz w:val="19"/>
                <w:szCs w:val="19"/>
              </w:rPr>
              <w:t xml:space="preserve">Identifies newly ingested CPT / HCPCS codes missing from both Payer-Specific and Default Fee Schedules. Quarantines charges with a $0.00 base rate.</w:t>
            </w:r>
          </w:p>
        </w:tc>
      </w:tr>
      <w:tr>
        <w:trPr>
          <w:cantSplit/>
        </w:trPr>
        <w:tc>
          <w:tcPr>
            <w:tcW w:w="1469" w:type="dxa"/>
          </w:tcPr>
          <w:p>
            <w:pPr>
              <w:pStyle w:val="TableText"/>
            </w:pPr>
            <w:r>
              <w:rPr>
                <w:sz w:val="19"/>
                <w:szCs w:val="19"/>
              </w:rPr>
              <w:t xml:space="preserve">Payment</w:t>
            </w:r>
          </w:p>
        </w:tc>
        <w:tc>
          <w:tcPr>
            <w:tcW w:w="3525" w:type="dxa"/>
          </w:tcPr>
          <w:p>
            <w:pPr>
              <w:pStyle w:val="TableText"/>
            </w:pPr>
            <w:r>
              <w:rPr>
                <w:sz w:val="19"/>
                <w:szCs w:val="19"/>
              </w:rPr>
              <w:t xml:space="preserve">1. Unmapped payer remittance data</w:t>
            </w:r>
            <w:r>
              <w:br/>
            </w:r>
            <w:r>
              <w:rPr>
                <w:sz w:val="19"/>
                <w:szCs w:val="19"/>
              </w:rPr>
              <w:t xml:space="preserve">2. EOB / ERA data discrepancies</w:t>
            </w:r>
          </w:p>
        </w:tc>
        <w:tc>
          <w:tcPr>
            <w:tcW w:w="4798" w:type="dxa"/>
          </w:tcPr>
          <w:p>
            <w:pPr>
              <w:pStyle w:val="TableText"/>
            </w:pPr>
            <w:r>
              <w:rPr>
                <w:sz w:val="19"/>
                <w:szCs w:val="19"/>
              </w:rPr>
              <w:t xml:space="preserve">Flags automated payment-posting payloads with invalid or missing claim control numbers, or unmapped payment adjustment reason codes.</w:t>
            </w:r>
          </w:p>
        </w:tc>
      </w:tr>
    </w:tbl>
    <w:p>
      <w:pPr>
        <w:pStyle w:val="Spacer"/>
      </w:pPr>
    </w:p>
    <w:p>
      <w:pPr>
        <w:pStyle w:val="Kicker"/>
      </w:pPr>
      <w:r>
        <w:t xml:space="preserve">Chapter 5</w:t>
      </w:r>
    </w:p>
    <w:p>
      <w:pPr>
        <w:pStyle w:val="Heading1"/>
      </w:pPr>
      <w:r>
        <w:t xml:space="preserve">Queue management &amp; batch operations</w:t>
      </w:r>
    </w:p>
    <w:p>
      <w:pPr>
        <w:pStyle w:val="Heading2"/>
      </w:pPr>
      <w:r>
        <w:rPr>
          <w:color w:val="B68235"/>
        </w:rPr>
        <w:t xml:space="preserve">5.1</w:t>
      </w:r>
      <w:r>
        <w:t xml:space="preserve">Ingestion queue (Charges / Claims / Billing)</w:t>
      </w:r>
    </w:p>
    <w:p>
      <w:pPr>
        <w:pStyle w:val="Normal"/>
      </w:pPr>
      <w:r>
        <w:t xml:space="preserve">Holds all newly arrived, completed charges that are ready for validation. Supports single submission, bulk submission, or automated scheduled submission at admin-configured intervals.</w:t>
      </w:r>
    </w:p>
    <w:p>
      <w:pPr>
        <w:pStyle w:val="Heading2"/>
      </w:pPr>
      <w:r>
        <w:rPr>
          <w:color w:val="B68235"/>
        </w:rPr>
        <w:t xml:space="preserve">5.2</w:t>
      </w:r>
      <w:r>
        <w:t xml:space="preserve">Updated charges queue</w:t>
      </w:r>
    </w:p>
    <w:p>
      <w:pPr>
        <w:pStyle w:val="Normal"/>
      </w:pPr>
      <w:r>
        <w:t xml:space="preserve">Holds inbound EMR sessions whose Internal Record ID matches a claim already submitted. The user must choose one of three actions: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546"/>
        <w:gridCol w:w="7246"/>
      </w:tblGrid>
      <w:tr>
        <w:trPr>
          <w:tblHeader/>
          <w:cantSplit/>
        </w:trPr>
        <w:tc>
          <w:tcPr>
            <w:tcW w:w="2546" w:type="dxa"/>
            <w:tcBorders>
              <w:bottom w:val="single" w:sz="6" w:color="201F1D"/>
            </w:tcBorders>
          </w:tcPr>
          <w:p>
            <w:pPr>
              <w:pStyle w:val="TableText"/>
            </w:pPr>
            <w:r>
              <w:rPr>
                <w:caps/>
                <w:color w:val="605D5D"/>
                <w:sz w:val="15"/>
                <w:szCs w:val="15"/>
              </w:rPr>
              <w:t xml:space="preserve">Action</w:t>
            </w:r>
          </w:p>
        </w:tc>
        <w:tc>
          <w:tcPr>
            <w:tcW w:w="7246" w:type="dxa"/>
            <w:tcBorders>
              <w:bottom w:val="single" w:sz="6" w:color="201F1D"/>
            </w:tcBorders>
          </w:tcPr>
          <w:p>
            <w:pPr>
              <w:pStyle w:val="TableText"/>
            </w:pPr>
            <w:r>
              <w:rPr>
                <w:caps/>
                <w:color w:val="605D5D"/>
                <w:sz w:val="15"/>
                <w:szCs w:val="15"/>
              </w:rPr>
              <w:t xml:space="preserve">Behavior</w:t>
            </w:r>
          </w:p>
        </w:tc>
      </w:tr>
      <w:tr>
        <w:trPr>
          <w:cantSplit/>
        </w:trPr>
        <w:tc>
          <w:tcPr>
            <w:tcW w:w="2546" w:type="dxa"/>
          </w:tcPr>
          <w:p>
            <w:pPr>
              <w:pStyle w:val="TableText"/>
            </w:pPr>
            <w:r>
              <w:rPr>
                <w:sz w:val="19"/>
                <w:szCs w:val="19"/>
              </w:rPr>
              <w:t xml:space="preserve">1. Inactivate</w:t>
            </w:r>
          </w:p>
        </w:tc>
        <w:tc>
          <w:tcPr>
            <w:tcW w:w="7246" w:type="dxa"/>
          </w:tcPr>
          <w:p>
            <w:pPr>
              <w:pStyle w:val="TableText"/>
            </w:pPr>
            <w:r>
              <w:rPr>
                <w:sz w:val="19"/>
                <w:szCs w:val="19"/>
              </w:rPr>
              <w:t xml:space="preserve">Archive the incoming update and retain the existing claim state.</w:t>
            </w:r>
          </w:p>
        </w:tc>
      </w:tr>
      <w:tr>
        <w:trPr>
          <w:cantSplit/>
        </w:trPr>
        <w:tc>
          <w:tcPr>
            <w:tcW w:w="2546" w:type="dxa"/>
          </w:tcPr>
          <w:p>
            <w:pPr>
              <w:pStyle w:val="TableText"/>
            </w:pPr>
            <w:r>
              <w:rPr>
                <w:sz w:val="19"/>
                <w:szCs w:val="19"/>
              </w:rPr>
              <w:t xml:space="preserve">2. Create corrected claim</w:t>
            </w:r>
          </w:p>
        </w:tc>
        <w:tc>
          <w:tcPr>
            <w:tcW w:w="7246" w:type="dxa"/>
          </w:tcPr>
          <w:p>
            <w:pPr>
              <w:pStyle w:val="TableText"/>
            </w:pPr>
            <w:r>
              <w:rPr>
                <w:sz w:val="19"/>
                <w:szCs w:val="19"/>
              </w:rPr>
              <w:t xml:space="preserve">Pre-populates CMS-1500 Box 22 with the Original Reference Number and Resubmission Frequency Code (7 – Replacement, 8 – Void).</w:t>
            </w:r>
          </w:p>
        </w:tc>
      </w:tr>
      <w:tr>
        <w:trPr>
          <w:cantSplit/>
        </w:trPr>
        <w:tc>
          <w:tcPr>
            <w:tcW w:w="2546" w:type="dxa"/>
          </w:tcPr>
          <w:p>
            <w:pPr>
              <w:pStyle w:val="TableText"/>
            </w:pPr>
            <w:r>
              <w:rPr>
                <w:sz w:val="19"/>
                <w:szCs w:val="19"/>
              </w:rPr>
              <w:t xml:space="preserve">3. Submit anyway</w:t>
            </w:r>
          </w:p>
        </w:tc>
        <w:tc>
          <w:tcPr>
            <w:tcW w:w="7246" w:type="dxa"/>
          </w:tcPr>
          <w:p>
            <w:pPr>
              <w:pStyle w:val="TableText"/>
            </w:pPr>
            <w:r>
              <w:rPr>
                <w:sz w:val="19"/>
                <w:szCs w:val="19"/>
              </w:rPr>
              <w:t xml:space="preserve">Overrides the update logic and force-submits as a fresh claim.</w:t>
            </w:r>
          </w:p>
        </w:tc>
      </w:tr>
    </w:tbl>
    <w:p>
      <w:pPr>
        <w:pStyle w:val="Spacer"/>
      </w:pPr>
    </w:p>
    <w:p>
      <w:pPr>
        <w:pStyle w:val="Kicker"/>
      </w:pPr>
      <w:r>
        <w:t xml:space="preserve">Chapter 6</w:t>
      </w:r>
    </w:p>
    <w:p>
      <w:pPr>
        <w:pStyle w:val="Heading1"/>
      </w:pPr>
      <w:r>
        <w:t xml:space="preserve">Coding engine &amp; automated scrubbing rules</w:t>
      </w:r>
    </w:p>
    <w:p>
      <w:pPr>
        <w:pStyle w:val="Heading2"/>
      </w:pPr>
      <w:r>
        <w:rPr>
          <w:color w:val="B68235"/>
        </w:rPr>
        <w:t xml:space="preserve">6.1</w:t>
      </w:r>
      <w:r>
        <w:t xml:space="preserve">Automated coding rules engine</w:t>
      </w:r>
    </w:p>
    <w:p>
      <w:pPr>
        <w:pStyle w:val="Normal"/>
      </w:pPr>
      <w:r>
        <w:t xml:space="preserve">Rules execute globally across fresh submissions, resubmissions and corrected claims during scrubbing. Rules mutate internal billing records and payment-posting grids directly. Payer-specific rules override default rules.</w:t>
      </w:r>
    </w:p>
    <w:p>
      <w:pPr>
        <w:pStyle w:val="ListParagraph"/>
        <w:numPr>
          <w:ilvl w:val="0"/>
          <w:numId w:val="1"/>
        </w:numPr>
      </w:pPr>
      <w:r>
        <w:rPr>
          <w:b/>
        </w:rPr>
        <w:t xml:space="preserve">Replace rule.</w:t>
      </w:r>
      <w:r>
        <w:t xml:space="preserve"> Converts specified CPT / HCPCS codes to alternative codes based on Default System Rules or Payer-Specific Rules.</w:t>
      </w:r>
    </w:p>
    <w:p>
      <w:pPr>
        <w:pStyle w:val="ListParagraph"/>
        <w:numPr>
          <w:ilvl w:val="0"/>
          <w:numId w:val="1"/>
        </w:numPr>
      </w:pPr>
      <w:r>
        <w:rPr>
          <w:b/>
        </w:rPr>
        <w:t xml:space="preserve">Drop rule.</w:t>
      </w:r>
      <w:r>
        <w:t xml:space="preserve"> Removes designated CPT / HCPCS codes from the claim payload based on Default or Payer-Specific configuration.</w:t>
      </w:r>
    </w:p>
    <w:p>
      <w:pPr>
        <w:pStyle w:val="Heading2"/>
      </w:pPr>
      <w:r>
        <w:rPr>
          <w:color w:val="B68235"/>
        </w:rPr>
        <w:t xml:space="preserve">6.2</w:t>
      </w:r>
      <w:r>
        <w:t xml:space="preserve">Scrubbing validation matrix</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958"/>
        <w:gridCol w:w="1958"/>
        <w:gridCol w:w="1958"/>
        <w:gridCol w:w="1958"/>
        <w:gridCol w:w="1958"/>
      </w:tblGrid>
      <w:tr>
        <w:trPr>
          <w:tblHeader/>
          <w:cantSplit/>
        </w:trPr>
        <w:tc>
          <w:tcPr>
            <w:tcW w:w="1958" w:type="dxa"/>
            <w:tcBorders>
              <w:bottom w:val="single" w:sz="6" w:color="201F1D"/>
            </w:tcBorders>
          </w:tcPr>
          <w:p>
            <w:pPr>
              <w:pStyle w:val="TableText"/>
            </w:pPr>
            <w:r>
              <w:rPr>
                <w:caps/>
                <w:color w:val="605D5D"/>
                <w:sz w:val="15"/>
                <w:szCs w:val="15"/>
              </w:rPr>
              <w:t xml:space="preserve">Category</w:t>
            </w:r>
          </w:p>
        </w:tc>
        <w:tc>
          <w:tcPr>
            <w:tcW w:w="1958" w:type="dxa"/>
            <w:tcBorders>
              <w:bottom w:val="single" w:sz="6" w:color="201F1D"/>
            </w:tcBorders>
          </w:tcPr>
          <w:p>
            <w:pPr>
              <w:pStyle w:val="TableText"/>
            </w:pPr>
            <w:r>
              <w:rPr>
                <w:caps/>
                <w:color w:val="605D5D"/>
                <w:sz w:val="15"/>
                <w:szCs w:val="15"/>
              </w:rPr>
              <w:t xml:space="preserve">Validation rule</w:t>
            </w:r>
          </w:p>
        </w:tc>
        <w:tc>
          <w:tcPr>
            <w:tcW w:w="1958" w:type="dxa"/>
            <w:tcBorders>
              <w:bottom w:val="single" w:sz="6" w:color="201F1D"/>
            </w:tcBorders>
          </w:tcPr>
          <w:p>
            <w:pPr>
              <w:pStyle w:val="TableText"/>
            </w:pPr>
            <w:r>
              <w:rPr>
                <w:caps/>
                <w:color w:val="605D5D"/>
                <w:sz w:val="15"/>
                <w:szCs w:val="15"/>
              </w:rPr>
              <w:t xml:space="preserve">Pass criteria</w:t>
            </w:r>
          </w:p>
        </w:tc>
        <w:tc>
          <w:tcPr>
            <w:tcW w:w="1958" w:type="dxa"/>
            <w:tcBorders>
              <w:bottom w:val="single" w:sz="6" w:color="201F1D"/>
            </w:tcBorders>
          </w:tcPr>
          <w:p>
            <w:pPr>
              <w:pStyle w:val="TableText"/>
            </w:pPr>
            <w:r>
              <w:rPr>
                <w:caps/>
                <w:color w:val="605D5D"/>
                <w:sz w:val="15"/>
                <w:szCs w:val="15"/>
              </w:rPr>
              <w:t xml:space="preserve">Failure action</w:t>
            </w:r>
          </w:p>
        </w:tc>
        <w:tc>
          <w:tcPr>
            <w:tcW w:w="1958" w:type="dxa"/>
            <w:tcBorders>
              <w:bottom w:val="single" w:sz="6" w:color="201F1D"/>
            </w:tcBorders>
          </w:tcPr>
          <w:p>
            <w:pPr>
              <w:pStyle w:val="TableText"/>
            </w:pPr>
            <w:r>
              <w:rPr>
                <w:caps/>
                <w:color w:val="605D5D"/>
                <w:sz w:val="15"/>
                <w:szCs w:val="15"/>
              </w:rPr>
              <w:t xml:space="preserve">Source</w:t>
            </w:r>
          </w:p>
        </w:tc>
      </w:tr>
      <w:tr>
        <w:trPr>
          <w:cantSplit/>
        </w:trPr>
        <w:tc>
          <w:tcPr>
            <w:tcW w:w="1958" w:type="dxa"/>
          </w:tcPr>
          <w:p>
            <w:pPr>
              <w:pStyle w:val="TableText"/>
            </w:pPr>
            <w:r>
              <w:rPr>
                <w:sz w:val="18"/>
                <w:szCs w:val="18"/>
              </w:rPr>
              <w:t xml:space="preserve">Data integrity</w:t>
            </w:r>
          </w:p>
        </w:tc>
        <w:tc>
          <w:tcPr>
            <w:tcW w:w="1958" w:type="dxa"/>
          </w:tcPr>
          <w:p>
            <w:pPr>
              <w:pStyle w:val="TableText"/>
            </w:pPr>
            <w:r>
              <w:rPr>
                <w:sz w:val="18"/>
                <w:szCs w:val="18"/>
              </w:rPr>
              <w:t xml:space="preserve">Character &amp; formatting check</w:t>
            </w:r>
          </w:p>
        </w:tc>
        <w:tc>
          <w:tcPr>
            <w:tcW w:w="1958" w:type="dxa"/>
          </w:tcPr>
          <w:p>
            <w:pPr>
              <w:pStyle w:val="TableText"/>
            </w:pPr>
            <w:r>
              <w:rPr>
                <w:sz w:val="18"/>
                <w:szCs w:val="18"/>
              </w:rPr>
              <w:t xml:space="preserve">Mandatory fields filled, digit length valid, no special characters.</w:t>
            </w:r>
          </w:p>
        </w:tc>
        <w:tc>
          <w:tcPr>
            <w:tcW w:w="1958" w:type="dxa"/>
          </w:tcPr>
          <w:p>
            <w:pPr>
              <w:pStyle w:val="TableText"/>
            </w:pPr>
            <w:r>
              <w:rPr>
                <w:sz w:val="18"/>
                <w:szCs w:val="18"/>
              </w:rPr>
              <w:t xml:space="preserve">Hold queue: Missing Data</w:t>
            </w:r>
          </w:p>
        </w:tc>
        <w:tc>
          <w:tcPr>
            <w:tcW w:w="1958" w:type="dxa"/>
          </w:tcPr>
          <w:p>
            <w:pPr>
              <w:pStyle w:val="TableText"/>
            </w:pPr>
            <w:r>
              <w:rPr>
                <w:sz w:val="18"/>
                <w:szCs w:val="18"/>
              </w:rPr>
              <w:t xml:space="preserve">System default</w:t>
            </w:r>
          </w:p>
        </w:tc>
      </w:tr>
      <w:tr>
        <w:trPr>
          <w:cantSplit/>
        </w:trPr>
        <w:tc>
          <w:tcPr>
            <w:tcW w:w="1958" w:type="dxa"/>
          </w:tcPr>
          <w:p>
            <w:pPr>
              <w:pStyle w:val="TableText"/>
            </w:pPr>
            <w:r>
              <w:rPr>
                <w:sz w:val="18"/>
                <w:szCs w:val="18"/>
              </w:rPr>
              <w:t xml:space="preserve">Authorization</w:t>
            </w:r>
          </w:p>
        </w:tc>
        <w:tc>
          <w:tcPr>
            <w:tcW w:w="1958" w:type="dxa"/>
          </w:tcPr>
          <w:p>
            <w:pPr>
              <w:pStyle w:val="TableText"/>
            </w:pPr>
            <w:r>
              <w:rPr>
                <w:sz w:val="18"/>
                <w:szCs w:val="18"/>
              </w:rPr>
              <w:t xml:space="preserve">Verification of active auth</w:t>
            </w:r>
          </w:p>
        </w:tc>
        <w:tc>
          <w:tcPr>
            <w:tcW w:w="1958" w:type="dxa"/>
          </w:tcPr>
          <w:p>
            <w:pPr>
              <w:pStyle w:val="TableText"/>
            </w:pPr>
            <w:r>
              <w:rPr>
                <w:sz w:val="18"/>
                <w:szCs w:val="18"/>
              </w:rPr>
              <w:t xml:space="preserve">Valid auth number, active date range, remaining visits &gt; 0.</w:t>
            </w:r>
          </w:p>
        </w:tc>
        <w:tc>
          <w:tcPr>
            <w:tcW w:w="1958" w:type="dxa"/>
          </w:tcPr>
          <w:p>
            <w:pPr>
              <w:pStyle w:val="TableText"/>
            </w:pPr>
            <w:r>
              <w:rPr>
                <w:sz w:val="18"/>
                <w:szCs w:val="18"/>
              </w:rPr>
              <w:t xml:space="preserve">Hold queue: Authorization Hold</w:t>
            </w:r>
          </w:p>
        </w:tc>
        <w:tc>
          <w:tcPr>
            <w:tcW w:w="1958" w:type="dxa"/>
          </w:tcPr>
          <w:p>
            <w:pPr>
              <w:pStyle w:val="TableText"/>
            </w:pPr>
            <w:r>
              <w:rPr>
                <w:sz w:val="18"/>
                <w:szCs w:val="18"/>
              </w:rPr>
              <w:t xml:space="preserve">Insurance settings</w:t>
            </w:r>
          </w:p>
        </w:tc>
      </w:tr>
      <w:tr>
        <w:trPr>
          <w:cantSplit/>
        </w:trPr>
        <w:tc>
          <w:tcPr>
            <w:tcW w:w="1958" w:type="dxa"/>
          </w:tcPr>
          <w:p>
            <w:pPr>
              <w:pStyle w:val="TableText"/>
            </w:pPr>
            <w:r>
              <w:rPr>
                <w:sz w:val="18"/>
                <w:szCs w:val="18"/>
              </w:rPr>
              <w:t xml:space="preserve">Credentialing</w:t>
            </w:r>
          </w:p>
        </w:tc>
        <w:tc>
          <w:tcPr>
            <w:tcW w:w="1958" w:type="dxa"/>
          </w:tcPr>
          <w:p>
            <w:pPr>
              <w:pStyle w:val="TableText"/>
            </w:pPr>
            <w:r>
              <w:rPr>
                <w:sz w:val="18"/>
                <w:szCs w:val="18"/>
              </w:rPr>
              <w:t xml:space="preserve">Rendering provider enrollment</w:t>
            </w:r>
          </w:p>
        </w:tc>
        <w:tc>
          <w:tcPr>
            <w:tcW w:w="1958" w:type="dxa"/>
          </w:tcPr>
          <w:p>
            <w:pPr>
              <w:pStyle w:val="TableText"/>
            </w:pPr>
            <w:r>
              <w:rPr>
                <w:sz w:val="18"/>
                <w:szCs w:val="18"/>
              </w:rPr>
              <w:t xml:space="preserve">Active credentialing status verified for payer and DOS.</w:t>
            </w:r>
          </w:p>
        </w:tc>
        <w:tc>
          <w:tcPr>
            <w:tcW w:w="1958" w:type="dxa"/>
          </w:tcPr>
          <w:p>
            <w:pPr>
              <w:pStyle w:val="TableText"/>
            </w:pPr>
            <w:r>
              <w:rPr>
                <w:sz w:val="18"/>
                <w:szCs w:val="18"/>
              </w:rPr>
              <w:t xml:space="preserve">Hold queue: Credentialing Hold</w:t>
            </w:r>
          </w:p>
        </w:tc>
        <w:tc>
          <w:tcPr>
            <w:tcW w:w="1958" w:type="dxa"/>
          </w:tcPr>
          <w:p>
            <w:pPr>
              <w:pStyle w:val="TableText"/>
            </w:pPr>
            <w:r>
              <w:rPr>
                <w:sz w:val="18"/>
                <w:szCs w:val="18"/>
              </w:rPr>
              <w:t xml:space="preserve">Provider profile</w:t>
            </w:r>
          </w:p>
        </w:tc>
      </w:tr>
      <w:tr>
        <w:trPr>
          <w:cantSplit/>
        </w:trPr>
        <w:tc>
          <w:tcPr>
            <w:tcW w:w="1958" w:type="dxa"/>
          </w:tcPr>
          <w:p>
            <w:pPr>
              <w:pStyle w:val="TableText"/>
            </w:pPr>
            <w:r>
              <w:rPr>
                <w:sz w:val="18"/>
                <w:szCs w:val="18"/>
              </w:rPr>
              <w:t xml:space="preserve">Payer rules</w:t>
            </w:r>
          </w:p>
        </w:tc>
        <w:tc>
          <w:tcPr>
            <w:tcW w:w="1958" w:type="dxa"/>
          </w:tcPr>
          <w:p>
            <w:pPr>
              <w:pStyle w:val="TableText"/>
            </w:pPr>
            <w:r>
              <w:rPr>
                <w:sz w:val="18"/>
                <w:szCs w:val="18"/>
              </w:rPr>
              <w:t xml:space="preserve">Unit caps &amp; conditional fields</w:t>
            </w:r>
          </w:p>
        </w:tc>
        <w:tc>
          <w:tcPr>
            <w:tcW w:w="1958" w:type="dxa"/>
          </w:tcPr>
          <w:p>
            <w:pPr>
              <w:pStyle w:val="TableText"/>
            </w:pPr>
            <w:r>
              <w:rPr>
                <w:sz w:val="18"/>
                <w:szCs w:val="18"/>
              </w:rPr>
              <w:t xml:space="preserve">Units ≤ payer max limit. Boxes 10b / 14 / 17 filled if required.</w:t>
            </w:r>
          </w:p>
        </w:tc>
        <w:tc>
          <w:tcPr>
            <w:tcW w:w="1958" w:type="dxa"/>
          </w:tcPr>
          <w:p>
            <w:pPr>
              <w:pStyle w:val="TableText"/>
            </w:pPr>
            <w:r>
              <w:rPr>
                <w:sz w:val="18"/>
                <w:szCs w:val="18"/>
              </w:rPr>
              <w:t xml:space="preserve">Hold queue: Payer Rule Hold</w:t>
            </w:r>
          </w:p>
        </w:tc>
        <w:tc>
          <w:tcPr>
            <w:tcW w:w="1958" w:type="dxa"/>
          </w:tcPr>
          <w:p>
            <w:pPr>
              <w:pStyle w:val="TableText"/>
            </w:pPr>
            <w:r>
              <w:rPr>
                <w:sz w:val="18"/>
                <w:szCs w:val="18"/>
              </w:rPr>
              <w:t xml:space="preserve">Payer / insurance settings</w:t>
            </w:r>
          </w:p>
        </w:tc>
      </w:tr>
      <w:tr>
        <w:trPr>
          <w:cantSplit/>
        </w:trPr>
        <w:tc>
          <w:tcPr>
            <w:tcW w:w="1958" w:type="dxa"/>
          </w:tcPr>
          <w:p>
            <w:pPr>
              <w:pStyle w:val="TableText"/>
            </w:pPr>
            <w:r>
              <w:rPr>
                <w:sz w:val="18"/>
                <w:szCs w:val="18"/>
              </w:rPr>
              <w:t xml:space="preserve">AI coding quality</w:t>
            </w:r>
          </w:p>
        </w:tc>
        <w:tc>
          <w:tcPr>
            <w:tcW w:w="1958" w:type="dxa"/>
          </w:tcPr>
          <w:p>
            <w:pPr>
              <w:pStyle w:val="TableText"/>
            </w:pPr>
            <w:r>
              <w:rPr>
                <w:sz w:val="18"/>
                <w:szCs w:val="18"/>
              </w:rPr>
              <w:t xml:space="preserve">ICD-10 &amp; medical necessity</w:t>
            </w:r>
          </w:p>
        </w:tc>
        <w:tc>
          <w:tcPr>
            <w:tcW w:w="1958" w:type="dxa"/>
          </w:tcPr>
          <w:p>
            <w:pPr>
              <w:pStyle w:val="TableText"/>
            </w:pPr>
            <w:r>
              <w:rPr>
                <w:sz w:val="18"/>
                <w:szCs w:val="18"/>
              </w:rPr>
              <w:t xml:space="preserve">Diagnosis-to-CPT logical consistency verified by AI engine.</w:t>
            </w:r>
          </w:p>
        </w:tc>
        <w:tc>
          <w:tcPr>
            <w:tcW w:w="1958" w:type="dxa"/>
          </w:tcPr>
          <w:p>
            <w:pPr>
              <w:pStyle w:val="TableText"/>
            </w:pPr>
            <w:r>
              <w:rPr>
                <w:sz w:val="18"/>
                <w:szCs w:val="18"/>
              </w:rPr>
              <w:t xml:space="preserve">Hold queue: Coding Issue Hold</w:t>
            </w:r>
          </w:p>
        </w:tc>
        <w:tc>
          <w:tcPr>
            <w:tcW w:w="1958" w:type="dxa"/>
          </w:tcPr>
          <w:p>
            <w:pPr>
              <w:pStyle w:val="TableText"/>
            </w:pPr>
            <w:r>
              <w:rPr>
                <w:sz w:val="18"/>
                <w:szCs w:val="18"/>
              </w:rPr>
              <w:t xml:space="preserve">AI add-on</w:t>
            </w:r>
          </w:p>
        </w:tc>
      </w:tr>
      <w:tr>
        <w:trPr>
          <w:cantSplit/>
        </w:trPr>
        <w:tc>
          <w:tcPr>
            <w:tcW w:w="1958" w:type="dxa"/>
          </w:tcPr>
          <w:p>
            <w:pPr>
              <w:pStyle w:val="TableText"/>
            </w:pPr>
            <w:r>
              <w:rPr>
                <w:sz w:val="18"/>
                <w:szCs w:val="18"/>
              </w:rPr>
              <w:t xml:space="preserve">Manual release required</w:t>
            </w:r>
          </w:p>
        </w:tc>
        <w:tc>
          <w:tcPr>
            <w:tcW w:w="1958" w:type="dxa"/>
          </w:tcPr>
          <w:p>
            <w:pPr>
              <w:pStyle w:val="TableText"/>
            </w:pPr>
            <w:r>
              <w:rPr>
                <w:sz w:val="18"/>
                <w:szCs w:val="18"/>
              </w:rPr>
              <w:t xml:space="preserve">User preference</w:t>
            </w:r>
          </w:p>
        </w:tc>
        <w:tc>
          <w:tcPr>
            <w:tcW w:w="1958" w:type="dxa"/>
          </w:tcPr>
          <w:p>
            <w:pPr>
              <w:pStyle w:val="TableText"/>
            </w:pPr>
            <w:r>
              <w:rPr>
                <w:sz w:val="18"/>
                <w:szCs w:val="18"/>
              </w:rPr>
              <w:t xml:space="preserve">Manual submission (user-triggered only).</w:t>
            </w:r>
          </w:p>
        </w:tc>
        <w:tc>
          <w:tcPr>
            <w:tcW w:w="1958" w:type="dxa"/>
          </w:tcPr>
          <w:p>
            <w:pPr>
              <w:pStyle w:val="TableText"/>
            </w:pPr>
            <w:r>
              <w:rPr>
                <w:sz w:val="18"/>
                <w:szCs w:val="18"/>
              </w:rPr>
              <w:t xml:space="preserve">Hold queue: Manual Submission</w:t>
            </w:r>
          </w:p>
        </w:tc>
        <w:tc>
          <w:tcPr>
            <w:tcW w:w="1958" w:type="dxa"/>
          </w:tcPr>
          <w:p>
            <w:pPr>
              <w:pStyle w:val="TableText"/>
            </w:pPr>
            <w:r>
              <w:rPr>
                <w:sz w:val="18"/>
                <w:szCs w:val="18"/>
              </w:rPr>
              <w:t xml:space="preserve">Insurance settings</w:t>
            </w:r>
          </w:p>
        </w:tc>
      </w:tr>
    </w:tbl>
    <w:p>
      <w:pPr>
        <w:pStyle w:val="Spacer"/>
      </w:pPr>
    </w:p>
    <w:p>
      <w:pPr>
        <w:pStyle w:val="Kicker"/>
      </w:pPr>
      <w:r>
        <w:t xml:space="preserve">Chapter 7</w:t>
      </w:r>
    </w:p>
    <w:p>
      <w:pPr>
        <w:pStyle w:val="Heading1"/>
      </w:pPr>
      <w:r>
        <w:t xml:space="preserve">Lifecycle states &amp; clearinghouse batch analytics</w:t>
      </w:r>
    </w:p>
    <w:p>
      <w:pPr>
        <w:pStyle w:val="Heading2"/>
      </w:pPr>
      <w:r>
        <w:rPr>
          <w:color w:val="B68235"/>
        </w:rPr>
        <w:t xml:space="preserve">7.1</w:t>
      </w:r>
      <w:r>
        <w:t xml:space="preserve">Claim lifecycle states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154"/>
        <w:gridCol w:w="7638"/>
      </w:tblGrid>
      <w:tr>
        <w:trPr>
          <w:tblHeader/>
          <w:cantSplit/>
        </w:trPr>
        <w:tc>
          <w:tcPr>
            <w:tcW w:w="2154" w:type="dxa"/>
            <w:tcBorders>
              <w:bottom w:val="single" w:sz="6" w:color="201F1D"/>
            </w:tcBorders>
          </w:tcPr>
          <w:p>
            <w:pPr>
              <w:pStyle w:val="TableText"/>
            </w:pPr>
            <w:r>
              <w:rPr>
                <w:caps/>
                <w:color w:val="605D5D"/>
                <w:sz w:val="15"/>
                <w:szCs w:val="15"/>
              </w:rPr>
              <w:t xml:space="preserve">State</w:t>
            </w:r>
          </w:p>
        </w:tc>
        <w:tc>
          <w:tcPr>
            <w:tcW w:w="7638" w:type="dxa"/>
            <w:tcBorders>
              <w:bottom w:val="single" w:sz="6" w:color="201F1D"/>
            </w:tcBorders>
          </w:tcPr>
          <w:p>
            <w:pPr>
              <w:pStyle w:val="TableText"/>
            </w:pPr>
            <w:r>
              <w:rPr>
                <w:caps/>
                <w:color w:val="605D5D"/>
                <w:sz w:val="15"/>
                <w:szCs w:val="15"/>
              </w:rPr>
              <w:t xml:space="preserve">Definition</w:t>
            </w:r>
          </w:p>
        </w:tc>
      </w:tr>
      <w:tr>
        <w:trPr>
          <w:cantSplit/>
        </w:trPr>
        <w:tc>
          <w:tcPr>
            <w:tcW w:w="2154" w:type="dxa"/>
          </w:tcPr>
          <w:p>
            <w:pPr>
              <w:pStyle w:val="TableText"/>
            </w:pPr>
            <w:r>
              <w:rPr>
                <w:sz w:val="19"/>
                <w:szCs w:val="19"/>
              </w:rPr>
              <w:t xml:space="preserve">1. Fresh / Updated</w:t>
            </w:r>
          </w:p>
        </w:tc>
        <w:tc>
          <w:tcPr>
            <w:tcW w:w="7638" w:type="dxa"/>
          </w:tcPr>
          <w:p>
            <w:pPr>
              <w:pStyle w:val="TableText"/>
            </w:pPr>
            <w:r>
              <w:rPr>
                <w:sz w:val="19"/>
                <w:szCs w:val="19"/>
              </w:rPr>
              <w:t xml:space="preserve">Newly ingested or updated claims awaiting validation.</w:t>
            </w:r>
          </w:p>
        </w:tc>
      </w:tr>
      <w:tr>
        <w:trPr>
          <w:cantSplit/>
        </w:trPr>
        <w:tc>
          <w:tcPr>
            <w:tcW w:w="2154" w:type="dxa"/>
          </w:tcPr>
          <w:p>
            <w:pPr>
              <w:pStyle w:val="TableText"/>
            </w:pPr>
            <w:r>
              <w:rPr>
                <w:sz w:val="19"/>
                <w:szCs w:val="19"/>
              </w:rPr>
              <w:t xml:space="preserve">2. Scrubbing</w:t>
            </w:r>
          </w:p>
        </w:tc>
        <w:tc>
          <w:tcPr>
            <w:tcW w:w="7638" w:type="dxa"/>
          </w:tcPr>
          <w:p>
            <w:pPr>
              <w:pStyle w:val="TableText"/>
            </w:pPr>
            <w:r>
              <w:rPr>
                <w:sz w:val="19"/>
                <w:szCs w:val="19"/>
              </w:rPr>
              <w:t xml:space="preserve">Claims currently processing through validation rules.</w:t>
            </w:r>
          </w:p>
        </w:tc>
      </w:tr>
      <w:tr>
        <w:trPr>
          <w:cantSplit/>
        </w:trPr>
        <w:tc>
          <w:tcPr>
            <w:tcW w:w="2154" w:type="dxa"/>
          </w:tcPr>
          <w:p>
            <w:pPr>
              <w:pStyle w:val="TableText"/>
            </w:pPr>
            <w:r>
              <w:rPr>
                <w:sz w:val="19"/>
                <w:szCs w:val="19"/>
              </w:rPr>
              <w:t xml:space="preserve">3. Hold</w:t>
            </w:r>
          </w:p>
        </w:tc>
        <w:tc>
          <w:tcPr>
            <w:tcW w:w="7638" w:type="dxa"/>
          </w:tcPr>
          <w:p>
            <w:pPr>
              <w:pStyle w:val="TableText"/>
            </w:pPr>
            <w:r>
              <w:rPr>
                <w:sz w:val="19"/>
                <w:szCs w:val="19"/>
              </w:rPr>
              <w:t xml:space="preserve">Claims failing scrubbing validations, categorized strictly by hold reason. Auto-resubmitted when the hold reason is resolved.</w:t>
            </w:r>
          </w:p>
        </w:tc>
      </w:tr>
      <w:tr>
        <w:trPr>
          <w:cantSplit/>
        </w:trPr>
        <w:tc>
          <w:tcPr>
            <w:tcW w:w="2154" w:type="dxa"/>
          </w:tcPr>
          <w:p>
            <w:pPr>
              <w:pStyle w:val="TableText"/>
            </w:pPr>
            <w:r>
              <w:rPr>
                <w:sz w:val="19"/>
                <w:szCs w:val="19"/>
              </w:rPr>
              <w:t xml:space="preserve">4. Submitted</w:t>
            </w:r>
          </w:p>
        </w:tc>
        <w:tc>
          <w:tcPr>
            <w:tcW w:w="7638" w:type="dxa"/>
          </w:tcPr>
          <w:p>
            <w:pPr>
              <w:pStyle w:val="TableText"/>
            </w:pPr>
            <w:r>
              <w:rPr>
                <w:sz w:val="19"/>
                <w:szCs w:val="19"/>
              </w:rPr>
              <w:t xml:space="preserve">Claims successfully validated, compiled into EDI 837 files or PDF print queues, and dispatched to Waystar.</w:t>
            </w:r>
          </w:p>
        </w:tc>
      </w:tr>
    </w:tbl>
    <w:p>
      <w:pPr>
        <w:pStyle w:val="Spacer"/>
      </w:pPr>
    </w:p>
    <w:p>
      <w:pPr>
        <w:pStyle w:val="Heading2"/>
      </w:pPr>
      <w:r>
        <w:rPr>
          <w:color w:val="B68235"/>
        </w:rPr>
        <w:t xml:space="preserve">7.2</w:t>
      </w:r>
      <w:r>
        <w:t xml:space="preserve">Daily submission batch metrics</w:t>
      </w:r>
    </w:p>
    <w:p>
      <w:pPr>
        <w:pStyle w:val="Normal"/>
      </w:pPr>
      <w:r>
        <w:t xml:space="preserve">Submissions executed within a calendar day are consolidated into a daily batch dashboard showing:</w:t>
      </w:r>
    </w:p>
    <w:p>
      <w:pPr>
        <w:pStyle w:val="ListParagraph"/>
        <w:numPr>
          <w:ilvl w:val="0"/>
          <w:numId w:val="1"/>
        </w:numPr>
      </w:pPr>
      <w:r>
        <w:rPr>
          <w:b/>
        </w:rPr>
        <w:t xml:space="preserve">Attempted submissions</w:t>
      </w:r>
      <w:r>
        <w:t xml:space="preserve"> — total claims initiated across all users and jobs.</w:t>
      </w:r>
    </w:p>
    <w:p>
      <w:pPr>
        <w:pStyle w:val="ListParagraph"/>
        <w:numPr>
          <w:ilvl w:val="0"/>
          <w:numId w:val="1"/>
        </w:numPr>
      </w:pPr>
      <w:r>
        <w:rPr>
          <w:b/>
        </w:rPr>
        <w:t xml:space="preserve">Actual batch count</w:t>
      </w:r>
      <w:r>
        <w:t xml:space="preserve"> — claims that successfully reached the clearinghouse.</w:t>
      </w:r>
    </w:p>
    <w:p>
      <w:pPr>
        <w:pStyle w:val="ListParagraph"/>
        <w:numPr>
          <w:ilvl w:val="0"/>
          <w:numId w:val="1"/>
        </w:numPr>
      </w:pPr>
      <w:r>
        <w:rPr>
          <w:b/>
        </w:rPr>
        <w:t xml:space="preserve">Held / failed count</w:t>
      </w:r>
      <w:r>
        <w:t xml:space="preserve"> — claims retained in hold queues, grouped by failure code.</w:t>
      </w:r>
    </w:p>
    <w:p>
      <w:pPr>
        <w:pStyle w:val="ListParagraph"/>
        <w:numPr>
          <w:ilvl w:val="0"/>
          <w:numId w:val="1"/>
        </w:numPr>
      </w:pPr>
      <w:r>
        <w:rPr>
          <w:b/>
        </w:rPr>
        <w:t xml:space="preserve">Clearinghouse rejections</w:t>
      </w:r>
      <w:r>
        <w:t xml:space="preserve"> — live count of rejection responses, mapped to a dedicated Rejections &amp; Reasons section.</w:t>
      </w:r>
    </w:p>
    <w:p>
      <w:pPr>
        <w:pStyle w:val="Kicker"/>
      </w:pPr>
      <w:r>
        <w:t xml:space="preserve">Chapter 8</w:t>
      </w:r>
    </w:p>
    <w:p>
      <w:pPr>
        <w:pStyle w:val="Heading1"/>
      </w:pPr>
      <w:r>
        <w:t xml:space="preserve">CMS-1500 mapping specification</w:t>
      </w:r>
    </w:p>
    <w:p>
      <w:pPr>
        <w:pStyle w:val="Normal"/>
      </w:pPr>
      <w:r>
        <w:t xml:space="preserve">The platform auto-populates the CMS-1500 claim form from the following mapping. “Y” marks a mandatory box; “N” an optional one; “NA” a box the platform leaves blank.</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1077"/>
        <w:gridCol w:w="1077"/>
        <w:gridCol w:w="2154"/>
        <w:gridCol w:w="5484"/>
      </w:tblGrid>
      <w:tr>
        <w:trPr>
          <w:tblHeader/>
          <w:cantSplit/>
        </w:trPr>
        <w:tc>
          <w:tcPr>
            <w:tcW w:w="1077" w:type="dxa"/>
            <w:tcBorders>
              <w:bottom w:val="single" w:sz="6" w:color="201F1D"/>
            </w:tcBorders>
          </w:tcPr>
          <w:p>
            <w:pPr>
              <w:pStyle w:val="TableText"/>
            </w:pPr>
            <w:r>
              <w:rPr>
                <w:caps/>
                <w:color w:val="605D5D"/>
                <w:sz w:val="15"/>
                <w:szCs w:val="15"/>
              </w:rPr>
              <w:t xml:space="preserve">Box</w:t>
            </w:r>
          </w:p>
        </w:tc>
        <w:tc>
          <w:tcPr>
            <w:tcW w:w="1077" w:type="dxa"/>
            <w:tcBorders>
              <w:bottom w:val="single" w:sz="6" w:color="201F1D"/>
            </w:tcBorders>
          </w:tcPr>
          <w:p>
            <w:pPr>
              <w:pStyle w:val="TableText"/>
            </w:pPr>
            <w:r>
              <w:rPr>
                <w:caps/>
                <w:color w:val="605D5D"/>
                <w:sz w:val="15"/>
                <w:szCs w:val="15"/>
              </w:rPr>
              <w:t xml:space="preserve">Mandatory</w:t>
            </w:r>
          </w:p>
        </w:tc>
        <w:tc>
          <w:tcPr>
            <w:tcW w:w="2154" w:type="dxa"/>
            <w:tcBorders>
              <w:bottom w:val="single" w:sz="6" w:color="201F1D"/>
            </w:tcBorders>
          </w:tcPr>
          <w:p>
            <w:pPr>
              <w:pStyle w:val="TableText"/>
            </w:pPr>
            <w:r>
              <w:rPr>
                <w:caps/>
                <w:color w:val="605D5D"/>
                <w:sz w:val="15"/>
                <w:szCs w:val="15"/>
              </w:rPr>
              <w:t xml:space="preserve">Source</w:t>
            </w:r>
          </w:p>
        </w:tc>
        <w:tc>
          <w:tcPr>
            <w:tcW w:w="5484" w:type="dxa"/>
            <w:tcBorders>
              <w:bottom w:val="single" w:sz="6" w:color="201F1D"/>
            </w:tcBorders>
          </w:tcPr>
          <w:p>
            <w:pPr>
              <w:pStyle w:val="TableText"/>
            </w:pPr>
            <w:r>
              <w:rPr>
                <w:caps/>
                <w:color w:val="605D5D"/>
                <w:sz w:val="15"/>
                <w:szCs w:val="15"/>
              </w:rPr>
              <w:t xml:space="preserve">Comment</w:t>
            </w:r>
          </w:p>
        </w:tc>
      </w:tr>
      <w:tr>
        <w:trPr>
          <w:cantSplit/>
        </w:trPr>
        <w:tc>
          <w:tcPr>
            <w:tcW w:w="1077" w:type="dxa"/>
          </w:tcPr>
          <w:p>
            <w:pPr>
              <w:pStyle w:val="TableText"/>
            </w:pPr>
            <w:r>
              <w:rPr>
                <w:sz w:val="18"/>
                <w:szCs w:val="18"/>
              </w:rPr>
              <w:t xml:space="preserve">Top section</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Name and address of the insurance.</w:t>
            </w:r>
          </w:p>
        </w:tc>
      </w:tr>
      <w:tr>
        <w:trPr>
          <w:cantSplit/>
        </w:trPr>
        <w:tc>
          <w:tcPr>
            <w:tcW w:w="1077" w:type="dxa"/>
          </w:tcPr>
          <w:p>
            <w:pPr>
              <w:pStyle w:val="TableText"/>
            </w:pPr>
            <w:r>
              <w:rPr>
                <w:sz w:val="18"/>
                <w:szCs w:val="18"/>
              </w:rPr>
              <w:t xml:space="preserve">1</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Plan type.</w:t>
            </w:r>
          </w:p>
        </w:tc>
      </w:tr>
      <w:tr>
        <w:trPr>
          <w:cantSplit/>
        </w:trPr>
        <w:tc>
          <w:tcPr>
            <w:tcW w:w="1077" w:type="dxa"/>
          </w:tcPr>
          <w:p>
            <w:pPr>
              <w:pStyle w:val="TableText"/>
            </w:pPr>
            <w:r>
              <w:rPr>
                <w:sz w:val="18"/>
                <w:szCs w:val="18"/>
              </w:rPr>
              <w:t xml:space="preserve">1a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Patient ID.</w:t>
            </w:r>
          </w:p>
        </w:tc>
      </w:tr>
      <w:tr>
        <w:trPr>
          <w:cantSplit/>
        </w:trPr>
        <w:tc>
          <w:tcPr>
            <w:tcW w:w="1077" w:type="dxa"/>
          </w:tcPr>
          <w:p>
            <w:pPr>
              <w:pStyle w:val="TableText"/>
            </w:pPr>
            <w:r>
              <w:rPr>
                <w:sz w:val="18"/>
                <w:szCs w:val="18"/>
              </w:rPr>
              <w:t xml:space="preserve">2</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Name.</w:t>
            </w:r>
          </w:p>
        </w:tc>
      </w:tr>
      <w:tr>
        <w:trPr>
          <w:cantSplit/>
        </w:trPr>
        <w:tc>
          <w:tcPr>
            <w:tcW w:w="1077" w:type="dxa"/>
          </w:tcPr>
          <w:p>
            <w:pPr>
              <w:pStyle w:val="TableText"/>
            </w:pPr>
            <w:r>
              <w:rPr>
                <w:sz w:val="18"/>
                <w:szCs w:val="18"/>
              </w:rPr>
              <w:t xml:space="preserve">3</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DOB and sex.</w:t>
            </w:r>
          </w:p>
        </w:tc>
      </w:tr>
      <w:tr>
        <w:trPr>
          <w:cantSplit/>
        </w:trPr>
        <w:tc>
          <w:tcPr>
            <w:tcW w:w="1077" w:type="dxa"/>
          </w:tcPr>
          <w:p>
            <w:pPr>
              <w:pStyle w:val="TableText"/>
            </w:pPr>
            <w:r>
              <w:rPr>
                <w:sz w:val="18"/>
                <w:szCs w:val="18"/>
              </w:rPr>
              <w:t xml:space="preserve">4</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Insured name.</w:t>
            </w:r>
          </w:p>
        </w:tc>
      </w:tr>
      <w:tr>
        <w:trPr>
          <w:cantSplit/>
        </w:trPr>
        <w:tc>
          <w:tcPr>
            <w:tcW w:w="1077" w:type="dxa"/>
          </w:tcPr>
          <w:p>
            <w:pPr>
              <w:pStyle w:val="TableText"/>
            </w:pPr>
            <w:r>
              <w:rPr>
                <w:sz w:val="18"/>
                <w:szCs w:val="18"/>
              </w:rPr>
              <w:t xml:space="preserve">5</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Patient address.</w:t>
            </w:r>
          </w:p>
        </w:tc>
      </w:tr>
      <w:tr>
        <w:trPr>
          <w:cantSplit/>
        </w:trPr>
        <w:tc>
          <w:tcPr>
            <w:tcW w:w="1077" w:type="dxa"/>
          </w:tcPr>
          <w:p>
            <w:pPr>
              <w:pStyle w:val="TableText"/>
            </w:pPr>
            <w:r>
              <w:rPr>
                <w:sz w:val="18"/>
                <w:szCs w:val="18"/>
              </w:rPr>
              <w:t xml:space="preserve">6</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Relationship to insured.</w:t>
            </w:r>
          </w:p>
        </w:tc>
      </w:tr>
      <w:tr>
        <w:trPr>
          <w:cantSplit/>
        </w:trPr>
        <w:tc>
          <w:tcPr>
            <w:tcW w:w="1077" w:type="dxa"/>
          </w:tcPr>
          <w:p>
            <w:pPr>
              <w:pStyle w:val="TableText"/>
            </w:pPr>
            <w:r>
              <w:rPr>
                <w:sz w:val="18"/>
                <w:szCs w:val="18"/>
              </w:rPr>
              <w:t xml:space="preserve">7</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Insured name.</w:t>
            </w:r>
          </w:p>
        </w:tc>
      </w:tr>
      <w:tr>
        <w:trPr>
          <w:cantSplit/>
        </w:trPr>
        <w:tc>
          <w:tcPr>
            <w:tcW w:w="1077" w:type="dxa"/>
          </w:tcPr>
          <w:p>
            <w:pPr>
              <w:pStyle w:val="TableText"/>
            </w:pPr>
            <w:r>
              <w:rPr>
                <w:sz w:val="18"/>
                <w:szCs w:val="18"/>
              </w:rPr>
              <w:t xml:space="preserve">8</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9</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w:t>
            </w:r>
          </w:p>
        </w:tc>
        <w:tc>
          <w:tcPr>
            <w:tcW w:w="5484" w:type="dxa"/>
          </w:tcPr>
          <w:p>
            <w:pPr>
              <w:pStyle w:val="TableText"/>
            </w:pPr>
            <w:r>
              <w:rPr>
                <w:sz w:val="18"/>
                <w:szCs w:val="18"/>
              </w:rPr>
              <w:t xml:space="preserve">If a secondary insurance is on the case, fill the secondary insured party.</w:t>
            </w:r>
          </w:p>
        </w:tc>
      </w:tr>
      <w:tr>
        <w:trPr>
          <w:cantSplit/>
        </w:trPr>
        <w:tc>
          <w:tcPr>
            <w:tcW w:w="1077" w:type="dxa"/>
          </w:tcPr>
          <w:p>
            <w:pPr>
              <w:pStyle w:val="TableText"/>
            </w:pPr>
            <w:r>
              <w:rPr>
                <w:sz w:val="18"/>
                <w:szCs w:val="18"/>
              </w:rPr>
              <w:t xml:space="preserve">9a</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w:t>
            </w:r>
          </w:p>
        </w:tc>
        <w:tc>
          <w:tcPr>
            <w:tcW w:w="5484" w:type="dxa"/>
          </w:tcPr>
          <w:p>
            <w:pPr>
              <w:pStyle w:val="TableText"/>
            </w:pPr>
            <w:r>
              <w:rPr>
                <w:sz w:val="18"/>
                <w:szCs w:val="18"/>
              </w:rPr>
              <w:t xml:space="preserve">If a secondary is on the case, the secondary insurance ID.</w:t>
            </w:r>
          </w:p>
        </w:tc>
      </w:tr>
      <w:tr>
        <w:trPr>
          <w:cantSplit/>
        </w:trPr>
        <w:tc>
          <w:tcPr>
            <w:tcW w:w="1077" w:type="dxa"/>
          </w:tcPr>
          <w:p>
            <w:pPr>
              <w:pStyle w:val="TableText"/>
            </w:pPr>
            <w:r>
              <w:rPr>
                <w:sz w:val="18"/>
                <w:szCs w:val="18"/>
              </w:rPr>
              <w:t xml:space="preserve">9b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9c</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9d</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w:t>
            </w:r>
          </w:p>
        </w:tc>
        <w:tc>
          <w:tcPr>
            <w:tcW w:w="5484" w:type="dxa"/>
          </w:tcPr>
          <w:p>
            <w:pPr>
              <w:pStyle w:val="TableText"/>
            </w:pPr>
            <w:r>
              <w:rPr>
                <w:sz w:val="18"/>
                <w:szCs w:val="18"/>
              </w:rPr>
              <w:t xml:space="preserve">If a secondary is on the case, the secondary insurance name.</w:t>
            </w:r>
          </w:p>
        </w:tc>
      </w:tr>
      <w:tr>
        <w:trPr>
          <w:cantSplit/>
        </w:trPr>
        <w:tc>
          <w:tcPr>
            <w:tcW w:w="1077" w:type="dxa"/>
          </w:tcPr>
          <w:p>
            <w:pPr>
              <w:pStyle w:val="TableText"/>
            </w:pPr>
            <w:r>
              <w:rPr>
                <w:sz w:val="18"/>
                <w:szCs w:val="18"/>
              </w:rPr>
              <w:t xml:space="preserve">10 (a, b, c)</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Case “related cause” section drives the selection; if B is YES, the state is added as a 2-letter code.</w:t>
            </w:r>
          </w:p>
        </w:tc>
      </w:tr>
      <w:tr>
        <w:trPr>
          <w:cantSplit/>
        </w:trPr>
        <w:tc>
          <w:tcPr>
            <w:tcW w:w="1077" w:type="dxa"/>
          </w:tcPr>
          <w:p>
            <w:pPr>
              <w:pStyle w:val="TableText"/>
            </w:pPr>
            <w:r>
              <w:rPr>
                <w:sz w:val="18"/>
                <w:szCs w:val="18"/>
              </w:rPr>
              <w:t xml:space="preserve">11</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Filled if a group number exists.</w:t>
            </w:r>
          </w:p>
        </w:tc>
      </w:tr>
      <w:tr>
        <w:trPr>
          <w:cantSplit/>
        </w:trPr>
        <w:tc>
          <w:tcPr>
            <w:tcW w:w="1077" w:type="dxa"/>
          </w:tcPr>
          <w:p>
            <w:pPr>
              <w:pStyle w:val="TableText"/>
            </w:pPr>
            <w:r>
              <w:rPr>
                <w:sz w:val="18"/>
                <w:szCs w:val="18"/>
              </w:rPr>
              <w:t xml:space="preserve">11a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Insurance</w:t>
            </w:r>
          </w:p>
        </w:tc>
        <w:tc>
          <w:tcPr>
            <w:tcW w:w="5484" w:type="dxa"/>
          </w:tcPr>
          <w:p>
            <w:pPr>
              <w:pStyle w:val="TableText"/>
            </w:pPr>
            <w:r>
              <w:rPr>
                <w:sz w:val="18"/>
                <w:szCs w:val="18"/>
              </w:rPr>
              <w:t xml:space="preserve">Insured DOB and gender.</w:t>
            </w:r>
          </w:p>
        </w:tc>
      </w:tr>
      <w:tr>
        <w:trPr>
          <w:cantSplit/>
        </w:trPr>
        <w:tc>
          <w:tcPr>
            <w:tcW w:w="1077" w:type="dxa"/>
          </w:tcPr>
          <w:p>
            <w:pPr>
              <w:pStyle w:val="TableText"/>
            </w:pPr>
            <w:r>
              <w:rPr>
                <w:sz w:val="18"/>
                <w:szCs w:val="18"/>
              </w:rPr>
              <w:t xml:space="preserve">11b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Insurance + insurance type</w:t>
            </w:r>
          </w:p>
        </w:tc>
        <w:tc>
          <w:tcPr>
            <w:tcW w:w="5484" w:type="dxa"/>
          </w:tcPr>
          <w:p>
            <w:pPr>
              <w:pStyle w:val="TableText"/>
            </w:pPr>
            <w:r>
              <w:rPr>
                <w:sz w:val="18"/>
                <w:szCs w:val="18"/>
              </w:rPr>
              <w:t xml:space="preserve">Insurance type PIP makes the claim number required; when added, a qualifier is required.</w:t>
            </w:r>
          </w:p>
        </w:tc>
      </w:tr>
      <w:tr>
        <w:trPr>
          <w:cantSplit/>
        </w:trPr>
        <w:tc>
          <w:tcPr>
            <w:tcW w:w="1077" w:type="dxa"/>
          </w:tcPr>
          <w:p>
            <w:pPr>
              <w:pStyle w:val="TableText"/>
            </w:pPr>
            <w:r>
              <w:rPr>
                <w:sz w:val="18"/>
                <w:szCs w:val="18"/>
              </w:rPr>
              <w:t xml:space="preserve">11c</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11d</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Y if a secondary exists; otherwise N.</w:t>
            </w:r>
          </w:p>
        </w:tc>
      </w:tr>
      <w:tr>
        <w:trPr>
          <w:cantSplit/>
        </w:trPr>
        <w:tc>
          <w:tcPr>
            <w:tcW w:w="1077" w:type="dxa"/>
          </w:tcPr>
          <w:p>
            <w:pPr>
              <w:pStyle w:val="TableText"/>
            </w:pPr>
            <w:r>
              <w:rPr>
                <w:sz w:val="18"/>
                <w:szCs w:val="18"/>
              </w:rPr>
              <w:t xml:space="preserve">12</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Constant</w:t>
            </w:r>
          </w:p>
        </w:tc>
        <w:tc>
          <w:tcPr>
            <w:tcW w:w="5484" w:type="dxa"/>
          </w:tcPr>
          <w:p>
            <w:pPr>
              <w:pStyle w:val="TableText"/>
            </w:pPr>
            <w:r>
              <w:rPr>
                <w:sz w:val="18"/>
                <w:szCs w:val="18"/>
              </w:rPr>
              <w:t xml:space="preserve">SOF + date = date of service.</w:t>
            </w:r>
          </w:p>
        </w:tc>
      </w:tr>
      <w:tr>
        <w:trPr>
          <w:cantSplit/>
        </w:trPr>
        <w:tc>
          <w:tcPr>
            <w:tcW w:w="1077" w:type="dxa"/>
          </w:tcPr>
          <w:p>
            <w:pPr>
              <w:pStyle w:val="TableText"/>
            </w:pPr>
            <w:r>
              <w:rPr>
                <w:sz w:val="18"/>
                <w:szCs w:val="18"/>
              </w:rPr>
              <w:t xml:space="preserve">13</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Constant</w:t>
            </w:r>
          </w:p>
        </w:tc>
        <w:tc>
          <w:tcPr>
            <w:tcW w:w="5484" w:type="dxa"/>
          </w:tcPr>
          <w:p>
            <w:pPr>
              <w:pStyle w:val="TableText"/>
            </w:pPr>
            <w:r>
              <w:rPr>
                <w:sz w:val="18"/>
                <w:szCs w:val="18"/>
              </w:rPr>
              <w:t xml:space="preserve">SOF.</w:t>
            </w:r>
          </w:p>
        </w:tc>
      </w:tr>
      <w:tr>
        <w:trPr>
          <w:cantSplit/>
        </w:trPr>
        <w:tc>
          <w:tcPr>
            <w:tcW w:w="1077" w:type="dxa"/>
          </w:tcPr>
          <w:p>
            <w:pPr>
              <w:pStyle w:val="TableText"/>
            </w:pPr>
            <w:r>
              <w:rPr>
                <w:sz w:val="18"/>
                <w:szCs w:val="18"/>
              </w:rPr>
              <w:t xml:space="preserve">14</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Onset / injury date, with qualifier.</w:t>
            </w:r>
          </w:p>
        </w:tc>
      </w:tr>
      <w:tr>
        <w:trPr>
          <w:cantSplit/>
        </w:trPr>
        <w:tc>
          <w:tcPr>
            <w:tcW w:w="1077" w:type="dxa"/>
          </w:tcPr>
          <w:p>
            <w:pPr>
              <w:pStyle w:val="TableText"/>
            </w:pPr>
            <w:r>
              <w:rPr>
                <w:sz w:val="18"/>
                <w:szCs w:val="18"/>
              </w:rPr>
              <w:t xml:space="preserve">15</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Available date with corresponding qualifier (mostly accident date).</w:t>
            </w:r>
          </w:p>
        </w:tc>
      </w:tr>
      <w:tr>
        <w:trPr>
          <w:cantSplit/>
        </w:trPr>
        <w:tc>
          <w:tcPr>
            <w:tcW w:w="1077" w:type="dxa"/>
          </w:tcPr>
          <w:p>
            <w:pPr>
              <w:pStyle w:val="TableText"/>
            </w:pPr>
            <w:r>
              <w:rPr>
                <w:sz w:val="18"/>
                <w:szCs w:val="18"/>
              </w:rPr>
              <w:t xml:space="preserve">16</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17</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referring physician profile</w:t>
            </w:r>
          </w:p>
        </w:tc>
        <w:tc>
          <w:tcPr>
            <w:tcW w:w="5484" w:type="dxa"/>
          </w:tcPr>
          <w:p>
            <w:pPr>
              <w:pStyle w:val="TableText"/>
            </w:pPr>
            <w:r>
              <w:rPr>
                <w:sz w:val="18"/>
                <w:szCs w:val="18"/>
              </w:rPr>
              <w:t xml:space="preserve">Referring / supervising physician name with qualifier: DN (referring provider), DQ (supervising provider).</w:t>
            </w:r>
          </w:p>
        </w:tc>
      </w:tr>
      <w:tr>
        <w:trPr>
          <w:cantSplit/>
        </w:trPr>
        <w:tc>
          <w:tcPr>
            <w:tcW w:w="1077" w:type="dxa"/>
          </w:tcPr>
          <w:p>
            <w:pPr>
              <w:pStyle w:val="TableText"/>
            </w:pPr>
            <w:r>
              <w:rPr>
                <w:sz w:val="18"/>
                <w:szCs w:val="18"/>
              </w:rPr>
              <w:t xml:space="preserve">17a</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Referring physician</w:t>
            </w:r>
          </w:p>
        </w:tc>
        <w:tc>
          <w:tcPr>
            <w:tcW w:w="5484" w:type="dxa"/>
          </w:tcPr>
          <w:p>
            <w:pPr>
              <w:pStyle w:val="TableText"/>
            </w:pPr>
            <w:r>
              <w:rPr>
                <w:sz w:val="18"/>
                <w:szCs w:val="18"/>
              </w:rPr>
              <w:t xml:space="preserve">Other ID + qualifier.</w:t>
            </w:r>
          </w:p>
        </w:tc>
      </w:tr>
      <w:tr>
        <w:trPr>
          <w:cantSplit/>
        </w:trPr>
        <w:tc>
          <w:tcPr>
            <w:tcW w:w="1077" w:type="dxa"/>
          </w:tcPr>
          <w:p>
            <w:pPr>
              <w:pStyle w:val="TableText"/>
            </w:pPr>
            <w:r>
              <w:rPr>
                <w:sz w:val="18"/>
                <w:szCs w:val="18"/>
              </w:rPr>
              <w:t xml:space="preserve">17b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Referring physician</w:t>
            </w:r>
          </w:p>
        </w:tc>
        <w:tc>
          <w:tcPr>
            <w:tcW w:w="5484" w:type="dxa"/>
          </w:tcPr>
          <w:p>
            <w:pPr>
              <w:pStyle w:val="TableText"/>
            </w:pPr>
            <w:r>
              <w:rPr>
                <w:sz w:val="18"/>
                <w:szCs w:val="18"/>
              </w:rPr>
              <w:t xml:space="preserve">NPI.</w:t>
            </w:r>
          </w:p>
        </w:tc>
      </w:tr>
      <w:tr>
        <w:trPr>
          <w:cantSplit/>
        </w:trPr>
        <w:tc>
          <w:tcPr>
            <w:tcW w:w="1077" w:type="dxa"/>
          </w:tcPr>
          <w:p>
            <w:pPr>
              <w:pStyle w:val="TableText"/>
            </w:pPr>
            <w:r>
              <w:rPr>
                <w:sz w:val="18"/>
                <w:szCs w:val="18"/>
              </w:rPr>
              <w:t xml:space="preserve">18</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19</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Custom comment</w:t>
            </w:r>
          </w:p>
        </w:tc>
        <w:tc>
          <w:tcPr>
            <w:tcW w:w="5484" w:type="dxa"/>
          </w:tcPr>
          <w:p>
            <w:pPr>
              <w:pStyle w:val="TableText"/>
            </w:pPr>
            <w:r>
              <w:rPr>
                <w:sz w:val="18"/>
                <w:szCs w:val="18"/>
              </w:rPr>
              <w:t xml:space="preserve">Free-text comment per claim.</w:t>
            </w:r>
          </w:p>
        </w:tc>
      </w:tr>
      <w:tr>
        <w:trPr>
          <w:cantSplit/>
        </w:trPr>
        <w:tc>
          <w:tcPr>
            <w:tcW w:w="1077" w:type="dxa"/>
          </w:tcPr>
          <w:p>
            <w:pPr>
              <w:pStyle w:val="TableText"/>
            </w:pPr>
            <w:r>
              <w:rPr>
                <w:sz w:val="18"/>
                <w:szCs w:val="18"/>
              </w:rPr>
              <w:t xml:space="preserve">20</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No by default.</w:t>
            </w:r>
          </w:p>
        </w:tc>
      </w:tr>
      <w:tr>
        <w:trPr>
          <w:cantSplit/>
        </w:trPr>
        <w:tc>
          <w:tcPr>
            <w:tcW w:w="1077" w:type="dxa"/>
          </w:tcPr>
          <w:p>
            <w:pPr>
              <w:pStyle w:val="TableText"/>
            </w:pPr>
            <w:r>
              <w:rPr>
                <w:sz w:val="18"/>
                <w:szCs w:val="18"/>
              </w:rPr>
              <w:t xml:space="preserve">21</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Case</w:t>
            </w:r>
          </w:p>
        </w:tc>
        <w:tc>
          <w:tcPr>
            <w:tcW w:w="5484" w:type="dxa"/>
          </w:tcPr>
          <w:p>
            <w:pPr>
              <w:pStyle w:val="TableText"/>
            </w:pPr>
            <w:r>
              <w:rPr>
                <w:sz w:val="18"/>
                <w:szCs w:val="18"/>
              </w:rPr>
              <w:t xml:space="preserve">ICD indicator “0”.</w:t>
            </w:r>
          </w:p>
        </w:tc>
      </w:tr>
      <w:tr>
        <w:trPr>
          <w:cantSplit/>
        </w:trPr>
        <w:tc>
          <w:tcPr>
            <w:tcW w:w="1077" w:type="dxa"/>
          </w:tcPr>
          <w:p>
            <w:pPr>
              <w:pStyle w:val="TableText"/>
            </w:pPr>
            <w:r>
              <w:rPr>
                <w:sz w:val="18"/>
                <w:szCs w:val="18"/>
              </w:rPr>
              <w:t xml:space="preserve">22</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Corrected / void</w:t>
            </w:r>
          </w:p>
        </w:tc>
        <w:tc>
          <w:tcPr>
            <w:tcW w:w="5484" w:type="dxa"/>
          </w:tcPr>
          <w:p>
            <w:pPr>
              <w:pStyle w:val="TableText"/>
            </w:pPr>
            <w:r>
              <w:rPr>
                <w:sz w:val="18"/>
                <w:szCs w:val="18"/>
              </w:rPr>
              <w:t xml:space="preserve">Required when a corrected claim is sent.</w:t>
            </w:r>
          </w:p>
        </w:tc>
      </w:tr>
      <w:tr>
        <w:trPr>
          <w:cantSplit/>
        </w:trPr>
        <w:tc>
          <w:tcPr>
            <w:tcW w:w="1077" w:type="dxa"/>
          </w:tcPr>
          <w:p>
            <w:pPr>
              <w:pStyle w:val="TableText"/>
            </w:pPr>
            <w:r>
              <w:rPr>
                <w:sz w:val="18"/>
                <w:szCs w:val="18"/>
              </w:rPr>
              <w:t xml:space="preserve">23</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Case / insurance (auth)</w:t>
            </w:r>
          </w:p>
        </w:tc>
        <w:tc>
          <w:tcPr>
            <w:tcW w:w="5484" w:type="dxa"/>
          </w:tcPr>
          <w:p>
            <w:pPr>
              <w:pStyle w:val="TableText"/>
            </w:pPr>
            <w:r>
              <w:rPr>
                <w:sz w:val="18"/>
                <w:szCs w:val="18"/>
              </w:rPr>
              <w:t xml:space="preserve">Authorization reference number.</w:t>
            </w:r>
          </w:p>
        </w:tc>
      </w:tr>
      <w:tr>
        <w:trPr>
          <w:cantSplit/>
        </w:trPr>
        <w:tc>
          <w:tcPr>
            <w:tcW w:w="1077" w:type="dxa"/>
          </w:tcPr>
          <w:p>
            <w:pPr>
              <w:pStyle w:val="TableText"/>
            </w:pPr>
            <w:r>
              <w:rPr>
                <w:sz w:val="18"/>
                <w:szCs w:val="18"/>
              </w:rPr>
              <w:t xml:space="preserve">24A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Date of service.</w:t>
            </w:r>
          </w:p>
        </w:tc>
      </w:tr>
      <w:tr>
        <w:trPr>
          <w:cantSplit/>
        </w:trPr>
        <w:tc>
          <w:tcPr>
            <w:tcW w:w="1077" w:type="dxa"/>
          </w:tcPr>
          <w:p>
            <w:pPr>
              <w:pStyle w:val="TableText"/>
            </w:pPr>
            <w:r>
              <w:rPr>
                <w:sz w:val="18"/>
                <w:szCs w:val="18"/>
              </w:rPr>
              <w:t xml:space="preserve">24B</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Place-of-service code.</w:t>
            </w:r>
          </w:p>
        </w:tc>
      </w:tr>
      <w:tr>
        <w:trPr>
          <w:cantSplit/>
        </w:trPr>
        <w:tc>
          <w:tcPr>
            <w:tcW w:w="1077" w:type="dxa"/>
          </w:tcPr>
          <w:p>
            <w:pPr>
              <w:pStyle w:val="TableText"/>
            </w:pPr>
            <w:r>
              <w:rPr>
                <w:sz w:val="18"/>
                <w:szCs w:val="18"/>
              </w:rPr>
              <w:t xml:space="preserve">24C</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24D</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CPT + modifiers.</w:t>
            </w:r>
          </w:p>
        </w:tc>
      </w:tr>
      <w:tr>
        <w:trPr>
          <w:cantSplit/>
        </w:trPr>
        <w:tc>
          <w:tcPr>
            <w:tcW w:w="1077" w:type="dxa"/>
          </w:tcPr>
          <w:p>
            <w:pPr>
              <w:pStyle w:val="TableText"/>
            </w:pPr>
            <w:r>
              <w:rPr>
                <w:sz w:val="18"/>
                <w:szCs w:val="18"/>
              </w:rPr>
              <w:t xml:space="preserve">24E</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Diagnosis pointer.</w:t>
            </w:r>
          </w:p>
        </w:tc>
      </w:tr>
      <w:tr>
        <w:trPr>
          <w:cantSplit/>
        </w:trPr>
        <w:tc>
          <w:tcPr>
            <w:tcW w:w="1077" w:type="dxa"/>
          </w:tcPr>
          <w:p>
            <w:pPr>
              <w:pStyle w:val="TableText"/>
            </w:pPr>
            <w:r>
              <w:rPr>
                <w:sz w:val="18"/>
                <w:szCs w:val="18"/>
              </w:rPr>
              <w:t xml:space="preserve">24F</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CPT fee schedule</w:t>
            </w:r>
          </w:p>
        </w:tc>
        <w:tc>
          <w:tcPr>
            <w:tcW w:w="5484" w:type="dxa"/>
          </w:tcPr>
          <w:p>
            <w:pPr>
              <w:pStyle w:val="TableText"/>
            </w:pPr>
            <w:r>
              <w:rPr>
                <w:sz w:val="18"/>
                <w:szCs w:val="18"/>
              </w:rPr>
              <w:t xml:space="preserve">Charge per CPT / unit.</w:t>
            </w:r>
          </w:p>
        </w:tc>
      </w:tr>
      <w:tr>
        <w:trPr>
          <w:cantSplit/>
        </w:trPr>
        <w:tc>
          <w:tcPr>
            <w:tcW w:w="1077" w:type="dxa"/>
          </w:tcPr>
          <w:p>
            <w:pPr>
              <w:pStyle w:val="TableText"/>
            </w:pPr>
            <w:r>
              <w:rPr>
                <w:sz w:val="18"/>
                <w:szCs w:val="18"/>
              </w:rPr>
              <w:t xml:space="preserve">24G</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Session / claim</w:t>
            </w:r>
          </w:p>
        </w:tc>
        <w:tc>
          <w:tcPr>
            <w:tcW w:w="5484" w:type="dxa"/>
          </w:tcPr>
          <w:p>
            <w:pPr>
              <w:pStyle w:val="TableText"/>
            </w:pPr>
            <w:r>
              <w:rPr>
                <w:sz w:val="18"/>
                <w:szCs w:val="18"/>
              </w:rPr>
              <w:t xml:space="preserve">Number of units / days.</w:t>
            </w:r>
          </w:p>
        </w:tc>
      </w:tr>
      <w:tr>
        <w:trPr>
          <w:cantSplit/>
        </w:trPr>
        <w:tc>
          <w:tcPr>
            <w:tcW w:w="1077" w:type="dxa"/>
          </w:tcPr>
          <w:p>
            <w:pPr>
              <w:pStyle w:val="TableText"/>
            </w:pPr>
            <w:r>
              <w:rPr>
                <w:sz w:val="18"/>
                <w:szCs w:val="18"/>
              </w:rPr>
              <w:t xml:space="preserve">24H</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24I</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Provider profile</w:t>
            </w:r>
          </w:p>
        </w:tc>
        <w:tc>
          <w:tcPr>
            <w:tcW w:w="5484" w:type="dxa"/>
          </w:tcPr>
          <w:p>
            <w:pPr>
              <w:pStyle w:val="TableText"/>
            </w:pPr>
            <w:r>
              <w:rPr>
                <w:sz w:val="18"/>
                <w:szCs w:val="18"/>
              </w:rPr>
              <w:t xml:space="preserve">Other ID qualifier.</w:t>
            </w:r>
          </w:p>
        </w:tc>
      </w:tr>
      <w:tr>
        <w:trPr>
          <w:cantSplit/>
        </w:trPr>
        <w:tc>
          <w:tcPr>
            <w:tcW w:w="1077" w:type="dxa"/>
          </w:tcPr>
          <w:p>
            <w:pPr>
              <w:pStyle w:val="TableText"/>
            </w:pPr>
            <w:r>
              <w:rPr>
                <w:sz w:val="18"/>
                <w:szCs w:val="18"/>
              </w:rPr>
              <w:t xml:space="preserve">24J</w:t>
            </w:r>
          </w:p>
        </w:tc>
        <w:tc>
          <w:tcPr>
            <w:tcW w:w="1077" w:type="dxa"/>
          </w:tcPr>
          <w:p>
            <w:pPr>
              <w:pStyle w:val="TableText"/>
            </w:pPr>
            <w:r>
              <w:rPr>
                <w:sz w:val="18"/>
                <w:szCs w:val="18"/>
              </w:rPr>
              <w:t xml:space="preserve">Y (Other ID: N)</w:t>
            </w:r>
          </w:p>
        </w:tc>
        <w:tc>
          <w:tcPr>
            <w:tcW w:w="2154" w:type="dxa"/>
          </w:tcPr>
          <w:p>
            <w:pPr>
              <w:pStyle w:val="TableText"/>
            </w:pPr>
            <w:r>
              <w:rPr>
                <w:sz w:val="18"/>
                <w:szCs w:val="18"/>
              </w:rPr>
              <w:t xml:space="preserve">Provider profile</w:t>
            </w:r>
          </w:p>
        </w:tc>
        <w:tc>
          <w:tcPr>
            <w:tcW w:w="5484" w:type="dxa"/>
          </w:tcPr>
          <w:p>
            <w:pPr>
              <w:pStyle w:val="TableText"/>
            </w:pPr>
            <w:r>
              <w:rPr>
                <w:sz w:val="18"/>
                <w:szCs w:val="18"/>
              </w:rPr>
              <w:t xml:space="preserve">Provider NPI and other ID.</w:t>
            </w:r>
          </w:p>
        </w:tc>
      </w:tr>
      <w:tr>
        <w:trPr>
          <w:cantSplit/>
        </w:trPr>
        <w:tc>
          <w:tcPr>
            <w:tcW w:w="1077" w:type="dxa"/>
          </w:tcPr>
          <w:p>
            <w:pPr>
              <w:pStyle w:val="TableText"/>
            </w:pPr>
            <w:r>
              <w:rPr>
                <w:sz w:val="18"/>
                <w:szCs w:val="18"/>
              </w:rPr>
              <w:t xml:space="preserve">25</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Tax ID or SSN (Tax ID for organizations, EIN checked).</w:t>
            </w:r>
          </w:p>
        </w:tc>
      </w:tr>
      <w:tr>
        <w:trPr>
          <w:cantSplit/>
        </w:trPr>
        <w:tc>
          <w:tcPr>
            <w:tcW w:w="1077" w:type="dxa"/>
          </w:tcPr>
          <w:p>
            <w:pPr>
              <w:pStyle w:val="TableText"/>
            </w:pPr>
            <w:r>
              <w:rPr>
                <w:sz w:val="18"/>
                <w:szCs w:val="18"/>
              </w:rPr>
              <w:t xml:space="preserve">26</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Patient chart</w:t>
            </w:r>
          </w:p>
        </w:tc>
        <w:tc>
          <w:tcPr>
            <w:tcW w:w="5484" w:type="dxa"/>
          </w:tcPr>
          <w:p>
            <w:pPr>
              <w:pStyle w:val="TableText"/>
            </w:pPr>
            <w:r>
              <w:rPr>
                <w:sz w:val="18"/>
                <w:szCs w:val="18"/>
              </w:rPr>
              <w:t xml:space="preserve">Internal patient ID.</w:t>
            </w:r>
          </w:p>
        </w:tc>
      </w:tr>
      <w:tr>
        <w:trPr>
          <w:cantSplit/>
        </w:trPr>
        <w:tc>
          <w:tcPr>
            <w:tcW w:w="1077" w:type="dxa"/>
          </w:tcPr>
          <w:p>
            <w:pPr>
              <w:pStyle w:val="TableText"/>
            </w:pPr>
            <w:r>
              <w:rPr>
                <w:sz w:val="18"/>
                <w:szCs w:val="18"/>
              </w:rPr>
              <w:t xml:space="preserve">27</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System default</w:t>
            </w:r>
          </w:p>
        </w:tc>
        <w:tc>
          <w:tcPr>
            <w:tcW w:w="5484" w:type="dxa"/>
          </w:tcPr>
          <w:p>
            <w:pPr>
              <w:pStyle w:val="TableText"/>
            </w:pPr>
            <w:r>
              <w:rPr>
                <w:sz w:val="18"/>
                <w:szCs w:val="18"/>
              </w:rPr>
              <w:t xml:space="preserve">Yes by default unless set to NO in billing / EMR.</w:t>
            </w:r>
          </w:p>
        </w:tc>
      </w:tr>
      <w:tr>
        <w:trPr>
          <w:cantSplit/>
        </w:trPr>
        <w:tc>
          <w:tcPr>
            <w:tcW w:w="1077" w:type="dxa"/>
          </w:tcPr>
          <w:p>
            <w:pPr>
              <w:pStyle w:val="TableText"/>
            </w:pPr>
            <w:r>
              <w:rPr>
                <w:sz w:val="18"/>
                <w:szCs w:val="18"/>
              </w:rPr>
              <w:t xml:space="preserve">28</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Calculation</w:t>
            </w:r>
          </w:p>
        </w:tc>
        <w:tc>
          <w:tcPr>
            <w:tcW w:w="5484" w:type="dxa"/>
          </w:tcPr>
          <w:p>
            <w:pPr>
              <w:pStyle w:val="TableText"/>
            </w:pPr>
            <w:r>
              <w:rPr>
                <w:sz w:val="18"/>
                <w:szCs w:val="18"/>
              </w:rPr>
              <w:t xml:space="preserve">Sum of charge amounts.</w:t>
            </w:r>
          </w:p>
        </w:tc>
      </w:tr>
      <w:tr>
        <w:trPr>
          <w:cantSplit/>
        </w:trPr>
        <w:tc>
          <w:tcPr>
            <w:tcW w:w="1077" w:type="dxa"/>
          </w:tcPr>
          <w:p>
            <w:pPr>
              <w:pStyle w:val="TableText"/>
            </w:pPr>
            <w:r>
              <w:rPr>
                <w:sz w:val="18"/>
                <w:szCs w:val="18"/>
              </w:rPr>
              <w:t xml:space="preserve">29</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Calculation</w:t>
            </w:r>
          </w:p>
        </w:tc>
        <w:tc>
          <w:tcPr>
            <w:tcW w:w="5484" w:type="dxa"/>
          </w:tcPr>
          <w:p>
            <w:pPr>
              <w:pStyle w:val="TableText"/>
            </w:pPr>
            <w:r>
              <w:rPr>
                <w:sz w:val="18"/>
                <w:szCs w:val="18"/>
              </w:rPr>
              <w:t xml:space="preserve">Sum of paid amount when billing secondary; 0 by default for primary.</w:t>
            </w:r>
          </w:p>
        </w:tc>
      </w:tr>
      <w:tr>
        <w:trPr>
          <w:cantSplit/>
        </w:trPr>
        <w:tc>
          <w:tcPr>
            <w:tcW w:w="1077" w:type="dxa"/>
          </w:tcPr>
          <w:p>
            <w:pPr>
              <w:pStyle w:val="TableText"/>
            </w:pPr>
            <w:r>
              <w:rPr>
                <w:sz w:val="18"/>
                <w:szCs w:val="18"/>
              </w:rPr>
              <w:t xml:space="preserve">30</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31</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Provider</w:t>
            </w:r>
          </w:p>
        </w:tc>
        <w:tc>
          <w:tcPr>
            <w:tcW w:w="5484" w:type="dxa"/>
          </w:tcPr>
          <w:p>
            <w:pPr>
              <w:pStyle w:val="TableText"/>
            </w:pPr>
            <w:r>
              <w:rPr>
                <w:sz w:val="18"/>
                <w:szCs w:val="18"/>
              </w:rPr>
              <w:t xml:space="preserve">Provider name + DOS.</w:t>
            </w:r>
          </w:p>
        </w:tc>
      </w:tr>
      <w:tr>
        <w:trPr>
          <w:cantSplit/>
        </w:trPr>
        <w:tc>
          <w:tcPr>
            <w:tcW w:w="1077" w:type="dxa"/>
          </w:tcPr>
          <w:p>
            <w:pPr>
              <w:pStyle w:val="TableText"/>
            </w:pPr>
            <w:r>
              <w:rPr>
                <w:sz w:val="18"/>
                <w:szCs w:val="18"/>
              </w:rPr>
              <w:t xml:space="preserve">32</w:t>
            </w:r>
          </w:p>
        </w:tc>
        <w:tc>
          <w:tcPr>
            <w:tcW w:w="1077" w:type="dxa"/>
          </w:tcPr>
          <w:p>
            <w:pPr>
              <w:pStyle w:val="TableText"/>
            </w:pPr>
            <w:r>
              <w:rPr>
                <w:sz w:val="18"/>
                <w:szCs w:val="18"/>
              </w:rPr>
              <w:t xml:space="preserve">Conditional</w:t>
            </w:r>
          </w:p>
        </w:tc>
        <w:tc>
          <w:tcPr>
            <w:tcW w:w="2154" w:type="dxa"/>
          </w:tcPr>
          <w:p>
            <w:pPr>
              <w:pStyle w:val="TableText"/>
            </w:pPr>
            <w:r>
              <w:rPr>
                <w:sz w:val="18"/>
                <w:szCs w:val="18"/>
              </w:rPr>
              <w:t xml:space="preserve">Clinic profile</w:t>
            </w:r>
          </w:p>
        </w:tc>
        <w:tc>
          <w:tcPr>
            <w:tcW w:w="5484" w:type="dxa"/>
          </w:tcPr>
          <w:p>
            <w:pPr>
              <w:pStyle w:val="TableText"/>
            </w:pPr>
            <w:r>
              <w:rPr>
                <w:sz w:val="18"/>
                <w:szCs w:val="18"/>
              </w:rPr>
              <w:t xml:space="preserve">Clinic name and address for all POS except patient home or telehealth (02, 10, 12).</w:t>
            </w:r>
          </w:p>
        </w:tc>
      </w:tr>
      <w:tr>
        <w:trPr>
          <w:cantSplit/>
        </w:trPr>
        <w:tc>
          <w:tcPr>
            <w:tcW w:w="1077" w:type="dxa"/>
          </w:tcPr>
          <w:p>
            <w:pPr>
              <w:pStyle w:val="TableText"/>
            </w:pPr>
            <w:r>
              <w:rPr>
                <w:sz w:val="18"/>
                <w:szCs w:val="18"/>
              </w:rPr>
              <w:t xml:space="preserve">32a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Group NPI.</w:t>
            </w:r>
          </w:p>
        </w:tc>
      </w:tr>
      <w:tr>
        <w:trPr>
          <w:cantSplit/>
        </w:trPr>
        <w:tc>
          <w:tcPr>
            <w:tcW w:w="1077" w:type="dxa"/>
          </w:tcPr>
          <w:p>
            <w:pPr>
              <w:pStyle w:val="TableText"/>
            </w:pPr>
            <w:r>
              <w:rPr>
                <w:sz w:val="18"/>
                <w:szCs w:val="18"/>
              </w:rPr>
              <w:t xml:space="preserve">32b</w:t>
            </w:r>
          </w:p>
        </w:tc>
        <w:tc>
          <w:tcPr>
            <w:tcW w:w="1077" w:type="dxa"/>
          </w:tcPr>
          <w:p>
            <w:pPr>
              <w:pStyle w:val="TableText"/>
            </w:pPr>
            <w:r>
              <w:rPr>
                <w:sz w:val="18"/>
                <w:szCs w:val="18"/>
              </w:rPr>
              <w:t xml:space="preserve">N</w:t>
            </w:r>
          </w:p>
        </w:tc>
        <w:tc>
          <w:tcPr>
            <w:tcW w:w="2154" w:type="dxa"/>
          </w:tcPr>
          <w:p>
            <w:pPr>
              <w:pStyle w:val="TableText"/>
            </w:pPr>
            <w:r>
              <w:rPr>
                <w:sz w:val="18"/>
                <w:szCs w:val="18"/>
              </w:rPr>
              <w:t xml:space="preserve">NA</w:t>
            </w:r>
          </w:p>
        </w:tc>
        <w:tc>
          <w:tcPr>
            <w:tcW w:w="5484" w:type="dxa"/>
          </w:tcPr>
          <w:p>
            <w:pPr>
              <w:pStyle w:val="TableText"/>
            </w:pPr>
            <w:r>
              <w:rPr>
                <w:sz w:val="18"/>
                <w:szCs w:val="18"/>
              </w:rPr>
              <w:t xml:space="preserve">—</w:t>
            </w:r>
          </w:p>
        </w:tc>
      </w:tr>
      <w:tr>
        <w:trPr>
          <w:cantSplit/>
        </w:trPr>
        <w:tc>
          <w:tcPr>
            <w:tcW w:w="1077" w:type="dxa"/>
          </w:tcPr>
          <w:p>
            <w:pPr>
              <w:pStyle w:val="TableText"/>
            </w:pPr>
            <w:r>
              <w:rPr>
                <w:sz w:val="18"/>
                <w:szCs w:val="18"/>
              </w:rPr>
              <w:t xml:space="preserve">33</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Organization name + billing address.</w:t>
            </w:r>
          </w:p>
        </w:tc>
      </w:tr>
      <w:tr>
        <w:trPr>
          <w:cantSplit/>
        </w:trPr>
        <w:tc>
          <w:tcPr>
            <w:tcW w:w="1077" w:type="dxa"/>
          </w:tcPr>
          <w:p>
            <w:pPr>
              <w:pStyle w:val="TableText"/>
            </w:pPr>
            <w:r>
              <w:rPr>
                <w:sz w:val="18"/>
                <w:szCs w:val="18"/>
              </w:rPr>
              <w:t xml:space="preserve">33a</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Group NPI.</w:t>
            </w:r>
          </w:p>
        </w:tc>
      </w:tr>
      <w:tr>
        <w:trPr>
          <w:cantSplit/>
        </w:trPr>
        <w:tc>
          <w:tcPr>
            <w:tcW w:w="1077" w:type="dxa"/>
          </w:tcPr>
          <w:p>
            <w:pPr>
              <w:pStyle w:val="TableText"/>
            </w:pPr>
            <w:r>
              <w:rPr>
                <w:sz w:val="18"/>
                <w:szCs w:val="18"/>
              </w:rPr>
              <w:t xml:space="preserve">33b</w:t>
            </w:r>
          </w:p>
        </w:tc>
        <w:tc>
          <w:tcPr>
            <w:tcW w:w="1077" w:type="dxa"/>
          </w:tcPr>
          <w:p>
            <w:pPr>
              <w:pStyle w:val="TableText"/>
            </w:pPr>
            <w:r>
              <w:rPr>
                <w:sz w:val="18"/>
                <w:szCs w:val="18"/>
              </w:rPr>
              <w:t xml:space="preserve">Y</w:t>
            </w:r>
          </w:p>
        </w:tc>
        <w:tc>
          <w:tcPr>
            <w:tcW w:w="2154" w:type="dxa"/>
          </w:tcPr>
          <w:p>
            <w:pPr>
              <w:pStyle w:val="TableText"/>
            </w:pPr>
            <w:r>
              <w:rPr>
                <w:sz w:val="18"/>
                <w:szCs w:val="18"/>
              </w:rPr>
              <w:t xml:space="preserve">Organization</w:t>
            </w:r>
          </w:p>
        </w:tc>
        <w:tc>
          <w:tcPr>
            <w:tcW w:w="5484" w:type="dxa"/>
          </w:tcPr>
          <w:p>
            <w:pPr>
              <w:pStyle w:val="TableText"/>
            </w:pPr>
            <w:r>
              <w:rPr>
                <w:sz w:val="18"/>
                <w:szCs w:val="18"/>
              </w:rPr>
              <w:t xml:space="preserve">Qualifier + group taxonomy.</w:t>
            </w:r>
          </w:p>
        </w:tc>
      </w:tr>
    </w:tbl>
    <w:p>
      <w:pPr>
        <w:pStyle w:val="Spacer"/>
      </w:pPr>
    </w:p>
    <w:p>
      <w:pPr>
        <w:pStyle w:val="Kicker"/>
      </w:pPr>
      <w:r>
        <w:t xml:space="preserve">Chapter 9</w:t>
      </w:r>
    </w:p>
    <w:p>
      <w:pPr>
        <w:pStyle w:val="Heading1"/>
      </w:pPr>
      <w:r>
        <w:t xml:space="preserve">Payment posting, denial &amp; A/R management</w:t>
      </w:r>
    </w:p>
    <w:p>
      <w:pPr>
        <w:pStyle w:val="Heading2"/>
      </w:pPr>
      <w:r>
        <w:rPr>
          <w:color w:val="B68235"/>
        </w:rPr>
        <w:t xml:space="preserve">9.1</w:t>
      </w:r>
      <w:r>
        <w:t xml:space="preserve">Adjudication &amp; payment ingestion</w:t>
      </w:r>
    </w:p>
    <w:p>
      <w:pPr>
        <w:pStyle w:val="Normal"/>
      </w:pPr>
      <w:r>
        <w:t xml:space="preserve">Supports manual payment posting and automated ERA (835) ingestion with direct claim-level reconciliation.</w:t>
      </w:r>
    </w:p>
    <w:p>
      <w:pPr>
        <w:pStyle w:val="Equation"/>
      </w:pPr>
      <w:r>
        <w:t xml:space="preserve"> Original Charge − Allowed Amount − Contractual Adjustment − Patient Responsibility </w:t>
      </w:r>
      <w:r>
        <w:rPr>
          <w:color w:val="B68235"/>
        </w:rPr>
        <w:t xml:space="preserve">=</w:t>
      </w:r>
      <w:r>
        <w:t xml:space="preserve"> Paid Amount </w:t>
      </w:r>
    </w:p>
    <w:p>
      <w:pPr>
        <w:pStyle w:val="Normal"/>
      </w:pPr>
      <w:r>
        <w:t xml:space="preserve">Reconciliation equation</w:t>
      </w:r>
    </w:p>
    <w:p>
      <w:pPr>
        <w:pStyle w:val="Heading2"/>
      </w:pPr>
      <w:r>
        <w:rPr>
          <w:color w:val="B68235"/>
        </w:rPr>
        <w:t xml:space="preserve">9.2</w:t>
      </w:r>
      <w:r>
        <w:t xml:space="preserve">Payer SLA &amp; denial automation</w:t>
      </w:r>
    </w:p>
    <w:p>
      <w:pPr>
        <w:pStyle w:val="ListParagraph"/>
        <w:numPr>
          <w:ilvl w:val="0"/>
          <w:numId w:val="1"/>
        </w:numPr>
      </w:pPr>
      <w:r>
        <w:rPr>
          <w:b/>
        </w:rPr>
        <w:t xml:space="preserve">Payer SLA engine.</w:t>
      </w:r>
      <w:r>
        <w:t xml:space="preserve"> Tracks payment turnaround time against SLAs defined per insurance, configured manually or via predictive AI agents.</w:t>
      </w:r>
    </w:p>
    <w:p>
      <w:pPr>
        <w:pStyle w:val="ListParagraph"/>
        <w:numPr>
          <w:ilvl w:val="0"/>
          <w:numId w:val="1"/>
        </w:numPr>
      </w:pPr>
      <w:r>
        <w:rPr>
          <w:b/>
        </w:rPr>
        <w:t xml:space="preserve">Automated escalation trigger.</w:t>
      </w:r>
      <w:r>
        <w:t xml:space="preserve"> If a claim crosses its payer SLA without payment acknowledgement, or returns an electronic denial via ERA (835), it is automatically cloned into the Denial &amp; A/R Management module.</w:t>
      </w:r>
    </w:p>
    <w:p>
      <w:pPr>
        <w:pStyle w:val="ListParagraph"/>
        <w:numPr>
          <w:ilvl w:val="0"/>
          <w:numId w:val="1"/>
        </w:numPr>
      </w:pPr>
      <w:r>
        <w:rPr>
          <w:b/>
        </w:rPr>
        <w:t xml:space="preserve">A/R categorization.</w:t>
      </w:r>
      <w:r>
        <w:t xml:space="preserve"> Auto-classified as </w:t>
      </w:r>
      <w:r>
        <w:rPr>
          <w:i/>
        </w:rPr>
        <w:t xml:space="preserve">Delayed</w:t>
      </w:r>
      <w:r>
        <w:t xml:space="preserve"> (SLA exceeded, no response) or </w:t>
      </w:r>
      <w:r>
        <w:rPr>
          <w:i/>
        </w:rPr>
        <w:t xml:space="preserve">Denied</w:t>
      </w:r>
      <w:r>
        <w:t xml:space="preserve"> (electronic 835 denial).</w:t>
      </w:r>
    </w:p>
    <w:p>
      <w:pPr>
        <w:pStyle w:val="Normal"/>
      </w:pPr>
      <w:r>
        <w:t xml:space="preserve">Detailed documentation of 835 handling and posting begins once access to the Waystar developer portal is obtained.</w:t>
      </w:r>
    </w:p>
    <w:p>
      <w:pPr>
        <w:pStyle w:val="Kicker"/>
        <w:pageBreakBefore/>
      </w:pPr>
      <w:r>
        <w:t xml:space="preserve">Chapter 10</w:t>
      </w:r>
    </w:p>
    <w:p>
      <w:pPr>
        <w:pStyle w:val="Heading1"/>
      </w:pPr>
      <w:r>
        <w:t xml:space="preserve">Data model</w:t>
      </w:r>
    </w:p>
    <w:p>
      <w:pPr>
        <w:pStyle w:val="Normal"/>
      </w:pPr>
      <w:r>
        <w:t xml:space="preserve">Source: </w:t>
      </w:r>
      <w:r>
        <w:rPr>
          <w:i/>
        </w:rPr>
        <w:t xml:space="preserve">Billing System — Core Database Schema v2</w:t>
      </w:r>
      <w:r>
        <w:t xml:space="preserve"> (PostgreSQL, September 2026). Twenty-two tables: seventeen core tables that hold the business records and five relation tables that connect them. User access is a role plus a list of practices.</w:t>
      </w:r>
    </w:p>
    <w:p>
      <w:pPr>
        <w:pStyle w:val="Heading2"/>
      </w:pPr>
      <w:r>
        <w:rPr>
          <w:color w:val="B68235"/>
        </w:rPr>
        <w:t xml:space="preserve">10.1</w:t>
      </w:r>
      <w:r>
        <w:t xml:space="preserve">Overview</w:t>
      </w:r>
    </w:p>
    <w:p>
      <w:pPr>
        <w:pStyle w:val="Normal"/>
      </w:pPr>
      <w:r>
        <w:t xml:space="preserve">Every table sits in one of four groups. </w:t>
      </w:r>
      <w:r>
        <w:rPr>
          <w:b/>
        </w:rPr>
        <w:t xml:space="preserve">Organization and users:</w:t>
      </w:r>
      <w:r>
        <w:t xml:space="preserve"> who owns the data and who may see it. </w:t>
      </w:r>
      <w:r>
        <w:rPr>
          <w:b/>
        </w:rPr>
        <w:t xml:space="preserve">Setup:</w:t>
      </w:r>
      <w:r>
        <w:t xml:space="preserve"> the practice's reference lists (providers, insurances, procedure codes, referring physicians). </w:t>
      </w:r>
      <w:r>
        <w:rPr>
          <w:b/>
        </w:rPr>
        <w:t xml:space="preserve">Patient:</w:t>
      </w:r>
      <w:r>
        <w:t xml:space="preserve"> the patient, their cases, diagnoses, coverage and authorizations. </w:t>
      </w:r>
      <w:r>
        <w:rPr>
          <w:b/>
        </w:rPr>
        <w:t xml:space="preserve">Billing:</w:t>
      </w:r>
      <w:r>
        <w:t xml:space="preserve"> what happened at each visit, what was billed, paid and denied.</w:t>
      </w:r>
    </w:p>
    <w:p>
      <w:pPr>
        <w:pStyle w:val="Normal"/>
      </w:pPr>
      <w:r>
        <w:t xml:space="preserve">Common to every table and not repeated below: an identity primary key </w:t>
      </w:r>
      <w:r>
        <w:rPr>
          <w:rFonts w:ascii="Consolas" w:hAnsi="Consolas" w:cs="Consolas"/>
          <w:sz w:val="19"/>
          <w:szCs w:val="19"/>
        </w:rPr>
        <w:t xml:space="preserve">&lt;table&gt;_id</w:t>
      </w:r>
      <w:r>
        <w:t xml:space="preserve">, plus </w:t>
      </w:r>
      <w:r>
        <w:rPr>
          <w:rFonts w:ascii="Consolas" w:hAnsi="Consolas" w:cs="Consolas"/>
          <w:sz w:val="19"/>
          <w:szCs w:val="19"/>
        </w:rPr>
        <w:t xml:space="preserve">created_at, created_by, updated_at, updated_by</w:t>
      </w:r>
      <w:r>
        <w:t xml:space="preserv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546"/>
        <w:gridCol w:w="4308"/>
        <w:gridCol w:w="2938"/>
      </w:tblGrid>
      <w:tr>
        <w:trPr>
          <w:tblHeader/>
          <w:cantSplit/>
        </w:trPr>
        <w:tc>
          <w:tcPr>
            <w:tcW w:w="2546" w:type="dxa"/>
            <w:tcBorders>
              <w:bottom w:val="single" w:sz="6" w:color="201F1D"/>
            </w:tcBorders>
          </w:tcPr>
          <w:p>
            <w:pPr>
              <w:pStyle w:val="TableText"/>
            </w:pPr>
            <w:r>
              <w:rPr>
                <w:caps/>
                <w:color w:val="605D5D"/>
                <w:sz w:val="15"/>
                <w:szCs w:val="15"/>
              </w:rPr>
              <w:t xml:space="preserve">Group</w:t>
            </w:r>
          </w:p>
        </w:tc>
        <w:tc>
          <w:tcPr>
            <w:tcW w:w="4308" w:type="dxa"/>
            <w:tcBorders>
              <w:bottom w:val="single" w:sz="6" w:color="201F1D"/>
            </w:tcBorders>
          </w:tcPr>
          <w:p>
            <w:pPr>
              <w:pStyle w:val="TableText"/>
            </w:pPr>
            <w:r>
              <w:rPr>
                <w:caps/>
                <w:color w:val="605D5D"/>
                <w:sz w:val="15"/>
                <w:szCs w:val="15"/>
              </w:rPr>
              <w:t xml:space="preserve">Core tables</w:t>
            </w:r>
          </w:p>
        </w:tc>
        <w:tc>
          <w:tcPr>
            <w:tcW w:w="2938" w:type="dxa"/>
            <w:tcBorders>
              <w:bottom w:val="single" w:sz="6" w:color="201F1D"/>
            </w:tcBorders>
          </w:tcPr>
          <w:p>
            <w:pPr>
              <w:pStyle w:val="TableText"/>
            </w:pPr>
            <w:r>
              <w:rPr>
                <w:caps/>
                <w:color w:val="605D5D"/>
                <w:sz w:val="15"/>
                <w:szCs w:val="15"/>
              </w:rPr>
              <w:t xml:space="preserve">Relation tables</w:t>
            </w:r>
          </w:p>
        </w:tc>
      </w:tr>
      <w:tr>
        <w:trPr>
          <w:cantSplit/>
        </w:trPr>
        <w:tc>
          <w:tcPr>
            <w:tcW w:w="2546" w:type="dxa"/>
          </w:tcPr>
          <w:p>
            <w:pPr>
              <w:pStyle w:val="TableText"/>
            </w:pPr>
            <w:r>
              <w:rPr>
                <w:sz w:val="19"/>
                <w:szCs w:val="19"/>
              </w:rPr>
              <w:t xml:space="preserve">Organization and users</w:t>
            </w:r>
          </w:p>
        </w:tc>
        <w:tc>
          <w:tcPr>
            <w:tcW w:w="4308" w:type="dxa"/>
          </w:tcPr>
          <w:p>
            <w:pPr>
              <w:pStyle w:val="TableText"/>
            </w:pPr>
            <w:r>
              <w:rPr>
                <w:sz w:val="19"/>
                <w:szCs w:val="19"/>
              </w:rPr>
              <w:t xml:space="preserve">company, practice, location, app_user, role</w:t>
            </w:r>
          </w:p>
        </w:tc>
        <w:tc>
          <w:tcPr>
            <w:tcW w:w="2938" w:type="dxa"/>
          </w:tcPr>
          <w:p>
            <w:pPr>
              <w:pStyle w:val="TableText"/>
            </w:pPr>
            <w:r>
              <w:rPr>
                <w:sz w:val="19"/>
                <w:szCs w:val="19"/>
              </w:rPr>
              <w:t xml:space="preserve">user_practice, user_role</w:t>
            </w:r>
          </w:p>
        </w:tc>
      </w:tr>
      <w:tr>
        <w:trPr>
          <w:cantSplit/>
        </w:trPr>
        <w:tc>
          <w:tcPr>
            <w:tcW w:w="2546" w:type="dxa"/>
          </w:tcPr>
          <w:p>
            <w:pPr>
              <w:pStyle w:val="TableText"/>
            </w:pPr>
            <w:r>
              <w:rPr>
                <w:sz w:val="19"/>
                <w:szCs w:val="19"/>
              </w:rPr>
              <w:t xml:space="preserve">Setup</w:t>
            </w:r>
          </w:p>
        </w:tc>
        <w:tc>
          <w:tcPr>
            <w:tcW w:w="4308" w:type="dxa"/>
          </w:tcPr>
          <w:p>
            <w:pPr>
              <w:pStyle w:val="TableText"/>
            </w:pPr>
            <w:r>
              <w:rPr>
                <w:sz w:val="19"/>
                <w:szCs w:val="19"/>
              </w:rPr>
              <w:t xml:space="preserve">provider, insurance, procedure_code, referring_physician</w:t>
            </w:r>
          </w:p>
        </w:tc>
        <w:tc>
          <w:tcPr>
            <w:tcW w:w="2938" w:type="dxa"/>
          </w:tcPr>
          <w:p>
            <w:pPr>
              <w:pStyle w:val="TableText"/>
            </w:pPr>
            <w:r>
              <w:rPr>
                <w:sz w:val="19"/>
                <w:szCs w:val="19"/>
              </w:rPr>
              <w:t xml:space="preserve">fee_schedule</w:t>
            </w:r>
          </w:p>
        </w:tc>
      </w:tr>
      <w:tr>
        <w:trPr>
          <w:cantSplit/>
        </w:trPr>
        <w:tc>
          <w:tcPr>
            <w:tcW w:w="2546" w:type="dxa"/>
          </w:tcPr>
          <w:p>
            <w:pPr>
              <w:pStyle w:val="TableText"/>
            </w:pPr>
            <w:r>
              <w:rPr>
                <w:sz w:val="19"/>
                <w:szCs w:val="19"/>
              </w:rPr>
              <w:t xml:space="preserve">Patient</w:t>
            </w:r>
          </w:p>
        </w:tc>
        <w:tc>
          <w:tcPr>
            <w:tcW w:w="4308" w:type="dxa"/>
          </w:tcPr>
          <w:p>
            <w:pPr>
              <w:pStyle w:val="TableText"/>
            </w:pPr>
            <w:r>
              <w:rPr>
                <w:sz w:val="19"/>
                <w:szCs w:val="19"/>
              </w:rPr>
              <w:t xml:space="preserve">patient, patient_case, authorization</w:t>
            </w:r>
          </w:p>
        </w:tc>
        <w:tc>
          <w:tcPr>
            <w:tcW w:w="2938" w:type="dxa"/>
          </w:tcPr>
          <w:p>
            <w:pPr>
              <w:pStyle w:val="TableText"/>
            </w:pPr>
            <w:r>
              <w:rPr>
                <w:sz w:val="19"/>
                <w:szCs w:val="19"/>
              </w:rPr>
              <w:t xml:space="preserve">case_diagnosis, case_insurance</w:t>
            </w:r>
          </w:p>
        </w:tc>
      </w:tr>
      <w:tr>
        <w:trPr>
          <w:cantSplit/>
        </w:trPr>
        <w:tc>
          <w:tcPr>
            <w:tcW w:w="2546" w:type="dxa"/>
          </w:tcPr>
          <w:p>
            <w:pPr>
              <w:pStyle w:val="TableText"/>
            </w:pPr>
            <w:r>
              <w:rPr>
                <w:sz w:val="19"/>
                <w:szCs w:val="19"/>
              </w:rPr>
              <w:t xml:space="preserve">Billing</w:t>
            </w:r>
          </w:p>
        </w:tc>
        <w:tc>
          <w:tcPr>
            <w:tcW w:w="4308" w:type="dxa"/>
          </w:tcPr>
          <w:p>
            <w:pPr>
              <w:pStyle w:val="TableText"/>
            </w:pPr>
            <w:r>
              <w:rPr>
                <w:sz w:val="19"/>
                <w:szCs w:val="19"/>
              </w:rPr>
              <w:t xml:space="preserve">visit, charge_line, claim, payment, denial</w:t>
            </w:r>
          </w:p>
        </w:tc>
        <w:tc>
          <w:tcPr>
            <w:tcW w:w="2938" w:type="dxa"/>
          </w:tcPr>
          <w:p>
            <w:pPr>
              <w:pStyle w:val="TableText"/>
            </w:pPr>
            <w:r>
              <w:rPr>
                <w:sz w:val="19"/>
                <w:szCs w:val="19"/>
              </w:rPr>
              <w:t xml:space="preserve">—</w:t>
            </w:r>
          </w:p>
        </w:tc>
      </w:tr>
    </w:tbl>
    <w:p>
      <w:pPr>
        <w:pStyle w:val="Spacer"/>
      </w:pPr>
    </w:p>
    <w:p>
      <w:pPr>
        <w:pStyle w:val="Heading2"/>
      </w:pPr>
      <w:r>
        <w:rPr>
          <w:color w:val="B68235"/>
        </w:rPr>
        <w:t xml:space="preserve">10.2</w:t>
      </w:r>
      <w:r>
        <w:t xml:space="preserve">Organization and users</w:t>
      </w:r>
    </w:p>
    <w:p>
      <w:pPr>
        <w:pStyle w:val="TableName"/>
      </w:pPr>
      <w:r>
        <w:rPr>
          <w:rFonts w:ascii="Consolas" w:hAnsi="Consolas" w:cs="Consolas"/>
          <w:b/>
          <w:sz w:val="24"/>
          <w:szCs w:val="24"/>
        </w:rPr>
        <w:t xml:space="preserve">company</w:t>
      </w:r>
      <w:r>
        <w:rPr>
          <w:color w:val="B68235"/>
          <w:sz w:val="15"/>
          <w:szCs w:val="15"/>
        </w:rPr>
        <w:t xml:space="preserve">   CORE</w:t>
      </w:r>
    </w:p>
    <w:p>
      <w:pPr>
        <w:pStyle w:val="Normal"/>
      </w:pPr>
      <w:r>
        <w:t xml:space="preserve">The parent company that owns one or more practices. Exists only so reports can be run across all practices of one owner; it holds no billing data itself.</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Software Only</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practice</w:t>
      </w:r>
      <w:r>
        <w:rPr>
          <w:color w:val="B68235"/>
          <w:sz w:val="15"/>
          <w:szCs w:val="15"/>
        </w:rPr>
        <w:t xml:space="preserve">   CORE</w:t>
      </w:r>
    </w:p>
    <w:p>
      <w:pPr>
        <w:pStyle w:val="Normal"/>
      </w:pPr>
      <w:r>
        <w:t xml:space="preserve">One billing entity (shown as “Company” in the application, top-right of every screen). All patients, providers, insurances and charges belong to exactly one practice; users are granted access practice by practice. Holds the billing constants (NPI, Tax ID, pay-to address) that go on every claim.</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company_id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company</w:t>
            </w:r>
          </w:p>
        </w:tc>
        <w:tc>
          <w:tcPr>
            <w:tcW w:w="3721" w:type="dxa"/>
          </w:tcPr>
          <w:p>
            <w:pPr>
              <w:pStyle w:val="TableText"/>
            </w:pPr>
            <w:r>
              <w:rPr>
                <w:sz w:val="18"/>
                <w:szCs w:val="18"/>
              </w:rPr>
              <w:t xml:space="preserve">Optional owner.</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PV4</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Physical Therapy of The City</w:t>
            </w:r>
          </w:p>
        </w:tc>
      </w:tr>
      <w:tr>
        <w:trPr>
          <w:cantSplit/>
        </w:trPr>
        <w:tc>
          <w:tcPr>
            <w:tcW w:w="2742" w:type="dxa"/>
          </w:tcPr>
          <w:p>
            <w:pPr>
              <w:pStyle w:val="TableText"/>
            </w:pPr>
            <w:r>
              <w:rPr>
                <w:rFonts w:ascii="Consolas" w:hAnsi="Consolas" w:cs="Consolas"/>
                <w:sz w:val="18"/>
                <w:szCs w:val="18"/>
              </w:rPr>
              <w:t xml:space="preserve">npi, tax_id</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Billing constants.</w:t>
            </w:r>
          </w:p>
        </w:tc>
      </w:tr>
      <w:tr>
        <w:trPr>
          <w:cantSplit/>
        </w:trPr>
        <w:tc>
          <w:tcPr>
            <w:tcW w:w="2742" w:type="dxa"/>
          </w:tcPr>
          <w:p>
            <w:pPr>
              <w:pStyle w:val="TableText"/>
            </w:pPr>
            <w:r>
              <w:rPr>
                <w:rFonts w:ascii="Consolas" w:hAnsi="Consolas" w:cs="Consolas"/>
                <w:sz w:val="18"/>
                <w:szCs w:val="18"/>
              </w:rPr>
              <w:t xml:space="preserve">address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Pay-to address: line1, line2, city, state, zip.</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location</w:t>
      </w:r>
      <w:r>
        <w:rPr>
          <w:color w:val="B68235"/>
          <w:sz w:val="15"/>
          <w:szCs w:val="15"/>
        </w:rPr>
        <w:t xml:space="preserve">   CORE</w:t>
      </w:r>
    </w:p>
    <w:p>
      <w:pPr>
        <w:pStyle w:val="Normal"/>
      </w:pPr>
      <w:r>
        <w:t xml:space="preserve">A physical clinic of a practice where patients are treated. Supplies the service address, location NPI and place-of-service code that appear on claims. A practice has at least one location.</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BR003</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Bay Ridge</w:t>
            </w:r>
          </w:p>
        </w:tc>
      </w:tr>
      <w:tr>
        <w:trPr>
          <w:cantSplit/>
        </w:trPr>
        <w:tc>
          <w:tcPr>
            <w:tcW w:w="2742" w:type="dxa"/>
          </w:tcPr>
          <w:p>
            <w:pPr>
              <w:pStyle w:val="TableText"/>
            </w:pPr>
            <w:r>
              <w:rPr>
                <w:rFonts w:ascii="Consolas" w:hAnsi="Consolas" w:cs="Consolas"/>
                <w:sz w:val="18"/>
                <w:szCs w:val="18"/>
              </w:rPr>
              <w:t xml:space="preserve">npi</w:t>
            </w:r>
          </w:p>
        </w:tc>
        <w:tc>
          <w:tcPr>
            <w:tcW w:w="1371" w:type="dxa"/>
          </w:tcPr>
          <w:p>
            <w:pPr>
              <w:pStyle w:val="TableText"/>
            </w:pPr>
            <w:r>
              <w:rPr>
                <w:sz w:val="18"/>
                <w:szCs w:val="18"/>
              </w:rPr>
              <w:t xml:space="preserve">char(10)</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address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Service address.</w:t>
            </w:r>
          </w:p>
        </w:tc>
      </w:tr>
      <w:tr>
        <w:trPr>
          <w:cantSplit/>
        </w:trPr>
        <w:tc>
          <w:tcPr>
            <w:tcW w:w="2742" w:type="dxa"/>
          </w:tcPr>
          <w:p>
            <w:pPr>
              <w:pStyle w:val="TableText"/>
            </w:pPr>
            <w:r>
              <w:rPr>
                <w:rFonts w:ascii="Consolas" w:hAnsi="Consolas" w:cs="Consolas"/>
                <w:sz w:val="18"/>
                <w:szCs w:val="18"/>
              </w:rPr>
              <w:t xml:space="preserve">place_of_service</w:t>
            </w:r>
          </w:p>
        </w:tc>
        <w:tc>
          <w:tcPr>
            <w:tcW w:w="1371" w:type="dxa"/>
          </w:tcPr>
          <w:p>
            <w:pPr>
              <w:pStyle w:val="TableText"/>
            </w:pPr>
            <w:r>
              <w:rPr>
                <w:sz w:val="18"/>
                <w:szCs w:val="18"/>
              </w:rPr>
              <w:t xml:space="preserve">char(2)</w:t>
            </w:r>
          </w:p>
        </w:tc>
        <w:tc>
          <w:tcPr>
            <w:tcW w:w="1958" w:type="dxa"/>
          </w:tcPr>
          <w:p>
            <w:pPr>
              <w:pStyle w:val="TableText"/>
            </w:pPr>
            <w:r>
              <w:t/>
            </w:r>
          </w:p>
        </w:tc>
        <w:tc>
          <w:tcPr>
            <w:tcW w:w="3721" w:type="dxa"/>
          </w:tcPr>
          <w:p>
            <w:pPr>
              <w:pStyle w:val="TableText"/>
            </w:pPr>
            <w:r>
              <w:rPr>
                <w:sz w:val="18"/>
                <w:szCs w:val="18"/>
              </w:rPr>
              <w:t xml:space="preserve">Default 11 Office.</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app_user</w:t>
      </w:r>
      <w:r>
        <w:rPr>
          <w:color w:val="B68235"/>
          <w:sz w:val="15"/>
          <w:szCs w:val="15"/>
        </w:rPr>
        <w:t xml:space="preserve">   CORE</w:t>
      </w:r>
    </w:p>
    <w:p>
      <w:pPr>
        <w:pStyle w:val="Normal"/>
      </w:pPr>
      <w:r>
        <w:t xml:space="preserve">A person or system account that logs in. Which screens they may use comes from their role; which practices they may see comes from user_practice. Service accounts (EMR import, data conversion) are rows here too, so every record has an author.</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username</w:t>
            </w:r>
          </w:p>
        </w:tc>
        <w:tc>
          <w:tcPr>
            <w:tcW w:w="1371" w:type="dxa"/>
          </w:tcPr>
          <w:p>
            <w:pPr>
              <w:pStyle w:val="TableText"/>
            </w:pPr>
            <w:r>
              <w:rPr>
                <w:sz w:val="18"/>
                <w:szCs w:val="18"/>
              </w:rPr>
              <w:t xml:space="preserve">citext</w:t>
            </w:r>
          </w:p>
        </w:tc>
        <w:tc>
          <w:tcPr>
            <w:tcW w:w="1958" w:type="dxa"/>
          </w:tcPr>
          <w:p>
            <w:pPr>
              <w:pStyle w:val="TableText"/>
            </w:pPr>
            <w:r>
              <w:rPr>
                <w:sz w:val="18"/>
                <w:szCs w:val="18"/>
              </w:rPr>
              <w:t xml:space="preserve">UQ</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display_name, email</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is_service_account</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Cannot log in interactively.</w:t>
            </w:r>
          </w:p>
        </w:tc>
      </w:tr>
      <w:tr>
        <w:trPr>
          <w:cantSplit/>
        </w:trPr>
        <w:tc>
          <w:tcPr>
            <w:tcW w:w="2742" w:type="dxa"/>
          </w:tcPr>
          <w:p>
            <w:pPr>
              <w:pStyle w:val="TableText"/>
            </w:pPr>
            <w:r>
              <w:rPr>
                <w:rFonts w:ascii="Consolas" w:hAnsi="Consolas" w:cs="Consolas"/>
                <w:sz w:val="18"/>
                <w:szCs w:val="18"/>
              </w:rPr>
              <w:t xml:space="preserve">default_practice_id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rPr>
                <w:sz w:val="18"/>
                <w:szCs w:val="18"/>
              </w:rPr>
              <w:t xml:space="preserve">Selected at login.</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role</w:t>
      </w:r>
      <w:r>
        <w:rPr>
          <w:color w:val="B68235"/>
          <w:sz w:val="15"/>
          <w:szCs w:val="15"/>
        </w:rPr>
        <w:t xml:space="preserve">   CORE</w:t>
      </w:r>
    </w:p>
    <w:p>
      <w:pPr>
        <w:pStyle w:val="Normal"/>
      </w:pPr>
      <w:r>
        <w:t xml:space="preserve">A named set of permissions. Permissions are stored as one JSON object per role, keyed by module, with create / read / update / delete flags, so adding a role or changing a permission is a data change, not a schema change. Two roles are seeded: System Admin (all modules, all flags, every practice) and Practice Admin (see §10.6).</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SYSTEM_ADMIN, PRACTICE_ADMIN</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is_global</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True = sees every practice, ignores user_practice.</w:t>
            </w:r>
          </w:p>
        </w:tc>
      </w:tr>
      <w:tr>
        <w:trPr>
          <w:cantSplit/>
        </w:trPr>
        <w:tc>
          <w:tcPr>
            <w:tcW w:w="2742" w:type="dxa"/>
          </w:tcPr>
          <w:p>
            <w:pPr>
              <w:pStyle w:val="TableText"/>
            </w:pPr>
            <w:r>
              <w:rPr>
                <w:rFonts w:ascii="Consolas" w:hAnsi="Consolas" w:cs="Consolas"/>
                <w:sz w:val="18"/>
                <w:szCs w:val="18"/>
              </w:rPr>
              <w:t xml:space="preserve">permissions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rFonts w:ascii="Consolas" w:hAnsi="Consolas" w:cs="Consolas"/>
                <w:sz w:val="18"/>
                <w:szCs w:val="18"/>
              </w:rPr>
              <w:t xml:space="preserve">{"PATIENT": {"c":true,"r":true,"u":true,"d":false}, …}</w:t>
            </w:r>
            <w:r>
              <w:rPr>
                <w:sz w:val="18"/>
                <w:szCs w:val="18"/>
              </w:rPr>
              <w:t xml:space="preserve"> per module.</w:t>
            </w:r>
          </w:p>
        </w:tc>
      </w:tr>
    </w:tbl>
    <w:p>
      <w:pPr>
        <w:pStyle w:val="Spacer"/>
      </w:pPr>
    </w:p>
    <w:p>
      <w:pPr>
        <w:pStyle w:val="TableName"/>
      </w:pPr>
      <w:r>
        <w:rPr>
          <w:rFonts w:ascii="Consolas" w:hAnsi="Consolas" w:cs="Consolas"/>
          <w:b/>
          <w:sz w:val="24"/>
          <w:szCs w:val="24"/>
        </w:rPr>
        <w:t xml:space="preserve">user_practice</w:t>
      </w:r>
      <w:r>
        <w:rPr>
          <w:color w:val="B68235"/>
          <w:sz w:val="15"/>
          <w:szCs w:val="15"/>
        </w:rPr>
        <w:t xml:space="preserve">   RELATION</w:t>
      </w:r>
    </w:p>
    <w:p>
      <w:pPr>
        <w:pStyle w:val="Normal"/>
      </w:pPr>
      <w:r>
        <w:t xml:space="preserve">Links a user to each practice they may work in; these are the practices in their practice switcher. Optionally narrows the grant to some of the practice's locations.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user_id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app_user</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location_ids</w:t>
            </w:r>
          </w:p>
        </w:tc>
        <w:tc>
          <w:tcPr>
            <w:tcW w:w="1371" w:type="dxa"/>
          </w:tcPr>
          <w:p>
            <w:pPr>
              <w:pStyle w:val="TableText"/>
            </w:pPr>
            <w:r>
              <w:rPr>
                <w:sz w:val="18"/>
                <w:szCs w:val="18"/>
              </w:rPr>
              <w:t xml:space="preserve">bigint[]</w:t>
            </w:r>
          </w:p>
        </w:tc>
        <w:tc>
          <w:tcPr>
            <w:tcW w:w="1958" w:type="dxa"/>
          </w:tcPr>
          <w:p>
            <w:pPr>
              <w:pStyle w:val="TableText"/>
            </w:pPr>
            <w:r>
              <w:t/>
            </w:r>
          </w:p>
        </w:tc>
        <w:tc>
          <w:tcPr>
            <w:tcW w:w="3721" w:type="dxa"/>
          </w:tcPr>
          <w:p>
            <w:pPr>
              <w:pStyle w:val="TableText"/>
            </w:pPr>
            <w:r>
              <w:rPr>
                <w:sz w:val="18"/>
                <w:szCs w:val="18"/>
              </w:rPr>
              <w:t xml:space="preserve">Empty = all locations of the practice.</w:t>
            </w:r>
          </w:p>
        </w:tc>
      </w:tr>
    </w:tbl>
    <w:p>
      <w:pPr>
        <w:pStyle w:val="Spacer"/>
      </w:pPr>
    </w:p>
    <w:p>
      <w:pPr>
        <w:pStyle w:val="TableName"/>
      </w:pPr>
      <w:r>
        <w:rPr>
          <w:rFonts w:ascii="Consolas" w:hAnsi="Consolas" w:cs="Consolas"/>
          <w:b/>
          <w:sz w:val="24"/>
          <w:szCs w:val="24"/>
        </w:rPr>
        <w:t xml:space="preserve">user_role</w:t>
      </w:r>
      <w:r>
        <w:rPr>
          <w:color w:val="B68235"/>
          <w:sz w:val="15"/>
          <w:szCs w:val="15"/>
        </w:rPr>
        <w:t xml:space="preserve">   RELATION</w:t>
      </w:r>
    </w:p>
    <w:p>
      <w:pPr>
        <w:pStyle w:val="Normal"/>
      </w:pPr>
      <w:r>
        <w:t xml:space="preserve">Assigns roles to users. A user with several roles gets the union of their permissions.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user_id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app_user</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role_id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role</w:t>
            </w:r>
          </w:p>
        </w:tc>
        <w:tc>
          <w:tcPr>
            <w:tcW w:w="3721" w:type="dxa"/>
          </w:tcPr>
          <w:p>
            <w:pPr>
              <w:pStyle w:val="TableText"/>
            </w:pPr>
            <w:r>
              <w:t/>
            </w:r>
          </w:p>
        </w:tc>
      </w:tr>
    </w:tbl>
    <w:p>
      <w:pPr>
        <w:pStyle w:val="Spacer"/>
      </w:pPr>
    </w:p>
    <w:p>
      <w:pPr>
        <w:pStyle w:val="Heading2"/>
      </w:pPr>
      <w:r>
        <w:rPr>
          <w:color w:val="B68235"/>
        </w:rPr>
        <w:t xml:space="preserve">10.3</w:t>
      </w:r>
      <w:r>
        <w:t xml:space="preserve">Setup</w:t>
      </w:r>
    </w:p>
    <w:p>
      <w:pPr>
        <w:pStyle w:val="TableName"/>
      </w:pPr>
      <w:r>
        <w:rPr>
          <w:rFonts w:ascii="Consolas" w:hAnsi="Consolas" w:cs="Consolas"/>
          <w:b/>
          <w:sz w:val="24"/>
          <w:szCs w:val="24"/>
        </w:rPr>
        <w:t xml:space="preserve">provider</w:t>
      </w:r>
      <w:r>
        <w:rPr>
          <w:color w:val="B68235"/>
          <w:sz w:val="15"/>
          <w:szCs w:val="15"/>
        </w:rPr>
        <w:t xml:space="preserve">   CORE</w:t>
      </w:r>
    </w:p>
    <w:p>
      <w:pPr>
        <w:pStyle w:val="Normal"/>
      </w:pPr>
      <w:r>
        <w:t xml:space="preserve">A clinician who bills or treats: name, credentials, NPI, specialty. Assigned to cases and visits so claims carry the right billing and rendering provider. A provider can be put on claim hold (for example while credentialing is pending); while the hold is active, that provider's visits wait in the Delayed queue instead of going out on claims.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297</w:t>
            </w:r>
          </w:p>
        </w:tc>
      </w:tr>
      <w:tr>
        <w:trPr>
          <w:cantSplit/>
        </w:trPr>
        <w:tc>
          <w:tcPr>
            <w:tcW w:w="2742" w:type="dxa"/>
          </w:tcPr>
          <w:p>
            <w:pPr>
              <w:pStyle w:val="TableText"/>
            </w:pPr>
            <w:r>
              <w:rPr>
                <w:rFonts w:ascii="Consolas" w:hAnsi="Consolas" w:cs="Consolas"/>
                <w:sz w:val="18"/>
                <w:szCs w:val="18"/>
              </w:rPr>
              <w:t xml:space="preserve">first_name, last_name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Mina Shehata</w:t>
            </w:r>
          </w:p>
        </w:tc>
      </w:tr>
      <w:tr>
        <w:trPr>
          <w:cantSplit/>
        </w:trPr>
        <w:tc>
          <w:tcPr>
            <w:tcW w:w="2742" w:type="dxa"/>
          </w:tcPr>
          <w:p>
            <w:pPr>
              <w:pStyle w:val="TableText"/>
            </w:pPr>
            <w:r>
              <w:rPr>
                <w:rFonts w:ascii="Consolas" w:hAnsi="Consolas" w:cs="Consolas"/>
                <w:sz w:val="18"/>
                <w:szCs w:val="18"/>
              </w:rPr>
              <w:t xml:space="preserve">credential</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PT</w:t>
            </w:r>
          </w:p>
        </w:tc>
      </w:tr>
      <w:tr>
        <w:trPr>
          <w:cantSplit/>
        </w:trPr>
        <w:tc>
          <w:tcPr>
            <w:tcW w:w="2742" w:type="dxa"/>
          </w:tcPr>
          <w:p>
            <w:pPr>
              <w:pStyle w:val="TableText"/>
            </w:pPr>
            <w:r>
              <w:rPr>
                <w:rFonts w:ascii="Consolas" w:hAnsi="Consolas" w:cs="Consolas"/>
                <w:sz w:val="18"/>
                <w:szCs w:val="18"/>
              </w:rPr>
              <w:t xml:space="preserve">specialty</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PHYSICAL THERAPIST</w:t>
            </w:r>
          </w:p>
        </w:tc>
      </w:tr>
      <w:tr>
        <w:trPr>
          <w:cantSplit/>
        </w:trPr>
        <w:tc>
          <w:tcPr>
            <w:tcW w:w="2742" w:type="dxa"/>
          </w:tcPr>
          <w:p>
            <w:pPr>
              <w:pStyle w:val="TableText"/>
            </w:pPr>
            <w:r>
              <w:rPr>
                <w:rFonts w:ascii="Consolas" w:hAnsi="Consolas" w:cs="Consolas"/>
                <w:sz w:val="18"/>
                <w:szCs w:val="18"/>
              </w:rPr>
              <w:t xml:space="preserve">npi</w:t>
            </w:r>
          </w:p>
        </w:tc>
        <w:tc>
          <w:tcPr>
            <w:tcW w:w="1371" w:type="dxa"/>
          </w:tcPr>
          <w:p>
            <w:pPr>
              <w:pStyle w:val="TableText"/>
            </w:pPr>
            <w:r>
              <w:rPr>
                <w:sz w:val="18"/>
                <w:szCs w:val="18"/>
              </w:rPr>
              <w:t xml:space="preserve">char(10)</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taxonomy_code, state_license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claim_hold_until</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Null = no hold. Visits before this date are delayed.</w:t>
            </w:r>
          </w:p>
        </w:tc>
      </w:tr>
      <w:tr>
        <w:trPr>
          <w:cantSplit/>
        </w:trPr>
        <w:tc>
          <w:tcPr>
            <w:tcW w:w="2742" w:type="dxa"/>
          </w:tcPr>
          <w:p>
            <w:pPr>
              <w:pStyle w:val="TableText"/>
            </w:pPr>
            <w:r>
              <w:rPr>
                <w:rFonts w:ascii="Consolas" w:hAnsi="Consolas" w:cs="Consolas"/>
                <w:sz w:val="18"/>
                <w:szCs w:val="18"/>
              </w:rPr>
              <w:t xml:space="preserve">claim_hold_reason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Pending Provider Credentialing</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insurance</w:t>
      </w:r>
      <w:r>
        <w:rPr>
          <w:color w:val="B68235"/>
          <w:sz w:val="15"/>
          <w:szCs w:val="15"/>
        </w:rPr>
        <w:t xml:space="preserve">   CORE</w:t>
      </w:r>
    </w:p>
    <w:p>
      <w:pPr>
        <w:pStyle w:val="Normal"/>
      </w:pPr>
      <w:r>
        <w:t xml:space="preserve">A payer as the practice bills it: name, class (Medicare, Blue Shield, Workers' Comp, Auto…), clearinghouse payer ID, mailing address and the billing rules that change how claims are built: whether authorization is required, whether an injury date is required, which ICD version, whether specialty modifiers are added. Payer portal credentials live here, encrypted.</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integer</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1039; shown as “1039 – Corvel Enterprise”.</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class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AUTO INSURANCE, Worker's Comp, BLUE SHIELD</w:t>
            </w:r>
          </w:p>
        </w:tc>
      </w:tr>
      <w:tr>
        <w:trPr>
          <w:cantSplit/>
        </w:trPr>
        <w:tc>
          <w:tcPr>
            <w:tcW w:w="2742" w:type="dxa"/>
          </w:tcPr>
          <w:p>
            <w:pPr>
              <w:pStyle w:val="TableText"/>
            </w:pPr>
            <w:r>
              <w:rPr>
                <w:rFonts w:ascii="Consolas" w:hAnsi="Consolas" w:cs="Consolas"/>
                <w:sz w:val="18"/>
                <w:szCs w:val="18"/>
              </w:rPr>
              <w:t xml:space="preserve">insurance_type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Claim filing indicator: Medicare, Commercial, WC…</w:t>
            </w:r>
          </w:p>
        </w:tc>
      </w:tr>
      <w:tr>
        <w:trPr>
          <w:cantSplit/>
        </w:trPr>
        <w:tc>
          <w:tcPr>
            <w:tcW w:w="2742" w:type="dxa"/>
          </w:tcPr>
          <w:p>
            <w:pPr>
              <w:pStyle w:val="TableText"/>
            </w:pPr>
            <w:r>
              <w:rPr>
                <w:rFonts w:ascii="Consolas" w:hAnsi="Consolas" w:cs="Consolas"/>
                <w:sz w:val="18"/>
                <w:szCs w:val="18"/>
              </w:rPr>
              <w:t xml:space="preserve">payer_id</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Clearinghouse routing ID, CORVEL.</w:t>
            </w:r>
          </w:p>
        </w:tc>
      </w:tr>
      <w:tr>
        <w:trPr>
          <w:cantSplit/>
        </w:trPr>
        <w:tc>
          <w:tcPr>
            <w:tcW w:w="2742" w:type="dxa"/>
          </w:tcPr>
          <w:p>
            <w:pPr>
              <w:pStyle w:val="TableText"/>
            </w:pPr>
            <w:r>
              <w:rPr>
                <w:rFonts w:ascii="Consolas" w:hAnsi="Consolas" w:cs="Consolas"/>
                <w:sz w:val="18"/>
                <w:szCs w:val="18"/>
              </w:rPr>
              <w:t xml:space="preserve">address, phone, fax</w:t>
            </w:r>
          </w:p>
        </w:tc>
        <w:tc>
          <w:tcPr>
            <w:tcW w:w="1371" w:type="dxa"/>
          </w:tcPr>
          <w:p>
            <w:pPr>
              <w:pStyle w:val="TableText"/>
            </w:pPr>
            <w:r>
              <w:rPr>
                <w:sz w:val="18"/>
                <w:szCs w:val="18"/>
              </w:rPr>
              <w:t xml:space="preserve">jsonb, text, 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authorization_required, injury_date_required, apply_specialty_modifiers, accept_assignment</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Billing rules.</w:t>
            </w:r>
          </w:p>
        </w:tc>
      </w:tr>
      <w:tr>
        <w:trPr>
          <w:cantSplit/>
        </w:trPr>
        <w:tc>
          <w:tcPr>
            <w:tcW w:w="2742" w:type="dxa"/>
          </w:tcPr>
          <w:p>
            <w:pPr>
              <w:pStyle w:val="TableText"/>
            </w:pPr>
            <w:r>
              <w:rPr>
                <w:rFonts w:ascii="Consolas" w:hAnsi="Consolas" w:cs="Consolas"/>
                <w:sz w:val="18"/>
                <w:szCs w:val="18"/>
              </w:rPr>
              <w:t xml:space="preserve">icd_version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Default ICD10.</w:t>
            </w:r>
          </w:p>
        </w:tc>
      </w:tr>
      <w:tr>
        <w:trPr>
          <w:cantSplit/>
        </w:trPr>
        <w:tc>
          <w:tcPr>
            <w:tcW w:w="2742" w:type="dxa"/>
          </w:tcPr>
          <w:p>
            <w:pPr>
              <w:pStyle w:val="TableText"/>
            </w:pPr>
            <w:r>
              <w:rPr>
                <w:rFonts w:ascii="Consolas" w:hAnsi="Consolas" w:cs="Consolas"/>
                <w:sz w:val="18"/>
                <w:szCs w:val="18"/>
              </w:rPr>
              <w:t xml:space="preserve">portal_url, portal_user, portal_password_enc</w:t>
            </w:r>
          </w:p>
        </w:tc>
        <w:tc>
          <w:tcPr>
            <w:tcW w:w="1371" w:type="dxa"/>
          </w:tcPr>
          <w:p>
            <w:pPr>
              <w:pStyle w:val="TableText"/>
            </w:pPr>
            <w:r>
              <w:rPr>
                <w:sz w:val="18"/>
                <w:szCs w:val="18"/>
              </w:rPr>
              <w:t xml:space="preserve">text, text, bytea</w:t>
            </w:r>
          </w:p>
        </w:tc>
        <w:tc>
          <w:tcPr>
            <w:tcW w:w="1958" w:type="dxa"/>
          </w:tcPr>
          <w:p>
            <w:pPr>
              <w:pStyle w:val="TableText"/>
            </w:pPr>
            <w:r>
              <w:t/>
            </w:r>
          </w:p>
        </w:tc>
        <w:tc>
          <w:tcPr>
            <w:tcW w:w="3721" w:type="dxa"/>
          </w:tcPr>
          <w:p>
            <w:pPr>
              <w:pStyle w:val="TableText"/>
            </w:pPr>
            <w:r>
              <w:rPr>
                <w:sz w:val="18"/>
                <w:szCs w:val="18"/>
              </w:rPr>
              <w:t xml:space="preserve">Encrypted credentials.</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procedure_code</w:t>
      </w:r>
      <w:r>
        <w:rPr>
          <w:color w:val="B68235"/>
          <w:sz w:val="15"/>
          <w:szCs w:val="15"/>
        </w:rPr>
        <w:t xml:space="preserve">   CORE</w:t>
      </w:r>
    </w:p>
    <w:p>
      <w:pPr>
        <w:pStyle w:val="Normal"/>
      </w:pPr>
      <w:r>
        <w:t xml:space="preserve">The CPT / HCPCS codes a practice bills (97110 Therapeutic procedure, 97530…), with a default fee and modifier. Shared reference data, not owned by a practice.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varchar(5)</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97110</w:t>
            </w:r>
          </w:p>
        </w:tc>
      </w:tr>
      <w:tr>
        <w:trPr>
          <w:cantSplit/>
        </w:trPr>
        <w:tc>
          <w:tcPr>
            <w:tcW w:w="2742" w:type="dxa"/>
          </w:tcPr>
          <w:p>
            <w:pPr>
              <w:pStyle w:val="TableText"/>
            </w:pPr>
            <w:r>
              <w:rPr>
                <w:rFonts w:ascii="Consolas" w:hAnsi="Consolas" w:cs="Consolas"/>
                <w:sz w:val="18"/>
                <w:szCs w:val="18"/>
              </w:rPr>
              <w:t xml:space="preserve">description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Therapeutic procedure</w:t>
            </w:r>
          </w:p>
        </w:tc>
      </w:tr>
      <w:tr>
        <w:trPr>
          <w:cantSplit/>
        </w:trPr>
        <w:tc>
          <w:tcPr>
            <w:tcW w:w="2742" w:type="dxa"/>
          </w:tcPr>
          <w:p>
            <w:pPr>
              <w:pStyle w:val="TableText"/>
            </w:pPr>
            <w:r>
              <w:rPr>
                <w:rFonts w:ascii="Consolas" w:hAnsi="Consolas" w:cs="Consolas"/>
                <w:sz w:val="18"/>
                <w:szCs w:val="18"/>
              </w:rPr>
              <w:t xml:space="preserve">is_timed</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Units follow the 8-minute rule.</w:t>
            </w:r>
          </w:p>
        </w:tc>
      </w:tr>
      <w:tr>
        <w:trPr>
          <w:cantSplit/>
        </w:trPr>
        <w:tc>
          <w:tcPr>
            <w:tcW w:w="2742" w:type="dxa"/>
          </w:tcPr>
          <w:p>
            <w:pPr>
              <w:pStyle w:val="TableText"/>
            </w:pPr>
            <w:r>
              <w:rPr>
                <w:rFonts w:ascii="Consolas" w:hAnsi="Consolas" w:cs="Consolas"/>
                <w:sz w:val="18"/>
                <w:szCs w:val="18"/>
              </w:rPr>
              <w:t xml:space="preserve">default_modifier</w:t>
            </w:r>
          </w:p>
        </w:tc>
        <w:tc>
          <w:tcPr>
            <w:tcW w:w="1371" w:type="dxa"/>
          </w:tcPr>
          <w:p>
            <w:pPr>
              <w:pStyle w:val="TableText"/>
            </w:pPr>
            <w:r>
              <w:rPr>
                <w:sz w:val="18"/>
                <w:szCs w:val="18"/>
              </w:rPr>
              <w:t xml:space="preserve">varchar(2)</w:t>
            </w:r>
          </w:p>
        </w:tc>
        <w:tc>
          <w:tcPr>
            <w:tcW w:w="1958" w:type="dxa"/>
          </w:tcPr>
          <w:p>
            <w:pPr>
              <w:pStyle w:val="TableText"/>
            </w:pPr>
            <w:r>
              <w:t/>
            </w:r>
          </w:p>
        </w:tc>
        <w:tc>
          <w:tcPr>
            <w:tcW w:w="3721" w:type="dxa"/>
          </w:tcPr>
          <w:p>
            <w:pPr>
              <w:pStyle w:val="TableText"/>
            </w:pPr>
            <w:r>
              <w:rPr>
                <w:sz w:val="18"/>
                <w:szCs w:val="18"/>
              </w:rPr>
              <w:t xml:space="preserve">GP</w:t>
            </w:r>
          </w:p>
        </w:tc>
      </w:tr>
      <w:tr>
        <w:trPr>
          <w:cantSplit/>
        </w:trPr>
        <w:tc>
          <w:tcPr>
            <w:tcW w:w="2742" w:type="dxa"/>
          </w:tcPr>
          <w:p>
            <w:pPr>
              <w:pStyle w:val="TableText"/>
            </w:pPr>
            <w:r>
              <w:rPr>
                <w:rFonts w:ascii="Consolas" w:hAnsi="Consolas" w:cs="Consolas"/>
                <w:sz w:val="18"/>
                <w:szCs w:val="18"/>
              </w:rPr>
              <w:t xml:space="preserve">default_fee</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Used when no fee_schedule row matches.</w:t>
            </w:r>
          </w:p>
        </w:tc>
      </w:tr>
    </w:tbl>
    <w:p>
      <w:pPr>
        <w:pStyle w:val="Spacer"/>
      </w:pPr>
    </w:p>
    <w:p>
      <w:pPr>
        <w:pStyle w:val="TableName"/>
      </w:pPr>
      <w:r>
        <w:rPr>
          <w:rFonts w:ascii="Consolas" w:hAnsi="Consolas" w:cs="Consolas"/>
          <w:b/>
          <w:sz w:val="24"/>
          <w:szCs w:val="24"/>
        </w:rPr>
        <w:t xml:space="preserve">fee_schedule</w:t>
      </w:r>
      <w:r>
        <w:rPr>
          <w:color w:val="B68235"/>
          <w:sz w:val="15"/>
          <w:szCs w:val="15"/>
        </w:rPr>
        <w:t xml:space="preserve">   RELATION</w:t>
      </w:r>
    </w:p>
    <w:p>
      <w:pPr>
        <w:pStyle w:val="Normal"/>
      </w:pPr>
      <w:r>
        <w:t xml:space="preserve">The contracted price of one procedure code for one insurance. When a charge line is created, its amount is looked up here (97110 × 2 units = $60.00); if no row exists, the code's default fee is used. Replaces the separate contract and contract-rate tables.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insurance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procedure_code_id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procedure_code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billed_amount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Per unit, put on the claim.</w:t>
            </w:r>
          </w:p>
        </w:tc>
      </w:tr>
      <w:tr>
        <w:trPr>
          <w:cantSplit/>
        </w:trPr>
        <w:tc>
          <w:tcPr>
            <w:tcW w:w="2742" w:type="dxa"/>
          </w:tcPr>
          <w:p>
            <w:pPr>
              <w:pStyle w:val="TableText"/>
            </w:pPr>
            <w:r>
              <w:rPr>
                <w:rFonts w:ascii="Consolas" w:hAnsi="Consolas" w:cs="Consolas"/>
                <w:sz w:val="18"/>
                <w:szCs w:val="18"/>
              </w:rPr>
              <w:t xml:space="preserve">allowed_amount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Per unit, expected from the payer.</w:t>
            </w:r>
          </w:p>
        </w:tc>
      </w:tr>
      <w:tr>
        <w:trPr>
          <w:cantSplit/>
        </w:trPr>
        <w:tc>
          <w:tcPr>
            <w:tcW w:w="2742" w:type="dxa"/>
          </w:tcPr>
          <w:p>
            <w:pPr>
              <w:pStyle w:val="TableText"/>
            </w:pPr>
            <w:r>
              <w:rPr>
                <w:rFonts w:ascii="Consolas" w:hAnsi="Consolas" w:cs="Consolas"/>
                <w:sz w:val="18"/>
                <w:szCs w:val="18"/>
              </w:rPr>
              <w:t xml:space="preserve">effective_from, effective_to</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referring_physician</w:t>
      </w:r>
      <w:r>
        <w:rPr>
          <w:color w:val="B68235"/>
          <w:sz w:val="15"/>
          <w:szCs w:val="15"/>
        </w:rPr>
        <w:t xml:space="preserve">   CORE</w:t>
      </w:r>
    </w:p>
    <w:p>
      <w:pPr>
        <w:pStyle w:val="Normal"/>
      </w:pPr>
      <w:r>
        <w:t xml:space="preserve">The doctor who referred the patient. Required on a case for billing because the referring provider's name and NPI go on the claim.</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code</w:t>
            </w:r>
          </w:p>
        </w:tc>
        <w:tc>
          <w:tcPr>
            <w:tcW w:w="1371" w:type="dxa"/>
          </w:tcPr>
          <w:p>
            <w:pPr>
              <w:pStyle w:val="TableText"/>
            </w:pPr>
            <w:r>
              <w:rPr>
                <w:sz w:val="18"/>
                <w:szCs w:val="18"/>
              </w:rPr>
              <w:t xml:space="preserve">text</w:t>
            </w:r>
          </w:p>
        </w:tc>
        <w:tc>
          <w:tcPr>
            <w:tcW w:w="1958" w:type="dxa"/>
          </w:tcPr>
          <w:p>
            <w:pPr>
              <w:pStyle w:val="TableText"/>
            </w:pPr>
            <w:r>
              <w:rPr>
                <w:sz w:val="18"/>
                <w:szCs w:val="18"/>
              </w:rPr>
              <w:t xml:space="preserve">UQ per practice</w:t>
            </w:r>
          </w:p>
        </w:tc>
        <w:tc>
          <w:tcPr>
            <w:tcW w:w="3721" w:type="dxa"/>
          </w:tcPr>
          <w:p>
            <w:pPr>
              <w:pStyle w:val="TableText"/>
            </w:pPr>
            <w:r>
              <w:rPr>
                <w:sz w:val="18"/>
                <w:szCs w:val="18"/>
              </w:rPr>
              <w:t xml:space="preserve">3VY</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Demetrios Mikelis</w:t>
            </w:r>
          </w:p>
        </w:tc>
      </w:tr>
      <w:tr>
        <w:trPr>
          <w:cantSplit/>
        </w:trPr>
        <w:tc>
          <w:tcPr>
            <w:tcW w:w="2742" w:type="dxa"/>
          </w:tcPr>
          <w:p>
            <w:pPr>
              <w:pStyle w:val="TableText"/>
            </w:pPr>
            <w:r>
              <w:rPr>
                <w:rFonts w:ascii="Consolas" w:hAnsi="Consolas" w:cs="Consolas"/>
                <w:sz w:val="18"/>
                <w:szCs w:val="18"/>
              </w:rPr>
              <w:t xml:space="preserve">npi</w:t>
            </w:r>
          </w:p>
        </w:tc>
        <w:tc>
          <w:tcPr>
            <w:tcW w:w="1371" w:type="dxa"/>
          </w:tcPr>
          <w:p>
            <w:pPr>
              <w:pStyle w:val="TableText"/>
            </w:pPr>
            <w:r>
              <w:rPr>
                <w:sz w:val="18"/>
                <w:szCs w:val="18"/>
              </w:rPr>
              <w:t xml:space="preserve">char(10)</w:t>
            </w:r>
          </w:p>
        </w:tc>
        <w:tc>
          <w:tcPr>
            <w:tcW w:w="1958" w:type="dxa"/>
          </w:tcPr>
          <w:p>
            <w:pPr>
              <w:pStyle w:val="TableText"/>
            </w:pPr>
            <w:r>
              <w:t/>
            </w:r>
          </w:p>
        </w:tc>
        <w:tc>
          <w:tcPr>
            <w:tcW w:w="3721" w:type="dxa"/>
          </w:tcPr>
          <w:p>
            <w:pPr>
              <w:pStyle w:val="TableText"/>
            </w:pPr>
            <w:r>
              <w:rPr>
                <w:sz w:val="18"/>
                <w:szCs w:val="18"/>
              </w:rPr>
              <w:t xml:space="preserve">1447694153</w:t>
            </w:r>
          </w:p>
        </w:tc>
      </w:tr>
    </w:tbl>
    <w:p>
      <w:pPr>
        <w:pStyle w:val="Spacer"/>
      </w:pPr>
    </w:p>
    <w:p>
      <w:pPr>
        <w:pStyle w:val="Heading2"/>
      </w:pPr>
      <w:r>
        <w:rPr>
          <w:color w:val="B68235"/>
        </w:rPr>
        <w:t xml:space="preserve">10.4</w:t>
      </w:r>
      <w:r>
        <w:t xml:space="preserve">Patient</w:t>
      </w:r>
    </w:p>
    <w:p>
      <w:pPr>
        <w:pStyle w:val="TableName"/>
      </w:pPr>
      <w:r>
        <w:rPr>
          <w:rFonts w:ascii="Consolas" w:hAnsi="Consolas" w:cs="Consolas"/>
          <w:b/>
          <w:sz w:val="24"/>
          <w:szCs w:val="24"/>
        </w:rPr>
        <w:t xml:space="preserve">patient</w:t>
      </w:r>
      <w:r>
        <w:rPr>
          <w:color w:val="B68235"/>
          <w:sz w:val="15"/>
          <w:szCs w:val="15"/>
        </w:rPr>
        <w:t xml:space="preserve">   CORE</w:t>
      </w:r>
    </w:p>
    <w:p>
      <w:pPr>
        <w:pStyle w:val="Normal"/>
      </w:pPr>
      <w:r>
        <w:t xml:space="preserve">One person receiving care at a practice: demographics, contact details and the guarantor (responsible party) who receives statements. Keyed to the EMR record by emr_id so charges arriving from finalized notes attach to the right patient. A patient has one or more cases.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practice_id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practice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emr_id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UQ</w:t>
            </w:r>
          </w:p>
        </w:tc>
        <w:tc>
          <w:tcPr>
            <w:tcW w:w="3721" w:type="dxa"/>
          </w:tcPr>
          <w:p>
            <w:pPr>
              <w:pStyle w:val="TableText"/>
            </w:pPr>
            <w:r>
              <w:rPr>
                <w:sz w:val="18"/>
                <w:szCs w:val="18"/>
              </w:rPr>
              <w:t xml:space="preserve">56361649 — EMR sync key. patient_id is the Billing ID.</w:t>
            </w:r>
          </w:p>
        </w:tc>
      </w:tr>
      <w:tr>
        <w:trPr>
          <w:cantSplit/>
        </w:trPr>
        <w:tc>
          <w:tcPr>
            <w:tcW w:w="2742" w:type="dxa"/>
          </w:tcPr>
          <w:p>
            <w:pPr>
              <w:pStyle w:val="TableText"/>
            </w:pPr>
            <w:r>
              <w:rPr>
                <w:rFonts w:ascii="Consolas" w:hAnsi="Consolas" w:cs="Consolas"/>
                <w:sz w:val="18"/>
                <w:szCs w:val="18"/>
              </w:rPr>
              <w:t xml:space="preserve">first_name, middle_name, last_name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date_of_birth</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gender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ssn_enc</w:t>
            </w:r>
          </w:p>
        </w:tc>
        <w:tc>
          <w:tcPr>
            <w:tcW w:w="1371" w:type="dxa"/>
          </w:tcPr>
          <w:p>
            <w:pPr>
              <w:pStyle w:val="TableText"/>
            </w:pPr>
            <w:r>
              <w:rPr>
                <w:sz w:val="18"/>
                <w:szCs w:val="18"/>
              </w:rPr>
              <w:t xml:space="preserve">bytea</w:t>
            </w:r>
          </w:p>
        </w:tc>
        <w:tc>
          <w:tcPr>
            <w:tcW w:w="1958" w:type="dxa"/>
          </w:tcPr>
          <w:p>
            <w:pPr>
              <w:pStyle w:val="TableText"/>
            </w:pPr>
            <w:r>
              <w:t/>
            </w:r>
          </w:p>
        </w:tc>
        <w:tc>
          <w:tcPr>
            <w:tcW w:w="3721" w:type="dxa"/>
          </w:tcPr>
          <w:p>
            <w:pPr>
              <w:pStyle w:val="TableText"/>
            </w:pPr>
            <w:r>
              <w:rPr>
                <w:sz w:val="18"/>
                <w:szCs w:val="18"/>
              </w:rPr>
              <w:t xml:space="preserve">Encrypted.</w:t>
            </w:r>
          </w:p>
        </w:tc>
      </w:tr>
      <w:tr>
        <w:trPr>
          <w:cantSplit/>
        </w:trPr>
        <w:tc>
          <w:tcPr>
            <w:tcW w:w="2742" w:type="dxa"/>
          </w:tcPr>
          <w:p>
            <w:pPr>
              <w:pStyle w:val="TableText"/>
            </w:pPr>
            <w:r>
              <w:rPr>
                <w:rFonts w:ascii="Consolas" w:hAnsi="Consolas" w:cs="Consolas"/>
                <w:sz w:val="18"/>
                <w:szCs w:val="18"/>
              </w:rPr>
              <w:t xml:space="preserve">address</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phone_home, phone_cell, email</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guarantor</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Responsible party: name, address, dob, relationship. Null = the patient.</w:t>
            </w:r>
          </w:p>
        </w:tc>
      </w:tr>
      <w:tr>
        <w:trPr>
          <w:cantSplit/>
        </w:trPr>
        <w:tc>
          <w:tcPr>
            <w:tcW w:w="2742" w:type="dxa"/>
          </w:tcPr>
          <w:p>
            <w:pPr>
              <w:pStyle w:val="TableText"/>
            </w:pPr>
            <w:r>
              <w:rPr>
                <w:rFonts w:ascii="Consolas" w:hAnsi="Consolas" w:cs="Consolas"/>
                <w:sz w:val="18"/>
                <w:szCs w:val="18"/>
              </w:rPr>
              <w:t xml:space="preserve">emergency_contact</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Name and phones.</w:t>
            </w:r>
          </w:p>
        </w:tc>
      </w:tr>
      <w:tr>
        <w:trPr>
          <w:cantSplit/>
        </w:trPr>
        <w:tc>
          <w:tcPr>
            <w:tcW w:w="2742" w:type="dxa"/>
          </w:tcPr>
          <w:p>
            <w:pPr>
              <w:pStyle w:val="TableText"/>
            </w:pPr>
            <w:r>
              <w:rPr>
                <w:rFonts w:ascii="Consolas" w:hAnsi="Consolas" w:cs="Consolas"/>
                <w:sz w:val="18"/>
                <w:szCs w:val="18"/>
              </w:rPr>
              <w:t xml:space="preserve">no_statements</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rPr>
                <w:sz w:val="18"/>
                <w:szCs w:val="18"/>
              </w:rPr>
              <w:t xml:space="preserve">Do not send batch statements.</w:t>
            </w:r>
          </w:p>
        </w:tc>
      </w:tr>
      <w:tr>
        <w:trPr>
          <w:cantSplit/>
        </w:trPr>
        <w:tc>
          <w:tcPr>
            <w:tcW w:w="2742" w:type="dxa"/>
          </w:tcPr>
          <w:p>
            <w:pPr>
              <w:pStyle w:val="TableText"/>
            </w:pPr>
            <w:r>
              <w:rPr>
                <w:rFonts w:ascii="Consolas" w:hAnsi="Consolas" w:cs="Consolas"/>
                <w:sz w:val="18"/>
                <w:szCs w:val="18"/>
              </w:rPr>
              <w:t xml:space="preserve">notes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Internal comment.</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patient_case</w:t>
      </w:r>
      <w:r>
        <w:rPr>
          <w:color w:val="B68235"/>
          <w:sz w:val="15"/>
          <w:szCs w:val="15"/>
        </w:rPr>
        <w:t xml:space="preserve">   CORE</w:t>
      </w:r>
    </w:p>
    <w:p>
      <w:pPr>
        <w:pStyle w:val="Normal"/>
      </w:pPr>
      <w:r>
        <w:t xml:space="preserve">One episode of care (an injury or condition being treated). The case fixes what every visit inherits: the location, billing provider, referring physician, discipline, injury type and onset date. Diagnoses and insurance coverage hang off the case, not the patient, because they can differ between episodes. Every patient has at least a “Default” case.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patient_id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patient</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name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Default</w:t>
            </w:r>
          </w:p>
        </w:tc>
      </w:tr>
      <w:tr>
        <w:trPr>
          <w:cantSplit/>
        </w:trPr>
        <w:tc>
          <w:tcPr>
            <w:tcW w:w="2742" w:type="dxa"/>
          </w:tcPr>
          <w:p>
            <w:pPr>
              <w:pStyle w:val="TableText"/>
            </w:pPr>
            <w:r>
              <w:rPr>
                <w:rFonts w:ascii="Consolas" w:hAnsi="Consolas" w:cs="Consolas"/>
                <w:sz w:val="18"/>
                <w:szCs w:val="18"/>
              </w:rPr>
              <w:t xml:space="preserve">location_id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location</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billing_provider_id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provider</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referring_physician_id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referring_physician</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discipline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PHYSICAL THERAPY</w:t>
            </w:r>
          </w:p>
        </w:tc>
      </w:tr>
      <w:tr>
        <w:trPr>
          <w:cantSplit/>
        </w:trPr>
        <w:tc>
          <w:tcPr>
            <w:tcW w:w="2742" w:type="dxa"/>
          </w:tcPr>
          <w:p>
            <w:pPr>
              <w:pStyle w:val="TableText"/>
            </w:pPr>
            <w:r>
              <w:rPr>
                <w:rFonts w:ascii="Consolas" w:hAnsi="Consolas" w:cs="Consolas"/>
                <w:sz w:val="18"/>
                <w:szCs w:val="18"/>
              </w:rPr>
              <w:t xml:space="preserve">injury_type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Employment Related, Auto, Other.</w:t>
            </w:r>
          </w:p>
        </w:tc>
      </w:tr>
      <w:tr>
        <w:trPr>
          <w:cantSplit/>
        </w:trPr>
        <w:tc>
          <w:tcPr>
            <w:tcW w:w="2742" w:type="dxa"/>
          </w:tcPr>
          <w:p>
            <w:pPr>
              <w:pStyle w:val="TableText"/>
            </w:pPr>
            <w:r>
              <w:rPr>
                <w:rFonts w:ascii="Consolas" w:hAnsi="Consolas" w:cs="Consolas"/>
                <w:sz w:val="18"/>
                <w:szCs w:val="18"/>
              </w:rPr>
              <w:t xml:space="preserve">injury_date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Onset; required when the insurance says so.</w:t>
            </w:r>
          </w:p>
        </w:tc>
      </w:tr>
      <w:tr>
        <w:trPr>
          <w:cantSplit/>
        </w:trPr>
        <w:tc>
          <w:tcPr>
            <w:tcW w:w="2742" w:type="dxa"/>
          </w:tcPr>
          <w:p>
            <w:pPr>
              <w:pStyle w:val="TableText"/>
            </w:pPr>
            <w:r>
              <w:rPr>
                <w:rFonts w:ascii="Consolas" w:hAnsi="Consolas" w:cs="Consolas"/>
                <w:sz w:val="18"/>
                <w:szCs w:val="18"/>
              </w:rPr>
              <w:t xml:space="preserve">start_of_care, discharge_date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accident_state</w:t>
            </w:r>
          </w:p>
        </w:tc>
        <w:tc>
          <w:tcPr>
            <w:tcW w:w="1371" w:type="dxa"/>
          </w:tcPr>
          <w:p>
            <w:pPr>
              <w:pStyle w:val="TableText"/>
            </w:pPr>
            <w:r>
              <w:rPr>
                <w:sz w:val="18"/>
                <w:szCs w:val="18"/>
              </w:rPr>
              <w:t xml:space="preserve">char(2)</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is_active</w:t>
            </w:r>
          </w:p>
        </w:tc>
        <w:tc>
          <w:tcPr>
            <w:tcW w:w="1371" w:type="dxa"/>
          </w:tcPr>
          <w:p>
            <w:pPr>
              <w:pStyle w:val="TableText"/>
            </w:pPr>
            <w:r>
              <w:rPr>
                <w:sz w:val="18"/>
                <w:szCs w:val="18"/>
              </w:rPr>
              <w:t xml:space="preserve">boolean</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case_diagnosis</w:t>
      </w:r>
      <w:r>
        <w:rPr>
          <w:color w:val="B68235"/>
          <w:sz w:val="15"/>
          <w:szCs w:val="15"/>
        </w:rPr>
        <w:t xml:space="preserve">   RELATION</w:t>
      </w:r>
    </w:p>
    <w:p>
      <w:pPr>
        <w:pStyle w:val="Normal"/>
      </w:pPr>
      <w:r>
        <w:t xml:space="preserve">The ordered list of ICD-10 codes for a case. The position (1–12) is the diagnosis pointer that charge lines refer to on the claim.</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case_id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PK · FK → patient_case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seq</w:t>
            </w:r>
          </w:p>
        </w:tc>
        <w:tc>
          <w:tcPr>
            <w:tcW w:w="1371" w:type="dxa"/>
          </w:tcPr>
          <w:p>
            <w:pPr>
              <w:pStyle w:val="TableText"/>
            </w:pPr>
            <w:r>
              <w:rPr>
                <w:sz w:val="18"/>
                <w:szCs w:val="18"/>
              </w:rPr>
              <w:t xml:space="preserve">smallint</w:t>
            </w:r>
          </w:p>
        </w:tc>
        <w:tc>
          <w:tcPr>
            <w:tcW w:w="1958" w:type="dxa"/>
          </w:tcPr>
          <w:p>
            <w:pPr>
              <w:pStyle w:val="TableText"/>
            </w:pPr>
            <w:r>
              <w:rPr>
                <w:sz w:val="18"/>
                <w:szCs w:val="18"/>
              </w:rPr>
              <w:t xml:space="preserve">PK</w:t>
            </w:r>
          </w:p>
        </w:tc>
        <w:tc>
          <w:tcPr>
            <w:tcW w:w="3721" w:type="dxa"/>
          </w:tcPr>
          <w:p>
            <w:pPr>
              <w:pStyle w:val="TableText"/>
            </w:pPr>
            <w:r>
              <w:rPr>
                <w:sz w:val="18"/>
                <w:szCs w:val="18"/>
              </w:rPr>
              <w:t xml:space="preserve">1–12.</w:t>
            </w:r>
          </w:p>
        </w:tc>
      </w:tr>
      <w:tr>
        <w:trPr>
          <w:cantSplit/>
        </w:trPr>
        <w:tc>
          <w:tcPr>
            <w:tcW w:w="2742" w:type="dxa"/>
          </w:tcPr>
          <w:p>
            <w:pPr>
              <w:pStyle w:val="TableText"/>
            </w:pPr>
            <w:r>
              <w:rPr>
                <w:rFonts w:ascii="Consolas" w:hAnsi="Consolas" w:cs="Consolas"/>
                <w:sz w:val="18"/>
                <w:szCs w:val="18"/>
              </w:rPr>
              <w:t xml:space="preserve">icd10_code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M54.2, S92.352D</w:t>
            </w:r>
          </w:p>
        </w:tc>
      </w:tr>
      <w:tr>
        <w:trPr>
          <w:cantSplit/>
        </w:trPr>
        <w:tc>
          <w:tcPr>
            <w:tcW w:w="2742" w:type="dxa"/>
          </w:tcPr>
          <w:p>
            <w:pPr>
              <w:pStyle w:val="TableText"/>
            </w:pPr>
            <w:r>
              <w:rPr>
                <w:rFonts w:ascii="Consolas" w:hAnsi="Consolas" w:cs="Consolas"/>
                <w:sz w:val="18"/>
                <w:szCs w:val="18"/>
              </w:rPr>
              <w:t xml:space="preserve">description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case_insurance</w:t>
      </w:r>
      <w:r>
        <w:rPr>
          <w:color w:val="B68235"/>
          <w:sz w:val="15"/>
          <w:szCs w:val="15"/>
        </w:rPr>
        <w:t xml:space="preserve">   RELATION</w:t>
      </w:r>
    </w:p>
    <w:p>
      <w:pPr>
        <w:pStyle w:val="Normal"/>
      </w:pPr>
      <w:r>
        <w:t xml:space="preserve">Connects a case to the insurances that cover it, in payment order (primary, secondary, tertiary), with the patient's member ID, group number, claim number and subscriber details for that policy. Claims are addressed to a case_insurance row, not to the insurance directly.</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case_id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patient_case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insurance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rank</w:t>
            </w:r>
          </w:p>
        </w:tc>
        <w:tc>
          <w:tcPr>
            <w:tcW w:w="1371" w:type="dxa"/>
          </w:tcPr>
          <w:p>
            <w:pPr>
              <w:pStyle w:val="TableText"/>
            </w:pPr>
            <w:r>
              <w:rPr>
                <w:sz w:val="18"/>
                <w:szCs w:val="18"/>
              </w:rPr>
              <w:t xml:space="preserve">smallint</w:t>
            </w:r>
          </w:p>
        </w:tc>
        <w:tc>
          <w:tcPr>
            <w:tcW w:w="1958" w:type="dxa"/>
          </w:tcPr>
          <w:p>
            <w:pPr>
              <w:pStyle w:val="TableText"/>
            </w:pPr>
            <w:r>
              <w:rPr>
                <w:sz w:val="18"/>
                <w:szCs w:val="18"/>
              </w:rPr>
              <w:t xml:space="preserve">UQ (case_id, rank)</w:t>
            </w:r>
          </w:p>
        </w:tc>
        <w:tc>
          <w:tcPr>
            <w:tcW w:w="3721" w:type="dxa"/>
          </w:tcPr>
          <w:p>
            <w:pPr>
              <w:pStyle w:val="TableText"/>
            </w:pPr>
            <w:r>
              <w:rPr>
                <w:sz w:val="18"/>
                <w:szCs w:val="18"/>
              </w:rPr>
              <w:t xml:space="preserve">1 primary, 2 secondary, 3 tertiary.</w:t>
            </w:r>
          </w:p>
        </w:tc>
      </w:tr>
      <w:tr>
        <w:trPr>
          <w:cantSplit/>
        </w:trPr>
        <w:tc>
          <w:tcPr>
            <w:tcW w:w="2742" w:type="dxa"/>
          </w:tcPr>
          <w:p>
            <w:pPr>
              <w:pStyle w:val="TableText"/>
            </w:pPr>
            <w:r>
              <w:rPr>
                <w:rFonts w:ascii="Consolas" w:hAnsi="Consolas" w:cs="Consolas"/>
                <w:sz w:val="18"/>
                <w:szCs w:val="18"/>
              </w:rPr>
              <w:t xml:space="preserve">member_id, group_number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Required for billing.</w:t>
            </w:r>
          </w:p>
        </w:tc>
      </w:tr>
      <w:tr>
        <w:trPr>
          <w:cantSplit/>
        </w:trPr>
        <w:tc>
          <w:tcPr>
            <w:tcW w:w="2742" w:type="dxa"/>
          </w:tcPr>
          <w:p>
            <w:pPr>
              <w:pStyle w:val="TableText"/>
            </w:pPr>
            <w:r>
              <w:rPr>
                <w:rFonts w:ascii="Consolas" w:hAnsi="Consolas" w:cs="Consolas"/>
                <w:sz w:val="18"/>
                <w:szCs w:val="18"/>
              </w:rPr>
              <w:t xml:space="preserve">claim_number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WC / auto claim, 1439WC260300330.</w:t>
            </w:r>
          </w:p>
        </w:tc>
      </w:tr>
      <w:tr>
        <w:trPr>
          <w:cantSplit/>
        </w:trPr>
        <w:tc>
          <w:tcPr>
            <w:tcW w:w="2742" w:type="dxa"/>
          </w:tcPr>
          <w:p>
            <w:pPr>
              <w:pStyle w:val="TableText"/>
            </w:pPr>
            <w:r>
              <w:rPr>
                <w:rFonts w:ascii="Consolas" w:hAnsi="Consolas" w:cs="Consolas"/>
                <w:sz w:val="18"/>
                <w:szCs w:val="18"/>
              </w:rPr>
              <w:t xml:space="preserve">subscriber</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Name, dob, address, relationship. Null = the patient.</w:t>
            </w:r>
          </w:p>
        </w:tc>
      </w:tr>
      <w:tr>
        <w:trPr>
          <w:cantSplit/>
        </w:trPr>
        <w:tc>
          <w:tcPr>
            <w:tcW w:w="2742" w:type="dxa"/>
          </w:tcPr>
          <w:p>
            <w:pPr>
              <w:pStyle w:val="TableText"/>
            </w:pPr>
            <w:r>
              <w:rPr>
                <w:rFonts w:ascii="Consolas" w:hAnsi="Consolas" w:cs="Consolas"/>
                <w:sz w:val="18"/>
                <w:szCs w:val="18"/>
              </w:rPr>
              <w:t xml:space="preserve">employer</w:t>
            </w:r>
          </w:p>
        </w:tc>
        <w:tc>
          <w:tcPr>
            <w:tcW w:w="1371" w:type="dxa"/>
          </w:tcPr>
          <w:p>
            <w:pPr>
              <w:pStyle w:val="TableText"/>
            </w:pPr>
            <w:r>
              <w:rPr>
                <w:sz w:val="18"/>
                <w:szCs w:val="18"/>
              </w:rPr>
              <w:t xml:space="preserve">jsonb</w:t>
            </w:r>
          </w:p>
        </w:tc>
        <w:tc>
          <w:tcPr>
            <w:tcW w:w="1958" w:type="dxa"/>
          </w:tcPr>
          <w:p>
            <w:pPr>
              <w:pStyle w:val="TableText"/>
            </w:pPr>
            <w:r>
              <w:t/>
            </w:r>
          </w:p>
        </w:tc>
        <w:tc>
          <w:tcPr>
            <w:tcW w:w="3721" w:type="dxa"/>
          </w:tcPr>
          <w:p>
            <w:pPr>
              <w:pStyle w:val="TableText"/>
            </w:pPr>
            <w:r>
              <w:rPr>
                <w:sz w:val="18"/>
                <w:szCs w:val="18"/>
              </w:rPr>
              <w:t xml:space="preserve">Name and address; Workers' Comp only.</w:t>
            </w:r>
          </w:p>
        </w:tc>
      </w:tr>
    </w:tbl>
    <w:p>
      <w:pPr>
        <w:pStyle w:val="Spacer"/>
      </w:pPr>
    </w:p>
    <w:p>
      <w:pPr>
        <w:pStyle w:val="TableName"/>
      </w:pPr>
      <w:r>
        <w:rPr>
          <w:rFonts w:ascii="Consolas" w:hAnsi="Consolas" w:cs="Consolas"/>
          <w:b/>
          <w:sz w:val="24"/>
          <w:szCs w:val="24"/>
        </w:rPr>
        <w:t xml:space="preserve">authorization</w:t>
      </w:r>
      <w:r>
        <w:rPr>
          <w:color w:val="B68235"/>
          <w:sz w:val="15"/>
          <w:szCs w:val="15"/>
        </w:rPr>
        <w:t xml:space="preserve">   CORE</w:t>
      </w:r>
    </w:p>
    <w:p>
      <w:pPr>
        <w:pStyle w:val="Normal"/>
      </w:pPr>
      <w:r>
        <w:t xml:space="preserve">A payer's pre-approval for a number of visits or units within a date range. Visits consume it; when an insurance requires authorization and none is available, the visit is pended instead of released.</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case_insurance_id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case_insurance</w:t>
            </w:r>
          </w:p>
        </w:tc>
        <w:tc>
          <w:tcPr>
            <w:tcW w:w="3721" w:type="dxa"/>
          </w:tcPr>
          <w:p>
            <w:pPr>
              <w:pStyle w:val="TableText"/>
            </w:pPr>
            <w:r>
              <w:rPr>
                <w:sz w:val="18"/>
                <w:szCs w:val="18"/>
              </w:rPr>
              <w:t xml:space="preserve">The payer that issued it.</w:t>
            </w:r>
          </w:p>
        </w:tc>
      </w:tr>
      <w:tr>
        <w:trPr>
          <w:cantSplit/>
        </w:trPr>
        <w:tc>
          <w:tcPr>
            <w:tcW w:w="2742" w:type="dxa"/>
          </w:tcPr>
          <w:p>
            <w:pPr>
              <w:pStyle w:val="TableText"/>
            </w:pPr>
            <w:r>
              <w:rPr>
                <w:rFonts w:ascii="Consolas" w:hAnsi="Consolas" w:cs="Consolas"/>
                <w:sz w:val="18"/>
                <w:szCs w:val="18"/>
              </w:rPr>
              <w:t xml:space="preserve">number</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0VJL671TT</w:t>
            </w:r>
          </w:p>
        </w:tc>
      </w:tr>
      <w:tr>
        <w:trPr>
          <w:cantSplit/>
        </w:trPr>
        <w:tc>
          <w:tcPr>
            <w:tcW w:w="2742" w:type="dxa"/>
          </w:tcPr>
          <w:p>
            <w:pPr>
              <w:pStyle w:val="TableText"/>
            </w:pPr>
            <w:r>
              <w:rPr>
                <w:rFonts w:ascii="Consolas" w:hAnsi="Consolas" w:cs="Consolas"/>
                <w:sz w:val="18"/>
                <w:szCs w:val="18"/>
              </w:rPr>
              <w:t xml:space="preserve">start_date, end_date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rPr>
                <w:sz w:val="18"/>
                <w:szCs w:val="18"/>
              </w:rPr>
              <w:t xml:space="preserve">07/10/2026 – 09/07/2026</w:t>
            </w:r>
          </w:p>
        </w:tc>
      </w:tr>
      <w:tr>
        <w:trPr>
          <w:cantSplit/>
        </w:trPr>
        <w:tc>
          <w:tcPr>
            <w:tcW w:w="2742" w:type="dxa"/>
          </w:tcPr>
          <w:p>
            <w:pPr>
              <w:pStyle w:val="TableText"/>
            </w:pPr>
            <w:r>
              <w:rPr>
                <w:rFonts w:ascii="Consolas" w:hAnsi="Consolas" w:cs="Consolas"/>
                <w:sz w:val="18"/>
                <w:szCs w:val="18"/>
              </w:rPr>
              <w:t xml:space="preserve">authorized_qty</w:t>
            </w:r>
          </w:p>
        </w:tc>
        <w:tc>
          <w:tcPr>
            <w:tcW w:w="1371" w:type="dxa"/>
          </w:tcPr>
          <w:p>
            <w:pPr>
              <w:pStyle w:val="TableText"/>
            </w:pPr>
            <w:r>
              <w:rPr>
                <w:sz w:val="18"/>
                <w:szCs w:val="18"/>
              </w:rPr>
              <w:t xml:space="preserve">integer</w:t>
            </w:r>
          </w:p>
        </w:tc>
        <w:tc>
          <w:tcPr>
            <w:tcW w:w="1958" w:type="dxa"/>
          </w:tcPr>
          <w:p>
            <w:pPr>
              <w:pStyle w:val="TableText"/>
            </w:pPr>
            <w:r>
              <w:t/>
            </w:r>
          </w:p>
        </w:tc>
        <w:tc>
          <w:tcPr>
            <w:tcW w:w="3721" w:type="dxa"/>
          </w:tcPr>
          <w:p>
            <w:pPr>
              <w:pStyle w:val="TableText"/>
            </w:pPr>
            <w:r>
              <w:rPr>
                <w:sz w:val="18"/>
                <w:szCs w:val="18"/>
              </w:rPr>
              <w:t xml:space="preserve">6</w:t>
            </w:r>
          </w:p>
        </w:tc>
      </w:tr>
      <w:tr>
        <w:trPr>
          <w:cantSplit/>
        </w:trPr>
        <w:tc>
          <w:tcPr>
            <w:tcW w:w="2742" w:type="dxa"/>
          </w:tcPr>
          <w:p>
            <w:pPr>
              <w:pStyle w:val="TableText"/>
            </w:pPr>
            <w:r>
              <w:rPr>
                <w:rFonts w:ascii="Consolas" w:hAnsi="Consolas" w:cs="Consolas"/>
                <w:sz w:val="18"/>
                <w:szCs w:val="18"/>
              </w:rPr>
              <w:t xml:space="preserve">unit</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Visits or Units.</w:t>
            </w:r>
          </w:p>
        </w:tc>
      </w:tr>
      <w:tr>
        <w:trPr>
          <w:cantSplit/>
        </w:trPr>
        <w:tc>
          <w:tcPr>
            <w:tcW w:w="2742" w:type="dxa"/>
          </w:tcPr>
          <w:p>
            <w:pPr>
              <w:pStyle w:val="TableText"/>
            </w:pPr>
            <w:r>
              <w:rPr>
                <w:rFonts w:ascii="Consolas" w:hAnsi="Consolas" w:cs="Consolas"/>
                <w:sz w:val="18"/>
                <w:szCs w:val="18"/>
              </w:rPr>
              <w:t xml:space="preserve">used_qty</w:t>
            </w:r>
          </w:p>
        </w:tc>
        <w:tc>
          <w:tcPr>
            <w:tcW w:w="1371" w:type="dxa"/>
          </w:tcPr>
          <w:p>
            <w:pPr>
              <w:pStyle w:val="TableText"/>
            </w:pPr>
            <w:r>
              <w:rPr>
                <w:sz w:val="18"/>
                <w:szCs w:val="18"/>
              </w:rPr>
              <w:t xml:space="preserve">integer</w:t>
            </w:r>
          </w:p>
        </w:tc>
        <w:tc>
          <w:tcPr>
            <w:tcW w:w="1958" w:type="dxa"/>
          </w:tcPr>
          <w:p>
            <w:pPr>
              <w:pStyle w:val="TableText"/>
            </w:pPr>
            <w:r>
              <w:t/>
            </w:r>
          </w:p>
        </w:tc>
        <w:tc>
          <w:tcPr>
            <w:tcW w:w="3721" w:type="dxa"/>
          </w:tcPr>
          <w:p>
            <w:pPr>
              <w:pStyle w:val="TableText"/>
            </w:pPr>
            <w:r>
              <w:rPr>
                <w:sz w:val="18"/>
                <w:szCs w:val="18"/>
              </w:rPr>
              <w:t xml:space="preserve">Maintained from visits.</w:t>
            </w:r>
          </w:p>
        </w:tc>
      </w:tr>
    </w:tbl>
    <w:p>
      <w:pPr>
        <w:pStyle w:val="Spacer"/>
      </w:pPr>
    </w:p>
    <w:p>
      <w:pPr>
        <w:pStyle w:val="Heading2"/>
      </w:pPr>
      <w:r>
        <w:rPr>
          <w:color w:val="B68235"/>
        </w:rPr>
        <w:t xml:space="preserve">10.5</w:t>
      </w:r>
      <w:r>
        <w:t xml:space="preserve">Billing</w:t>
      </w:r>
    </w:p>
    <w:p>
      <w:pPr>
        <w:pStyle w:val="TableName"/>
      </w:pPr>
      <w:r>
        <w:rPr>
          <w:rFonts w:ascii="Consolas" w:hAnsi="Consolas" w:cs="Consolas"/>
          <w:b/>
          <w:sz w:val="24"/>
          <w:szCs w:val="24"/>
        </w:rPr>
        <w:t xml:space="preserve">visit</w:t>
      </w:r>
      <w:r>
        <w:rPr>
          <w:color w:val="B68235"/>
          <w:sz w:val="15"/>
          <w:szCs w:val="15"/>
        </w:rPr>
        <w:t xml:space="preserve">   CORE</w:t>
      </w:r>
    </w:p>
    <w:p>
      <w:pPr>
        <w:pStyle w:val="Normal"/>
      </w:pPr>
      <w:r>
        <w:t xml:space="preserve">One date of service for one case; the “Charge” in Charge Review. Arrives from a finalized EMR note or manual entry, then moves through review: Review → Pended (something missing) or Delayed (provider hold) → Released for claiming. Location and providers default from the case but can be changed per visit.</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case_id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patient_case</w:t>
            </w:r>
          </w:p>
        </w:tc>
        <w:tc>
          <w:tcPr>
            <w:tcW w:w="3721" w:type="dxa"/>
          </w:tcPr>
          <w:p>
            <w:pPr>
              <w:pStyle w:val="TableText"/>
            </w:pPr>
            <w:r>
              <w:rPr>
                <w:sz w:val="18"/>
                <w:szCs w:val="18"/>
              </w:rPr>
              <w:t xml:space="preserve">UQ (case_id, date_of_service).</w:t>
            </w:r>
          </w:p>
        </w:tc>
      </w:tr>
      <w:tr>
        <w:trPr>
          <w:cantSplit/>
        </w:trPr>
        <w:tc>
          <w:tcPr>
            <w:tcW w:w="2742" w:type="dxa"/>
          </w:tcPr>
          <w:p>
            <w:pPr>
              <w:pStyle w:val="TableText"/>
            </w:pPr>
            <w:r>
              <w:rPr>
                <w:rFonts w:ascii="Consolas" w:hAnsi="Consolas" w:cs="Consolas"/>
                <w:sz w:val="18"/>
                <w:szCs w:val="18"/>
              </w:rPr>
              <w:t xml:space="preserve">date_of_service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location_id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location</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billing_provider_id, treating_provider_id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provider</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authorization_id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authorization</w:t>
            </w:r>
          </w:p>
        </w:tc>
        <w:tc>
          <w:tcPr>
            <w:tcW w:w="3721" w:type="dxa"/>
          </w:tcPr>
          <w:p>
            <w:pPr>
              <w:pStyle w:val="TableText"/>
            </w:pPr>
            <w:r>
              <w:rPr>
                <w:sz w:val="18"/>
                <w:szCs w:val="18"/>
              </w:rPr>
              <w:t xml:space="preserve">Consumed by this visit.</w:t>
            </w:r>
          </w:p>
        </w:tc>
      </w:tr>
      <w:tr>
        <w:trPr>
          <w:cantSplit/>
        </w:trPr>
        <w:tc>
          <w:tcPr>
            <w:tcW w:w="2742" w:type="dxa"/>
          </w:tcPr>
          <w:p>
            <w:pPr>
              <w:pStyle w:val="TableText"/>
            </w:pPr>
            <w:r>
              <w:rPr>
                <w:rFonts w:ascii="Consolas" w:hAnsi="Consolas" w:cs="Consolas"/>
                <w:sz w:val="18"/>
                <w:szCs w:val="18"/>
              </w:rPr>
              <w:t xml:space="preserve">diagnosis_codes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Snapshot of case_diagnosis at arrival, so later case edits do not change billed claims.</w:t>
            </w:r>
          </w:p>
        </w:tc>
      </w:tr>
      <w:tr>
        <w:trPr>
          <w:cantSplit/>
        </w:trPr>
        <w:tc>
          <w:tcPr>
            <w:tcW w:w="2742" w:type="dxa"/>
          </w:tcPr>
          <w:p>
            <w:pPr>
              <w:pStyle w:val="TableText"/>
            </w:pPr>
            <w:r>
              <w:rPr>
                <w:rFonts w:ascii="Consolas" w:hAnsi="Consolas" w:cs="Consolas"/>
                <w:sz w:val="18"/>
                <w:szCs w:val="18"/>
              </w:rPr>
              <w:t xml:space="preserve">status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Review, Pended, Delayed, Released.</w:t>
            </w:r>
          </w:p>
        </w:tc>
      </w:tr>
      <w:tr>
        <w:trPr>
          <w:cantSplit/>
        </w:trPr>
        <w:tc>
          <w:tcPr>
            <w:tcW w:w="2742" w:type="dxa"/>
          </w:tcPr>
          <w:p>
            <w:pPr>
              <w:pStyle w:val="TableText"/>
            </w:pPr>
            <w:r>
              <w:rPr>
                <w:rFonts w:ascii="Consolas" w:hAnsi="Consolas" w:cs="Consolas"/>
                <w:sz w:val="18"/>
                <w:szCs w:val="18"/>
              </w:rPr>
              <w:t xml:space="preserve">pend_reason</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When Pended.</w:t>
            </w:r>
          </w:p>
        </w:tc>
      </w:tr>
      <w:tr>
        <w:trPr>
          <w:cantSplit/>
        </w:trPr>
        <w:tc>
          <w:tcPr>
            <w:tcW w:w="2742" w:type="dxa"/>
          </w:tcPr>
          <w:p>
            <w:pPr>
              <w:pStyle w:val="TableText"/>
            </w:pPr>
            <w:r>
              <w:rPr>
                <w:rFonts w:ascii="Consolas" w:hAnsi="Consolas" w:cs="Consolas"/>
                <w:sz w:val="18"/>
                <w:szCs w:val="18"/>
              </w:rPr>
              <w:t xml:space="preserve">source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EMR or Manual.</w:t>
            </w:r>
          </w:p>
        </w:tc>
      </w:tr>
    </w:tbl>
    <w:p>
      <w:pPr>
        <w:pStyle w:val="Spacer"/>
      </w:pPr>
    </w:p>
    <w:p>
      <w:pPr>
        <w:pStyle w:val="TableName"/>
      </w:pPr>
      <w:r>
        <w:rPr>
          <w:rFonts w:ascii="Consolas" w:hAnsi="Consolas" w:cs="Consolas"/>
          <w:b/>
          <w:sz w:val="24"/>
          <w:szCs w:val="24"/>
        </w:rPr>
        <w:t xml:space="preserve">charge_line</w:t>
      </w:r>
      <w:r>
        <w:rPr>
          <w:color w:val="B68235"/>
          <w:sz w:val="15"/>
          <w:szCs w:val="15"/>
        </w:rPr>
        <w:t xml:space="preserve">   CORE</w:t>
      </w:r>
    </w:p>
    <w:p>
      <w:pPr>
        <w:pStyle w:val="Normal"/>
      </w:pPr>
      <w:r>
        <w:t xml:space="preserve">One procedure performed at a visit: code, units, modifiers, billed amount and which of the visit's diagnoses it points to. This is the unit that goes on a claim, gets paid, adjusted or denied, and carries the running insurance and patient balances used for A/R aging.</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visit_id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visit</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procedure_code_id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procedure_code</w:t>
            </w:r>
          </w:p>
        </w:tc>
        <w:tc>
          <w:tcPr>
            <w:tcW w:w="3721" w:type="dxa"/>
          </w:tcPr>
          <w:p>
            <w:pPr>
              <w:pStyle w:val="TableText"/>
            </w:pPr>
            <w:r>
              <w:rPr>
                <w:sz w:val="18"/>
                <w:szCs w:val="18"/>
              </w:rPr>
              <w:t xml:space="preserve">97110</w:t>
            </w:r>
          </w:p>
        </w:tc>
      </w:tr>
      <w:tr>
        <w:trPr>
          <w:cantSplit/>
        </w:trPr>
        <w:tc>
          <w:tcPr>
            <w:tcW w:w="2742" w:type="dxa"/>
          </w:tcPr>
          <w:p>
            <w:pPr>
              <w:pStyle w:val="TableText"/>
            </w:pPr>
            <w:r>
              <w:rPr>
                <w:rFonts w:ascii="Consolas" w:hAnsi="Consolas" w:cs="Consolas"/>
                <w:sz w:val="18"/>
                <w:szCs w:val="18"/>
              </w:rPr>
              <w:t xml:space="preserve">units</w:t>
            </w:r>
          </w:p>
        </w:tc>
        <w:tc>
          <w:tcPr>
            <w:tcW w:w="1371" w:type="dxa"/>
          </w:tcPr>
          <w:p>
            <w:pPr>
              <w:pStyle w:val="TableText"/>
            </w:pPr>
            <w:r>
              <w:rPr>
                <w:sz w:val="18"/>
                <w:szCs w:val="18"/>
              </w:rPr>
              <w:t xml:space="preserve">integer</w:t>
            </w:r>
          </w:p>
        </w:tc>
        <w:tc>
          <w:tcPr>
            <w:tcW w:w="1958" w:type="dxa"/>
          </w:tcPr>
          <w:p>
            <w:pPr>
              <w:pStyle w:val="TableText"/>
            </w:pPr>
            <w:r>
              <w:t/>
            </w:r>
          </w:p>
        </w:tc>
        <w:tc>
          <w:tcPr>
            <w:tcW w:w="3721" w:type="dxa"/>
          </w:tcPr>
          <w:p>
            <w:pPr>
              <w:pStyle w:val="TableText"/>
            </w:pPr>
            <w:r>
              <w:rPr>
                <w:sz w:val="18"/>
                <w:szCs w:val="18"/>
              </w:rPr>
              <w:t xml:space="preserve">2</w:t>
            </w:r>
          </w:p>
        </w:tc>
      </w:tr>
      <w:tr>
        <w:trPr>
          <w:cantSplit/>
        </w:trPr>
        <w:tc>
          <w:tcPr>
            <w:tcW w:w="2742" w:type="dxa"/>
          </w:tcPr>
          <w:p>
            <w:pPr>
              <w:pStyle w:val="TableText"/>
            </w:pPr>
            <w:r>
              <w:rPr>
                <w:rFonts w:ascii="Consolas" w:hAnsi="Consolas" w:cs="Consolas"/>
                <w:sz w:val="18"/>
                <w:szCs w:val="18"/>
              </w:rPr>
              <w:t xml:space="preserve">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60.00 from fee_schedule.</w:t>
            </w:r>
          </w:p>
        </w:tc>
      </w:tr>
      <w:tr>
        <w:trPr>
          <w:cantSplit/>
        </w:trPr>
        <w:tc>
          <w:tcPr>
            <w:tcW w:w="2742" w:type="dxa"/>
          </w:tcPr>
          <w:p>
            <w:pPr>
              <w:pStyle w:val="TableText"/>
            </w:pPr>
            <w:r>
              <w:rPr>
                <w:rFonts w:ascii="Consolas" w:hAnsi="Consolas" w:cs="Consolas"/>
                <w:sz w:val="18"/>
                <w:szCs w:val="18"/>
              </w:rPr>
              <w:t xml:space="preserve">modifiers</w:t>
            </w:r>
          </w:p>
        </w:tc>
        <w:tc>
          <w:tcPr>
            <w:tcW w:w="1371" w:type="dxa"/>
          </w:tcPr>
          <w:p>
            <w:pPr>
              <w:pStyle w:val="TableText"/>
            </w:pPr>
            <w:r>
              <w:rPr>
                <w:sz w:val="18"/>
                <w:szCs w:val="18"/>
              </w:rPr>
              <w:t xml:space="preserve">varchar(2)[]</w:t>
            </w:r>
          </w:p>
        </w:tc>
        <w:tc>
          <w:tcPr>
            <w:tcW w:w="1958" w:type="dxa"/>
          </w:tcPr>
          <w:p>
            <w:pPr>
              <w:pStyle w:val="TableText"/>
            </w:pPr>
            <w:r>
              <w:t/>
            </w:r>
          </w:p>
        </w:tc>
        <w:tc>
          <w:tcPr>
            <w:tcW w:w="3721" w:type="dxa"/>
          </w:tcPr>
          <w:p>
            <w:pPr>
              <w:pStyle w:val="TableText"/>
            </w:pPr>
            <w:r>
              <w:rPr>
                <w:sz w:val="18"/>
                <w:szCs w:val="18"/>
              </w:rPr>
              <w:t xml:space="preserve">{GP, 59}</w:t>
            </w:r>
          </w:p>
        </w:tc>
      </w:tr>
      <w:tr>
        <w:trPr>
          <w:cantSplit/>
        </w:trPr>
        <w:tc>
          <w:tcPr>
            <w:tcW w:w="2742" w:type="dxa"/>
          </w:tcPr>
          <w:p>
            <w:pPr>
              <w:pStyle w:val="TableText"/>
            </w:pPr>
            <w:r>
              <w:rPr>
                <w:rFonts w:ascii="Consolas" w:hAnsi="Consolas" w:cs="Consolas"/>
                <w:sz w:val="18"/>
                <w:szCs w:val="18"/>
              </w:rPr>
              <w:t xml:space="preserve">diagnosis_pointers</w:t>
            </w:r>
          </w:p>
        </w:tc>
        <w:tc>
          <w:tcPr>
            <w:tcW w:w="1371" w:type="dxa"/>
          </w:tcPr>
          <w:p>
            <w:pPr>
              <w:pStyle w:val="TableText"/>
            </w:pPr>
            <w:r>
              <w:rPr>
                <w:sz w:val="18"/>
                <w:szCs w:val="18"/>
              </w:rPr>
              <w:t xml:space="preserve">smallint[]</w:t>
            </w:r>
          </w:p>
        </w:tc>
        <w:tc>
          <w:tcPr>
            <w:tcW w:w="1958" w:type="dxa"/>
          </w:tcPr>
          <w:p>
            <w:pPr>
              <w:pStyle w:val="TableText"/>
            </w:pPr>
            <w:r>
              <w:t/>
            </w:r>
          </w:p>
        </w:tc>
        <w:tc>
          <w:tcPr>
            <w:tcW w:w="3721" w:type="dxa"/>
          </w:tcPr>
          <w:p>
            <w:pPr>
              <w:pStyle w:val="TableText"/>
            </w:pPr>
            <w:r>
              <w:rPr>
                <w:sz w:val="18"/>
                <w:szCs w:val="18"/>
              </w:rPr>
              <w:t xml:space="preserve">Up to 4 positions into visit.diagnosis_codes.</w:t>
            </w:r>
          </w:p>
        </w:tc>
      </w:tr>
      <w:tr>
        <w:trPr>
          <w:cantSplit/>
        </w:trPr>
        <w:tc>
          <w:tcPr>
            <w:tcW w:w="2742" w:type="dxa"/>
          </w:tcPr>
          <w:p>
            <w:pPr>
              <w:pStyle w:val="TableText"/>
            </w:pPr>
            <w:r>
              <w:rPr>
                <w:rFonts w:ascii="Consolas" w:hAnsi="Consolas" w:cs="Consolas"/>
                <w:sz w:val="18"/>
                <w:szCs w:val="18"/>
              </w:rPr>
              <w:t xml:space="preserve">balance_insurance, balance_patient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amount − payments − adjustments, split by responsibility.</w:t>
            </w:r>
          </w:p>
        </w:tc>
      </w:tr>
    </w:tbl>
    <w:p>
      <w:pPr>
        <w:pStyle w:val="Spacer"/>
      </w:pPr>
    </w:p>
    <w:p>
      <w:pPr>
        <w:pStyle w:val="TableName"/>
      </w:pPr>
      <w:r>
        <w:rPr>
          <w:rFonts w:ascii="Consolas" w:hAnsi="Consolas" w:cs="Consolas"/>
          <w:b/>
          <w:sz w:val="24"/>
          <w:szCs w:val="24"/>
        </w:rPr>
        <w:t xml:space="preserve">claim</w:t>
      </w:r>
      <w:r>
        <w:rPr>
          <w:color w:val="B68235"/>
          <w:sz w:val="15"/>
          <w:szCs w:val="15"/>
        </w:rPr>
        <w:t xml:space="preserve">   CORE</w:t>
      </w:r>
    </w:p>
    <w:p>
      <w:pPr>
        <w:pStyle w:val="Normal"/>
      </w:pPr>
      <w:r>
        <w:t xml:space="preserve">A bill sent to one payer for one visit, electronically (837P) or on paper (CMS-1500), and its status over time: scrubbed, failed, rejected, sent, paid, denied. A visit gets one claim per coverage rank; the secondary claim is created after the primary remit posts.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visit_id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visit</w:t>
            </w:r>
          </w:p>
        </w:tc>
        <w:tc>
          <w:tcPr>
            <w:tcW w:w="3721" w:type="dxa"/>
          </w:tcPr>
          <w:p>
            <w:pPr>
              <w:pStyle w:val="TableText"/>
            </w:pPr>
            <w:r>
              <w:rPr>
                <w:sz w:val="18"/>
                <w:szCs w:val="18"/>
              </w:rPr>
              <w:t xml:space="preserve">UQ (visit_id, case_insurance_id).</w:t>
            </w:r>
          </w:p>
        </w:tc>
      </w:tr>
      <w:tr>
        <w:trPr>
          <w:cantSplit/>
        </w:trPr>
        <w:tc>
          <w:tcPr>
            <w:tcW w:w="2742" w:type="dxa"/>
          </w:tcPr>
          <w:p>
            <w:pPr>
              <w:pStyle w:val="TableText"/>
            </w:pPr>
            <w:r>
              <w:rPr>
                <w:rFonts w:ascii="Consolas" w:hAnsi="Consolas" w:cs="Consolas"/>
                <w:sz w:val="18"/>
                <w:szCs w:val="18"/>
              </w:rPr>
              <w:t xml:space="preserve">case_insurance_id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case_insurance</w:t>
            </w:r>
          </w:p>
        </w:tc>
        <w:tc>
          <w:tcPr>
            <w:tcW w:w="3721" w:type="dxa"/>
          </w:tcPr>
          <w:p>
            <w:pPr>
              <w:pStyle w:val="TableText"/>
            </w:pPr>
            <w:r>
              <w:rPr>
                <w:sz w:val="18"/>
                <w:szCs w:val="18"/>
              </w:rPr>
              <w:t xml:space="preserve">The payer billed.</w:t>
            </w:r>
          </w:p>
        </w:tc>
      </w:tr>
      <w:tr>
        <w:trPr>
          <w:cantSplit/>
        </w:trPr>
        <w:tc>
          <w:tcPr>
            <w:tcW w:w="2742" w:type="dxa"/>
          </w:tcPr>
          <w:p>
            <w:pPr>
              <w:pStyle w:val="TableText"/>
            </w:pPr>
            <w:r>
              <w:rPr>
                <w:rFonts w:ascii="Consolas" w:hAnsi="Consolas" w:cs="Consolas"/>
                <w:sz w:val="18"/>
                <w:szCs w:val="18"/>
              </w:rPr>
              <w:t xml:space="preserve">format</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837P or CMS1500.</w:t>
            </w:r>
          </w:p>
        </w:tc>
      </w:tr>
      <w:tr>
        <w:trPr>
          <w:cantSplit/>
        </w:trPr>
        <w:tc>
          <w:tcPr>
            <w:tcW w:w="2742" w:type="dxa"/>
          </w:tcPr>
          <w:p>
            <w:pPr>
              <w:pStyle w:val="TableText"/>
            </w:pPr>
            <w:r>
              <w:rPr>
                <w:rFonts w:ascii="Consolas" w:hAnsi="Consolas" w:cs="Consolas"/>
                <w:sz w:val="18"/>
                <w:szCs w:val="18"/>
              </w:rPr>
              <w:t xml:space="preserve">status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Scrubbed, Failed, Rejected, Sent, Paid, Denied.</w:t>
            </w:r>
          </w:p>
        </w:tc>
      </w:tr>
      <w:tr>
        <w:trPr>
          <w:cantSplit/>
        </w:trPr>
        <w:tc>
          <w:tcPr>
            <w:tcW w:w="2742" w:type="dxa"/>
          </w:tcPr>
          <w:p>
            <w:pPr>
              <w:pStyle w:val="TableText"/>
            </w:pPr>
            <w:r>
              <w:rPr>
                <w:rFonts w:ascii="Consolas" w:hAnsi="Consolas" w:cs="Consolas"/>
                <w:sz w:val="18"/>
                <w:szCs w:val="18"/>
              </w:rPr>
              <w:t xml:space="preserve">sent_date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total_amount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Sum of the visit's charge lines.</w:t>
            </w:r>
          </w:p>
        </w:tc>
      </w:tr>
      <w:tr>
        <w:trPr>
          <w:cantSplit/>
        </w:trPr>
        <w:tc>
          <w:tcPr>
            <w:tcW w:w="2742" w:type="dxa"/>
          </w:tcPr>
          <w:p>
            <w:pPr>
              <w:pStyle w:val="TableText"/>
            </w:pPr>
            <w:r>
              <w:rPr>
                <w:rFonts w:ascii="Consolas" w:hAnsi="Consolas" w:cs="Consolas"/>
                <w:sz w:val="18"/>
                <w:szCs w:val="18"/>
              </w:rPr>
              <w:t xml:space="preserve">clearinghouse_ref</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Batch or control number.</w:t>
            </w:r>
          </w:p>
        </w:tc>
      </w:tr>
    </w:tbl>
    <w:p>
      <w:pPr>
        <w:pStyle w:val="Spacer"/>
      </w:pPr>
    </w:p>
    <w:p>
      <w:pPr>
        <w:pStyle w:val="TableName"/>
      </w:pPr>
      <w:r>
        <w:rPr>
          <w:rFonts w:ascii="Consolas" w:hAnsi="Consolas" w:cs="Consolas"/>
          <w:b/>
          <w:sz w:val="24"/>
          <w:szCs w:val="24"/>
        </w:rPr>
        <w:t xml:space="preserve">payment</w:t>
      </w:r>
      <w:r>
        <w:rPr>
          <w:color w:val="B68235"/>
          <w:sz w:val="15"/>
          <w:szCs w:val="15"/>
        </w:rPr>
        <w:t xml:space="preserve">   CORE</w:t>
      </w:r>
    </w:p>
    <w:p>
      <w:pPr>
        <w:pStyle w:val="Normal"/>
      </w:pPr>
      <w:r>
        <w:t xml:space="preserve">Money or a write-off applied to one charge line. Insurance payments arrive by check / EFT or an electronic 835 remittance; patient payments are copays and statement payments; adjustments are contractual write-offs and other non-cash reductions carrying a CARC reason code. Rows sharing a check number form a batch that must balance to the check amount.</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charge_line_id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charge_line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insurance_id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insurance</w:t>
            </w:r>
          </w:p>
        </w:tc>
        <w:tc>
          <w:tcPr>
            <w:tcW w:w="3721" w:type="dxa"/>
          </w:tcPr>
          <w:p>
            <w:pPr>
              <w:pStyle w:val="TableText"/>
            </w:pPr>
            <w:r>
              <w:rPr>
                <w:sz w:val="18"/>
                <w:szCs w:val="18"/>
              </w:rPr>
              <w:t xml:space="preserve">Null for patient payments.</w:t>
            </w:r>
          </w:p>
        </w:tc>
      </w:tr>
      <w:tr>
        <w:trPr>
          <w:cantSplit/>
        </w:trPr>
        <w:tc>
          <w:tcPr>
            <w:tcW w:w="2742" w:type="dxa"/>
          </w:tcPr>
          <w:p>
            <w:pPr>
              <w:pStyle w:val="TableText"/>
            </w:pPr>
            <w:r>
              <w:rPr>
                <w:rFonts w:ascii="Consolas" w:hAnsi="Consolas" w:cs="Consolas"/>
                <w:sz w:val="18"/>
                <w:szCs w:val="18"/>
              </w:rPr>
              <w:t xml:space="preserve">kind</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Insurance payment, Patient payment, Adjustment.</w:t>
            </w:r>
          </w:p>
        </w:tc>
      </w:tr>
      <w:tr>
        <w:trPr>
          <w:cantSplit/>
        </w:trPr>
        <w:tc>
          <w:tcPr>
            <w:tcW w:w="2742" w:type="dxa"/>
          </w:tcPr>
          <w:p>
            <w:pPr>
              <w:pStyle w:val="TableText"/>
            </w:pPr>
            <w:r>
              <w:rPr>
                <w:rFonts w:ascii="Consolas" w:hAnsi="Consolas" w:cs="Consolas"/>
                <w:sz w:val="18"/>
                <w:szCs w:val="18"/>
              </w:rPr>
              <w:t xml:space="preserve">amount</w:t>
            </w:r>
          </w:p>
        </w:tc>
        <w:tc>
          <w:tcPr>
            <w:tcW w:w="1371" w:type="dxa"/>
          </w:tcPr>
          <w:p>
            <w:pPr>
              <w:pStyle w:val="TableText"/>
            </w:pPr>
            <w:r>
              <w:rPr>
                <w:sz w:val="18"/>
                <w:szCs w:val="18"/>
              </w:rPr>
              <w:t xml:space="preserve">numeric(12,2)</w:t>
            </w:r>
          </w:p>
        </w:tc>
        <w:tc>
          <w:tcPr>
            <w:tcW w:w="1958" w:type="dxa"/>
          </w:tcPr>
          <w:p>
            <w:pPr>
              <w:pStyle w:val="TableText"/>
            </w:pPr>
            <w:r>
              <w:t/>
            </w:r>
          </w:p>
        </w:tc>
        <w:tc>
          <w:tcPr>
            <w:tcW w:w="3721" w:type="dxa"/>
          </w:tcPr>
          <w:p>
            <w:pPr>
              <w:pStyle w:val="TableText"/>
            </w:pPr>
            <w:r>
              <w:rPr>
                <w:sz w:val="18"/>
                <w:szCs w:val="18"/>
              </w:rPr>
              <w:t xml:space="preserve">Positive; reduces the line balance.</w:t>
            </w:r>
          </w:p>
        </w:tc>
      </w:tr>
      <w:tr>
        <w:trPr>
          <w:cantSplit/>
        </w:trPr>
        <w:tc>
          <w:tcPr>
            <w:tcW w:w="2742" w:type="dxa"/>
          </w:tcPr>
          <w:p>
            <w:pPr>
              <w:pStyle w:val="TableText"/>
            </w:pPr>
            <w:r>
              <w:rPr>
                <w:rFonts w:ascii="Consolas" w:hAnsi="Consolas" w:cs="Consolas"/>
                <w:sz w:val="18"/>
                <w:szCs w:val="18"/>
              </w:rPr>
              <w:t xml:space="preserve">reason_code</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CARC for adjustments (CO-45).</w:t>
            </w:r>
          </w:p>
        </w:tc>
      </w:tr>
      <w:tr>
        <w:trPr>
          <w:cantSplit/>
        </w:trPr>
        <w:tc>
          <w:tcPr>
            <w:tcW w:w="2742" w:type="dxa"/>
          </w:tcPr>
          <w:p>
            <w:pPr>
              <w:pStyle w:val="TableText"/>
            </w:pPr>
            <w:r>
              <w:rPr>
                <w:rFonts w:ascii="Consolas" w:hAnsi="Consolas" w:cs="Consolas"/>
                <w:sz w:val="18"/>
                <w:szCs w:val="18"/>
              </w:rPr>
              <w:t xml:space="preserve">check_number, check_date</w:t>
            </w:r>
          </w:p>
        </w:tc>
        <w:tc>
          <w:tcPr>
            <w:tcW w:w="1371" w:type="dxa"/>
          </w:tcPr>
          <w:p>
            <w:pPr>
              <w:pStyle w:val="TableText"/>
            </w:pPr>
            <w:r>
              <w:rPr>
                <w:sz w:val="18"/>
                <w:szCs w:val="18"/>
              </w:rPr>
              <w:t xml:space="preserve">text, date</w:t>
            </w:r>
          </w:p>
        </w:tc>
        <w:tc>
          <w:tcPr>
            <w:tcW w:w="1958" w:type="dxa"/>
          </w:tcPr>
          <w:p>
            <w:pPr>
              <w:pStyle w:val="TableText"/>
            </w:pPr>
            <w:r>
              <w:t/>
            </w:r>
          </w:p>
        </w:tc>
        <w:tc>
          <w:tcPr>
            <w:tcW w:w="3721" w:type="dxa"/>
          </w:tcPr>
          <w:p>
            <w:pPr>
              <w:pStyle w:val="TableText"/>
            </w:pPr>
            <w:r>
              <w:rPr>
                <w:sz w:val="18"/>
                <w:szCs w:val="18"/>
              </w:rPr>
              <w:t xml:space="preserve">Batch identity; ERA control number for 835s.</w:t>
            </w:r>
          </w:p>
        </w:tc>
      </w:tr>
      <w:tr>
        <w:trPr>
          <w:cantSplit/>
        </w:trPr>
        <w:tc>
          <w:tcPr>
            <w:tcW w:w="2742" w:type="dxa"/>
          </w:tcPr>
          <w:p>
            <w:pPr>
              <w:pStyle w:val="TableText"/>
            </w:pPr>
            <w:r>
              <w:rPr>
                <w:rFonts w:ascii="Consolas" w:hAnsi="Consolas" w:cs="Consolas"/>
                <w:sz w:val="18"/>
                <w:szCs w:val="18"/>
              </w:rPr>
              <w:t xml:space="preserve">posted_date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bl>
    <w:p>
      <w:pPr>
        <w:pStyle w:val="Spacer"/>
      </w:pPr>
    </w:p>
    <w:p>
      <w:pPr>
        <w:pStyle w:val="TableName"/>
      </w:pPr>
      <w:r>
        <w:rPr>
          <w:rFonts w:ascii="Consolas" w:hAnsi="Consolas" w:cs="Consolas"/>
          <w:b/>
          <w:sz w:val="24"/>
          <w:szCs w:val="24"/>
        </w:rPr>
        <w:t xml:space="preserve">denial</w:t>
      </w:r>
      <w:r>
        <w:rPr>
          <w:color w:val="B68235"/>
          <w:sz w:val="15"/>
          <w:szCs w:val="15"/>
        </w:rPr>
        <w:t xml:space="preserve">   CORE</w:t>
      </w:r>
    </w:p>
    <w:p>
      <w:pPr>
        <w:pStyle w:val="Normal"/>
      </w:pPr>
      <w:r>
        <w:t xml:space="preserve">A payer's refusal to pay a charge line on a claim, with its reason and remark codes and the work done to resolve it (appeal, correct and resend, write off). This is the Denial Management work queue.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742"/>
        <w:gridCol w:w="1371"/>
        <w:gridCol w:w="1958"/>
        <w:gridCol w:w="3721"/>
      </w:tblGrid>
      <w:tr>
        <w:trPr>
          <w:tblHeader/>
          <w:cantSplit/>
        </w:trPr>
        <w:tc>
          <w:tcPr>
            <w:tcW w:w="2742" w:type="dxa"/>
            <w:tcBorders>
              <w:bottom w:val="single" w:sz="6" w:color="201F1D"/>
            </w:tcBorders>
          </w:tcPr>
          <w:p>
            <w:pPr>
              <w:pStyle w:val="TableText"/>
            </w:pPr>
            <w:r>
              <w:rPr>
                <w:caps/>
                <w:color w:val="605D5D"/>
                <w:sz w:val="15"/>
                <w:szCs w:val="15"/>
              </w:rPr>
              <w:t xml:space="preserve">Column</w:t>
            </w:r>
          </w:p>
        </w:tc>
        <w:tc>
          <w:tcPr>
            <w:tcW w:w="1371" w:type="dxa"/>
            <w:tcBorders>
              <w:bottom w:val="single" w:sz="6" w:color="201F1D"/>
            </w:tcBorders>
          </w:tcPr>
          <w:p>
            <w:pPr>
              <w:pStyle w:val="TableText"/>
            </w:pPr>
            <w:r>
              <w:rPr>
                <w:caps/>
                <w:color w:val="605D5D"/>
                <w:sz w:val="15"/>
                <w:szCs w:val="15"/>
              </w:rPr>
              <w:t xml:space="preserve">Type</w:t>
            </w:r>
          </w:p>
        </w:tc>
        <w:tc>
          <w:tcPr>
            <w:tcW w:w="1958" w:type="dxa"/>
            <w:tcBorders>
              <w:bottom w:val="single" w:sz="6" w:color="201F1D"/>
            </w:tcBorders>
          </w:tcPr>
          <w:p>
            <w:pPr>
              <w:pStyle w:val="TableText"/>
            </w:pPr>
            <w:r>
              <w:rPr>
                <w:caps/>
                <w:color w:val="605D5D"/>
                <w:sz w:val="15"/>
                <w:szCs w:val="15"/>
              </w:rPr>
              <w:t xml:space="preserve">Key</w:t>
            </w:r>
          </w:p>
        </w:tc>
        <w:tc>
          <w:tcPr>
            <w:tcW w:w="3721" w:type="dxa"/>
            <w:tcBorders>
              <w:bottom w:val="single" w:sz="6" w:color="201F1D"/>
            </w:tcBorders>
          </w:tcPr>
          <w:p>
            <w:pPr>
              <w:pStyle w:val="TableText"/>
            </w:pPr>
            <w:r>
              <w:rPr>
                <w:caps/>
                <w:color w:val="605D5D"/>
                <w:sz w:val="15"/>
                <w:szCs w:val="15"/>
              </w:rPr>
              <w:t xml:space="preserve">Notes</w:t>
            </w:r>
          </w:p>
        </w:tc>
      </w:tr>
      <w:tr>
        <w:trPr>
          <w:cantSplit/>
        </w:trPr>
        <w:tc>
          <w:tcPr>
            <w:tcW w:w="2742" w:type="dxa"/>
          </w:tcPr>
          <w:p>
            <w:pPr>
              <w:pStyle w:val="TableText"/>
            </w:pPr>
            <w:r>
              <w:rPr>
                <w:rFonts w:ascii="Consolas" w:hAnsi="Consolas" w:cs="Consolas"/>
                <w:sz w:val="18"/>
                <w:szCs w:val="18"/>
              </w:rPr>
              <w:t xml:space="preserve">charge_line_id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charge_line</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claim_id</w:t>
            </w:r>
          </w:p>
        </w:tc>
        <w:tc>
          <w:tcPr>
            <w:tcW w:w="1371" w:type="dxa"/>
          </w:tcPr>
          <w:p>
            <w:pPr>
              <w:pStyle w:val="TableText"/>
            </w:pPr>
            <w:r>
              <w:rPr>
                <w:sz w:val="18"/>
                <w:szCs w:val="18"/>
              </w:rPr>
              <w:t xml:space="preserve">bigint</w:t>
            </w:r>
          </w:p>
        </w:tc>
        <w:tc>
          <w:tcPr>
            <w:tcW w:w="1958" w:type="dxa"/>
          </w:tcPr>
          <w:p>
            <w:pPr>
              <w:pStyle w:val="TableText"/>
            </w:pPr>
            <w:r>
              <w:rPr>
                <w:sz w:val="18"/>
                <w:szCs w:val="18"/>
              </w:rPr>
              <w:t xml:space="preserve">FK → claim</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carc, rarc</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Reason and remark codes.</w:t>
            </w:r>
          </w:p>
        </w:tc>
      </w:tr>
      <w:tr>
        <w:trPr>
          <w:cantSplit/>
        </w:trPr>
        <w:tc>
          <w:tcPr>
            <w:tcW w:w="2742" w:type="dxa"/>
          </w:tcPr>
          <w:p>
            <w:pPr>
              <w:pStyle w:val="TableText"/>
            </w:pPr>
            <w:r>
              <w:rPr>
                <w:rFonts w:ascii="Consolas" w:hAnsi="Consolas" w:cs="Consolas"/>
                <w:sz w:val="18"/>
                <w:szCs w:val="18"/>
              </w:rPr>
              <w:t xml:space="preserve">received_date</w:t>
            </w:r>
          </w:p>
        </w:tc>
        <w:tc>
          <w:tcPr>
            <w:tcW w:w="1371" w:type="dxa"/>
          </w:tcPr>
          <w:p>
            <w:pPr>
              <w:pStyle w:val="TableText"/>
            </w:pPr>
            <w:r>
              <w:rPr>
                <w:sz w:val="18"/>
                <w:szCs w:val="18"/>
              </w:rPr>
              <w:t xml:space="preserve">date</w:t>
            </w:r>
          </w:p>
        </w:tc>
        <w:tc>
          <w:tcPr>
            <w:tcW w:w="1958" w:type="dxa"/>
          </w:tcPr>
          <w:p>
            <w:pPr>
              <w:pStyle w:val="TableText"/>
            </w:pPr>
            <w:r>
              <w:t/>
            </w:r>
          </w:p>
        </w:tc>
        <w:tc>
          <w:tcPr>
            <w:tcW w:w="3721" w:type="dxa"/>
          </w:tcPr>
          <w:p>
            <w:pPr>
              <w:pStyle w:val="TableText"/>
            </w:pPr>
            <w:r>
              <w:t/>
            </w:r>
          </w:p>
        </w:tc>
      </w:tr>
      <w:tr>
        <w:trPr>
          <w:cantSplit/>
        </w:trPr>
        <w:tc>
          <w:tcPr>
            <w:tcW w:w="2742" w:type="dxa"/>
          </w:tcPr>
          <w:p>
            <w:pPr>
              <w:pStyle w:val="TableText"/>
            </w:pPr>
            <w:r>
              <w:rPr>
                <w:rFonts w:ascii="Consolas" w:hAnsi="Consolas" w:cs="Consolas"/>
                <w:sz w:val="18"/>
                <w:szCs w:val="18"/>
              </w:rPr>
              <w:t xml:space="preserve">status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rPr>
                <w:sz w:val="18"/>
                <w:szCs w:val="18"/>
              </w:rPr>
              <w:t xml:space="preserve">Open, Appealed, Resolved, Written off.</w:t>
            </w:r>
          </w:p>
        </w:tc>
      </w:tr>
      <w:tr>
        <w:trPr>
          <w:cantSplit/>
        </w:trPr>
        <w:tc>
          <w:tcPr>
            <w:tcW w:w="2742" w:type="dxa"/>
          </w:tcPr>
          <w:p>
            <w:pPr>
              <w:pStyle w:val="TableText"/>
            </w:pPr>
            <w:r>
              <w:rPr>
                <w:rFonts w:ascii="Consolas" w:hAnsi="Consolas" w:cs="Consolas"/>
                <w:sz w:val="18"/>
                <w:szCs w:val="18"/>
              </w:rPr>
              <w:t xml:space="preserve">notes</w:t>
            </w:r>
          </w:p>
        </w:tc>
        <w:tc>
          <w:tcPr>
            <w:tcW w:w="1371" w:type="dxa"/>
          </w:tcPr>
          <w:p>
            <w:pPr>
              <w:pStyle w:val="TableText"/>
            </w:pPr>
            <w:r>
              <w:rPr>
                <w:sz w:val="18"/>
                <w:szCs w:val="18"/>
              </w:rPr>
              <w:t xml:space="preserve">text</w:t>
            </w:r>
          </w:p>
        </w:tc>
        <w:tc>
          <w:tcPr>
            <w:tcW w:w="1958" w:type="dxa"/>
          </w:tcPr>
          <w:p>
            <w:pPr>
              <w:pStyle w:val="TableText"/>
            </w:pPr>
            <w:r>
              <w:t/>
            </w:r>
          </w:p>
        </w:tc>
        <w:tc>
          <w:tcPr>
            <w:tcW w:w="3721" w:type="dxa"/>
          </w:tcPr>
          <w:p>
            <w:pPr>
              <w:pStyle w:val="TableText"/>
            </w:pPr>
            <w:r>
              <w:t/>
            </w:r>
          </w:p>
        </w:tc>
      </w:tr>
    </w:tbl>
    <w:p>
      <w:pPr>
        <w:pStyle w:val="Spacer"/>
      </w:pPr>
    </w:p>
    <w:p>
      <w:pPr>
        <w:pStyle w:val="Heading2"/>
      </w:pPr>
      <w:r>
        <w:rPr>
          <w:color w:val="B68235"/>
        </w:rPr>
        <w:t xml:space="preserve">10.6</w:t>
      </w:r>
      <w:r>
        <w:t xml:space="preserve">User permissions</w:t>
      </w:r>
    </w:p>
    <w:p>
      <w:pPr>
        <w:pStyle w:val="Normal"/>
      </w:pPr>
      <w:r>
        <w:t xml:space="preserve">A request is allowed when two things hold: the user's role permits the action on that module (</w:t>
      </w:r>
      <w:r>
        <w:rPr>
          <w:rFonts w:ascii="Consolas" w:hAnsi="Consolas" w:cs="Consolas"/>
          <w:sz w:val="19"/>
          <w:szCs w:val="19"/>
        </w:rPr>
        <w:t xml:space="preserve">role.permissions</w:t>
      </w:r>
      <w:r>
        <w:t xml:space="preserve">), and the record belongs to a practice in the user's </w:t>
      </w:r>
      <w:r>
        <w:rPr>
          <w:rFonts w:ascii="Consolas" w:hAnsi="Consolas" w:cs="Consolas"/>
          <w:sz w:val="19"/>
          <w:szCs w:val="19"/>
        </w:rPr>
        <w:t xml:space="preserve">user_practice</w:t>
      </w:r>
      <w:r>
        <w:t xml:space="preserve"> list (or the role is global). Practice Admin defaults:</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154"/>
        <w:gridCol w:w="1567"/>
        <w:gridCol w:w="1567"/>
        <w:gridCol w:w="4504"/>
      </w:tblGrid>
      <w:tr>
        <w:trPr>
          <w:tblHeader/>
          <w:cantSplit/>
        </w:trPr>
        <w:tc>
          <w:tcPr>
            <w:tcW w:w="2154" w:type="dxa"/>
            <w:tcBorders>
              <w:bottom w:val="single" w:sz="6" w:color="201F1D"/>
            </w:tcBorders>
          </w:tcPr>
          <w:p>
            <w:pPr>
              <w:pStyle w:val="TableText"/>
            </w:pPr>
            <w:r>
              <w:rPr>
                <w:caps/>
                <w:color w:val="605D5D"/>
                <w:sz w:val="15"/>
                <w:szCs w:val="15"/>
              </w:rPr>
              <w:t xml:space="preserve">Module</w:t>
            </w:r>
          </w:p>
        </w:tc>
        <w:tc>
          <w:tcPr>
            <w:tcW w:w="1567" w:type="dxa"/>
            <w:tcBorders>
              <w:bottom w:val="single" w:sz="6" w:color="201F1D"/>
            </w:tcBorders>
          </w:tcPr>
          <w:p>
            <w:pPr>
              <w:pStyle w:val="TableText"/>
            </w:pPr>
            <w:r>
              <w:rPr>
                <w:caps/>
                <w:color w:val="605D5D"/>
                <w:sz w:val="15"/>
                <w:szCs w:val="15"/>
              </w:rPr>
              <w:t xml:space="preserve">System Admin</w:t>
            </w:r>
          </w:p>
        </w:tc>
        <w:tc>
          <w:tcPr>
            <w:tcW w:w="1567" w:type="dxa"/>
            <w:tcBorders>
              <w:bottom w:val="single" w:sz="6" w:color="201F1D"/>
            </w:tcBorders>
          </w:tcPr>
          <w:p>
            <w:pPr>
              <w:pStyle w:val="TableText"/>
            </w:pPr>
            <w:r>
              <w:rPr>
                <w:caps/>
                <w:color w:val="605D5D"/>
                <w:sz w:val="15"/>
                <w:szCs w:val="15"/>
              </w:rPr>
              <w:t xml:space="preserve">Practice Admin</w:t>
            </w:r>
          </w:p>
        </w:tc>
        <w:tc>
          <w:tcPr>
            <w:tcW w:w="4504" w:type="dxa"/>
            <w:tcBorders>
              <w:bottom w:val="single" w:sz="6" w:color="201F1D"/>
            </w:tcBorders>
          </w:tcPr>
          <w:p>
            <w:pPr>
              <w:pStyle w:val="TableText"/>
            </w:pPr>
            <w:r>
              <w:rPr>
                <w:caps/>
                <w:color w:val="605D5D"/>
                <w:sz w:val="15"/>
                <w:szCs w:val="15"/>
              </w:rPr>
              <w:t xml:space="preserve">Practice Admin limits</w:t>
            </w:r>
          </w:p>
        </w:tc>
      </w:tr>
      <w:tr>
        <w:trPr>
          <w:cantSplit/>
        </w:trPr>
        <w:tc>
          <w:tcPr>
            <w:tcW w:w="2154" w:type="dxa"/>
          </w:tcPr>
          <w:p>
            <w:pPr>
              <w:pStyle w:val="TableText"/>
            </w:pPr>
            <w:r>
              <w:rPr>
                <w:sz w:val="19"/>
                <w:szCs w:val="19"/>
              </w:rPr>
              <w:t xml:space="preserve">Dashboard</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R</w:t>
            </w:r>
          </w:p>
        </w:tc>
        <w:tc>
          <w:tcPr>
            <w:tcW w:w="4504" w:type="dxa"/>
          </w:tcPr>
          <w:p>
            <w:pPr>
              <w:pStyle w:val="TableText"/>
            </w:pPr>
            <w:r>
              <w:t/>
            </w:r>
          </w:p>
        </w:tc>
      </w:tr>
      <w:tr>
        <w:trPr>
          <w:cantSplit/>
        </w:trPr>
        <w:tc>
          <w:tcPr>
            <w:tcW w:w="2154" w:type="dxa"/>
          </w:tcPr>
          <w:p>
            <w:pPr>
              <w:pStyle w:val="TableText"/>
            </w:pPr>
            <w:r>
              <w:rPr>
                <w:sz w:val="19"/>
                <w:szCs w:val="19"/>
              </w:rPr>
              <w:t xml:space="preserve">Patient</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 D</w:t>
            </w:r>
          </w:p>
        </w:tc>
        <w:tc>
          <w:tcPr>
            <w:tcW w:w="4504" w:type="dxa"/>
          </w:tcPr>
          <w:p>
            <w:pPr>
              <w:pStyle w:val="TableText"/>
            </w:pPr>
            <w:r>
              <w:rPr>
                <w:sz w:val="19"/>
                <w:szCs w:val="19"/>
              </w:rPr>
              <w:t xml:space="preserve">Patients, cases, coverage, authorizations.</w:t>
            </w:r>
          </w:p>
        </w:tc>
      </w:tr>
      <w:tr>
        <w:trPr>
          <w:cantSplit/>
        </w:trPr>
        <w:tc>
          <w:tcPr>
            <w:tcW w:w="2154" w:type="dxa"/>
          </w:tcPr>
          <w:p>
            <w:pPr>
              <w:pStyle w:val="TableText"/>
            </w:pPr>
            <w:r>
              <w:rPr>
                <w:sz w:val="19"/>
                <w:szCs w:val="19"/>
              </w:rPr>
              <w:t xml:space="preserve">Charges</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 D</w:t>
            </w:r>
          </w:p>
        </w:tc>
        <w:tc>
          <w:tcPr>
            <w:tcW w:w="4504" w:type="dxa"/>
          </w:tcPr>
          <w:p>
            <w:pPr>
              <w:pStyle w:val="TableText"/>
            </w:pPr>
            <w:r>
              <w:rPr>
                <w:sz w:val="19"/>
                <w:szCs w:val="19"/>
              </w:rPr>
              <w:t xml:space="preserve">Review, pend, release visits.</w:t>
            </w:r>
          </w:p>
        </w:tc>
      </w:tr>
      <w:tr>
        <w:trPr>
          <w:cantSplit/>
        </w:trPr>
        <w:tc>
          <w:tcPr>
            <w:tcW w:w="2154" w:type="dxa"/>
          </w:tcPr>
          <w:p>
            <w:pPr>
              <w:pStyle w:val="TableText"/>
            </w:pPr>
            <w:r>
              <w:rPr>
                <w:sz w:val="19"/>
                <w:szCs w:val="19"/>
              </w:rPr>
              <w:t xml:space="preserve">Billing</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rPr>
                <w:sz w:val="19"/>
                <w:szCs w:val="19"/>
              </w:rPr>
              <w:t xml:space="preserve">Cannot delete a sent claim.</w:t>
            </w:r>
          </w:p>
        </w:tc>
      </w:tr>
      <w:tr>
        <w:trPr>
          <w:cantSplit/>
        </w:trPr>
        <w:tc>
          <w:tcPr>
            <w:tcW w:w="2154" w:type="dxa"/>
          </w:tcPr>
          <w:p>
            <w:pPr>
              <w:pStyle w:val="TableText"/>
            </w:pPr>
            <w:r>
              <w:rPr>
                <w:sz w:val="19"/>
                <w:szCs w:val="19"/>
              </w:rPr>
              <w:t xml:space="preserve">Payments</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rPr>
                <w:sz w:val="19"/>
                <w:szCs w:val="19"/>
              </w:rPr>
              <w:t xml:space="preserve">Reversals are posted, not deleted.</w:t>
            </w:r>
          </w:p>
        </w:tc>
      </w:tr>
      <w:tr>
        <w:trPr>
          <w:cantSplit/>
        </w:trPr>
        <w:tc>
          <w:tcPr>
            <w:tcW w:w="2154" w:type="dxa"/>
          </w:tcPr>
          <w:p>
            <w:pPr>
              <w:pStyle w:val="TableText"/>
            </w:pPr>
            <w:r>
              <w:rPr>
                <w:sz w:val="19"/>
                <w:szCs w:val="19"/>
              </w:rPr>
              <w:t xml:space="preserve">Denial Management</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t/>
            </w:r>
          </w:p>
        </w:tc>
      </w:tr>
      <w:tr>
        <w:trPr>
          <w:cantSplit/>
        </w:trPr>
        <w:tc>
          <w:tcPr>
            <w:tcW w:w="2154" w:type="dxa"/>
          </w:tcPr>
          <w:p>
            <w:pPr>
              <w:pStyle w:val="TableText"/>
            </w:pPr>
            <w:r>
              <w:rPr>
                <w:sz w:val="19"/>
                <w:szCs w:val="19"/>
              </w:rPr>
              <w:t xml:space="preserve">AR Follow-up</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t/>
            </w:r>
          </w:p>
        </w:tc>
      </w:tr>
      <w:tr>
        <w:trPr>
          <w:cantSplit/>
        </w:trPr>
        <w:tc>
          <w:tcPr>
            <w:tcW w:w="2154" w:type="dxa"/>
          </w:tcPr>
          <w:p>
            <w:pPr>
              <w:pStyle w:val="TableText"/>
            </w:pPr>
            <w:r>
              <w:rPr>
                <w:sz w:val="19"/>
                <w:szCs w:val="19"/>
              </w:rPr>
              <w:t xml:space="preserve">Reports</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R</w:t>
            </w:r>
          </w:p>
        </w:tc>
        <w:tc>
          <w:tcPr>
            <w:tcW w:w="4504" w:type="dxa"/>
          </w:tcPr>
          <w:p>
            <w:pPr>
              <w:pStyle w:val="TableText"/>
            </w:pPr>
            <w:r>
              <w:rPr>
                <w:sz w:val="19"/>
                <w:szCs w:val="19"/>
              </w:rPr>
              <w:t xml:space="preserve">Granted practices only.</w:t>
            </w:r>
          </w:p>
        </w:tc>
      </w:tr>
      <w:tr>
        <w:trPr>
          <w:cantSplit/>
        </w:trPr>
        <w:tc>
          <w:tcPr>
            <w:tcW w:w="2154" w:type="dxa"/>
          </w:tcPr>
          <w:p>
            <w:pPr>
              <w:pStyle w:val="TableText"/>
            </w:pPr>
            <w:r>
              <w:rPr>
                <w:sz w:val="19"/>
                <w:szCs w:val="19"/>
              </w:rPr>
              <w:t xml:space="preserve">Month End</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w:t>
            </w:r>
          </w:p>
        </w:tc>
        <w:tc>
          <w:tcPr>
            <w:tcW w:w="4504" w:type="dxa"/>
          </w:tcPr>
          <w:p>
            <w:pPr>
              <w:pStyle w:val="TableText"/>
            </w:pPr>
            <w:r>
              <w:rPr>
                <w:sz w:val="19"/>
                <w:szCs w:val="19"/>
              </w:rPr>
              <w:t xml:space="preserve">Cannot reopen a closed period.</w:t>
            </w:r>
          </w:p>
        </w:tc>
      </w:tr>
      <w:tr>
        <w:trPr>
          <w:cantSplit/>
        </w:trPr>
        <w:tc>
          <w:tcPr>
            <w:tcW w:w="2154" w:type="dxa"/>
          </w:tcPr>
          <w:p>
            <w:pPr>
              <w:pStyle w:val="TableText"/>
            </w:pPr>
            <w:r>
              <w:rPr>
                <w:sz w:val="19"/>
                <w:szCs w:val="19"/>
              </w:rPr>
              <w:t xml:space="preserve">Admin</w:t>
            </w:r>
          </w:p>
        </w:tc>
        <w:tc>
          <w:tcPr>
            <w:tcW w:w="1567" w:type="dxa"/>
          </w:tcPr>
          <w:p>
            <w:pPr>
              <w:pStyle w:val="TableText"/>
            </w:pPr>
            <w:r>
              <w:rPr>
                <w:sz w:val="19"/>
                <w:szCs w:val="19"/>
              </w:rPr>
              <w:t xml:space="preserve">C R U D</w:t>
            </w:r>
          </w:p>
        </w:tc>
        <w:tc>
          <w:tcPr>
            <w:tcW w:w="1567" w:type="dxa"/>
          </w:tcPr>
          <w:p>
            <w:pPr>
              <w:pStyle w:val="TableText"/>
            </w:pPr>
            <w:r>
              <w:rPr>
                <w:sz w:val="19"/>
                <w:szCs w:val="19"/>
              </w:rPr>
              <w:t xml:space="preserve">C R U</w:t>
            </w:r>
          </w:p>
        </w:tc>
        <w:tc>
          <w:tcPr>
            <w:tcW w:w="4504" w:type="dxa"/>
          </w:tcPr>
          <w:p>
            <w:pPr>
              <w:pStyle w:val="TableText"/>
            </w:pPr>
            <w:r>
              <w:rPr>
                <w:sz w:val="19"/>
                <w:szCs w:val="19"/>
              </w:rPr>
              <w:t xml:space="preserve">Manages setup and users of granted practices; cannot create practices or grant System Admin.</w:t>
            </w:r>
          </w:p>
        </w:tc>
      </w:tr>
    </w:tbl>
    <w:p>
      <w:pPr>
        <w:pStyle w:val="Spacer"/>
      </w:pPr>
    </w:p>
    <w:p>
      <w:pPr>
        <w:pStyle w:val="Normal"/>
      </w:pPr>
      <w:r>
        <w:t xml:space="preserve">Encrypted fields (</w:t>
      </w:r>
      <w:r>
        <w:rPr>
          <w:rFonts w:ascii="Consolas" w:hAnsi="Consolas" w:cs="Consolas"/>
          <w:sz w:val="19"/>
          <w:szCs w:val="19"/>
        </w:rPr>
        <w:t xml:space="preserve">ssn_enc</w:t>
      </w:r>
      <w:r>
        <w:t xml:space="preserve">, </w:t>
      </w:r>
      <w:r>
        <w:rPr>
          <w:rFonts w:ascii="Consolas" w:hAnsi="Consolas" w:cs="Consolas"/>
          <w:sz w:val="19"/>
          <w:szCs w:val="19"/>
        </w:rPr>
        <w:t xml:space="preserve">portal_password_enc</w:t>
      </w:r>
      <w:r>
        <w:t xml:space="preserve">) are decrypted only for System Admin; everyone else receives a masked value.</w:t>
      </w:r>
    </w:p>
    <w:p>
      <w:pPr>
        <w:pStyle w:val="Heading2"/>
      </w:pPr>
      <w:r>
        <w:rPr>
          <w:color w:val="B68235"/>
        </w:rPr>
        <w:t xml:space="preserve">10.7</w:t>
      </w:r>
      <w:r>
        <w:t xml:space="preserve">Relations at a glance</w:t>
      </w:r>
    </w:p>
    <w:tbl>
      <w:tblPr>
        <w:tblW w:w="9792" w:type="dxa"/>
        <w:tblLayout w:type="fixed"/>
        <w:tblBorders>
          <w:top w:val="nil"/>
          <w:left w:val="nil"/>
          <w:right w:val="nil"/>
          <w:insideV w:val="nil"/>
          <w:bottom w:val="single" w:sz="4" w:color="D7D3D3"/>
          <w:insideH w:val="single" w:sz="4" w:color="D7D3D3"/>
        </w:tblBorders>
        <w:tblCellMar>
          <w:top w:w="70" w:type="dxa"/>
          <w:left w:w="80" w:type="dxa"/>
          <w:bottom w:w="70" w:type="dxa"/>
          <w:right w:w="80" w:type="dxa"/>
        </w:tblCellMar>
      </w:tblPr>
      <w:tblGrid>
        <w:gridCol w:w="2350"/>
        <w:gridCol w:w="2742"/>
        <w:gridCol w:w="1175"/>
        <w:gridCol w:w="3525"/>
      </w:tblGrid>
      <w:tr>
        <w:trPr>
          <w:tblHeader/>
          <w:cantSplit/>
        </w:trPr>
        <w:tc>
          <w:tcPr>
            <w:tcW w:w="2350" w:type="dxa"/>
            <w:tcBorders>
              <w:bottom w:val="single" w:sz="6" w:color="201F1D"/>
            </w:tcBorders>
          </w:tcPr>
          <w:p>
            <w:pPr>
              <w:pStyle w:val="TableText"/>
            </w:pPr>
            <w:r>
              <w:rPr>
                <w:caps/>
                <w:color w:val="605D5D"/>
                <w:sz w:val="15"/>
                <w:szCs w:val="15"/>
              </w:rPr>
              <w:t xml:space="preserve">Parent</w:t>
            </w:r>
          </w:p>
        </w:tc>
        <w:tc>
          <w:tcPr>
            <w:tcW w:w="2742" w:type="dxa"/>
            <w:tcBorders>
              <w:bottom w:val="single" w:sz="6" w:color="201F1D"/>
            </w:tcBorders>
          </w:tcPr>
          <w:p>
            <w:pPr>
              <w:pStyle w:val="TableText"/>
            </w:pPr>
            <w:r>
              <w:rPr>
                <w:caps/>
                <w:color w:val="605D5D"/>
                <w:sz w:val="15"/>
                <w:szCs w:val="15"/>
              </w:rPr>
              <w:t xml:space="preserve">Child</w:t>
            </w:r>
          </w:p>
        </w:tc>
        <w:tc>
          <w:tcPr>
            <w:tcW w:w="1175" w:type="dxa"/>
            <w:tcBorders>
              <w:bottom w:val="single" w:sz="6" w:color="201F1D"/>
            </w:tcBorders>
          </w:tcPr>
          <w:p>
            <w:pPr>
              <w:pStyle w:val="TableText"/>
            </w:pPr>
            <w:r>
              <w:rPr>
                <w:caps/>
                <w:color w:val="605D5D"/>
                <w:sz w:val="15"/>
                <w:szCs w:val="15"/>
              </w:rPr>
              <w:t xml:space="preserve">Cardinality</w:t>
            </w:r>
          </w:p>
        </w:tc>
        <w:tc>
          <w:tcPr>
            <w:tcW w:w="3525" w:type="dxa"/>
            <w:tcBorders>
              <w:bottom w:val="single" w:sz="6" w:color="201F1D"/>
            </w:tcBorders>
          </w:tcPr>
          <w:p>
            <w:pPr>
              <w:pStyle w:val="TableText"/>
            </w:pPr>
            <w:r>
              <w:rPr>
                <w:caps/>
                <w:color w:val="605D5D"/>
                <w:sz w:val="15"/>
                <w:szCs w:val="15"/>
              </w:rPr>
              <w:t xml:space="preserve">Meaning</w:t>
            </w:r>
          </w:p>
        </w:tc>
      </w:tr>
      <w:tr>
        <w:trPr>
          <w:cantSplit/>
        </w:trPr>
        <w:tc>
          <w:tcPr>
            <w:tcW w:w="2350" w:type="dxa"/>
          </w:tcPr>
          <w:p>
            <w:pPr>
              <w:pStyle w:val="TableText"/>
            </w:pPr>
            <w:r>
              <w:rPr>
                <w:rFonts w:ascii="Consolas" w:hAnsi="Consolas" w:cs="Consolas"/>
                <w:sz w:val="19"/>
                <w:szCs w:val="19"/>
              </w:rPr>
              <w:t xml:space="preserve">company</w:t>
            </w:r>
          </w:p>
        </w:tc>
        <w:tc>
          <w:tcPr>
            <w:tcW w:w="2742" w:type="dxa"/>
          </w:tcPr>
          <w:p>
            <w:pPr>
              <w:pStyle w:val="TableText"/>
            </w:pPr>
            <w:r>
              <w:rPr>
                <w:rFonts w:ascii="Consolas" w:hAnsi="Consolas" w:cs="Consolas"/>
                <w:sz w:val="19"/>
                <w:szCs w:val="19"/>
              </w:rPr>
              <w:t xml:space="preserve">practice</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Optional owner, for cross-practice reports.</w:t>
            </w:r>
          </w:p>
        </w:tc>
      </w:tr>
      <w:tr>
        <w:trPr>
          <w:cantSplit/>
        </w:trPr>
        <w:tc>
          <w:tcPr>
            <w:tcW w:w="2350" w:type="dxa"/>
          </w:tcPr>
          <w:p>
            <w:pPr>
              <w:pStyle w:val="TableText"/>
            </w:pPr>
            <w:r>
              <w:rPr>
                <w:rFonts w:ascii="Consolas" w:hAnsi="Consolas" w:cs="Consolas"/>
                <w:sz w:val="19"/>
                <w:szCs w:val="19"/>
              </w:rPr>
              <w:t xml:space="preserve">practice</w:t>
            </w:r>
          </w:p>
        </w:tc>
        <w:tc>
          <w:tcPr>
            <w:tcW w:w="2742" w:type="dxa"/>
          </w:tcPr>
          <w:p>
            <w:pPr>
              <w:pStyle w:val="TableText"/>
            </w:pPr>
            <w:r>
              <w:rPr>
                <w:rFonts w:ascii="Consolas" w:hAnsi="Consolas" w:cs="Consolas"/>
                <w:sz w:val="19"/>
                <w:szCs w:val="19"/>
              </w:rPr>
              <w:t xml:space="preserve">location, provider, insurance, referring_physician, patient</w:t>
            </w:r>
          </w:p>
        </w:tc>
        <w:tc>
          <w:tcPr>
            <w:tcW w:w="1175" w:type="dxa"/>
          </w:tcPr>
          <w:p>
            <w:pPr>
              <w:pStyle w:val="TableText"/>
            </w:pPr>
            <w:r>
              <w:rPr>
                <w:sz w:val="19"/>
                <w:szCs w:val="19"/>
              </w:rPr>
              <w:t xml:space="preserve">1 : *</w:t>
            </w:r>
          </w:p>
        </w:tc>
        <w:tc>
          <w:tcPr>
            <w:tcW w:w="3525" w:type="dxa"/>
          </w:tcPr>
          <w:p>
            <w:pPr>
              <w:pStyle w:val="TableText"/>
            </w:pPr>
            <w:r>
              <w:rPr>
                <w:sz w:val="19"/>
                <w:szCs w:val="19"/>
              </w:rPr>
              <w:t xml:space="preserve">Everything is scoped to a practice.</w:t>
            </w:r>
          </w:p>
        </w:tc>
      </w:tr>
      <w:tr>
        <w:trPr>
          <w:cantSplit/>
        </w:trPr>
        <w:tc>
          <w:tcPr>
            <w:tcW w:w="2350" w:type="dxa"/>
          </w:tcPr>
          <w:p>
            <w:pPr>
              <w:pStyle w:val="TableText"/>
            </w:pPr>
            <w:r>
              <w:rPr>
                <w:rFonts w:ascii="Consolas" w:hAnsi="Consolas" w:cs="Consolas"/>
                <w:sz w:val="19"/>
                <w:szCs w:val="19"/>
              </w:rPr>
              <w:t xml:space="preserve">app_user ↔ practice</w:t>
            </w:r>
          </w:p>
        </w:tc>
        <w:tc>
          <w:tcPr>
            <w:tcW w:w="2742" w:type="dxa"/>
          </w:tcPr>
          <w:p>
            <w:pPr>
              <w:pStyle w:val="TableText"/>
            </w:pPr>
            <w:r>
              <w:rPr>
                <w:rFonts w:ascii="Consolas" w:hAnsi="Consolas" w:cs="Consolas"/>
                <w:sz w:val="19"/>
                <w:szCs w:val="19"/>
              </w:rPr>
              <w:t xml:space="preserve">user_practice</w:t>
            </w:r>
          </w:p>
        </w:tc>
        <w:tc>
          <w:tcPr>
            <w:tcW w:w="1175" w:type="dxa"/>
          </w:tcPr>
          <w:p>
            <w:pPr>
              <w:pStyle w:val="TableText"/>
            </w:pPr>
            <w:r>
              <w:rPr>
                <w:sz w:val="19"/>
                <w:szCs w:val="19"/>
              </w:rPr>
              <w:t xml:space="preserve">* : *</w:t>
            </w:r>
          </w:p>
        </w:tc>
        <w:tc>
          <w:tcPr>
            <w:tcW w:w="3525" w:type="dxa"/>
          </w:tcPr>
          <w:p>
            <w:pPr>
              <w:pStyle w:val="TableText"/>
            </w:pPr>
            <w:r>
              <w:rPr>
                <w:sz w:val="19"/>
                <w:szCs w:val="19"/>
              </w:rPr>
              <w:t xml:space="preserve">Where the user may work.</w:t>
            </w:r>
          </w:p>
        </w:tc>
      </w:tr>
      <w:tr>
        <w:trPr>
          <w:cantSplit/>
        </w:trPr>
        <w:tc>
          <w:tcPr>
            <w:tcW w:w="2350" w:type="dxa"/>
          </w:tcPr>
          <w:p>
            <w:pPr>
              <w:pStyle w:val="TableText"/>
            </w:pPr>
            <w:r>
              <w:rPr>
                <w:rFonts w:ascii="Consolas" w:hAnsi="Consolas" w:cs="Consolas"/>
                <w:sz w:val="19"/>
                <w:szCs w:val="19"/>
              </w:rPr>
              <w:t xml:space="preserve">app_user ↔ role</w:t>
            </w:r>
          </w:p>
        </w:tc>
        <w:tc>
          <w:tcPr>
            <w:tcW w:w="2742" w:type="dxa"/>
          </w:tcPr>
          <w:p>
            <w:pPr>
              <w:pStyle w:val="TableText"/>
            </w:pPr>
            <w:r>
              <w:rPr>
                <w:rFonts w:ascii="Consolas" w:hAnsi="Consolas" w:cs="Consolas"/>
                <w:sz w:val="19"/>
                <w:szCs w:val="19"/>
              </w:rPr>
              <w:t xml:space="preserve">user_role</w:t>
            </w:r>
          </w:p>
        </w:tc>
        <w:tc>
          <w:tcPr>
            <w:tcW w:w="1175" w:type="dxa"/>
          </w:tcPr>
          <w:p>
            <w:pPr>
              <w:pStyle w:val="TableText"/>
            </w:pPr>
            <w:r>
              <w:rPr>
                <w:sz w:val="19"/>
                <w:szCs w:val="19"/>
              </w:rPr>
              <w:t xml:space="preserve">* : *</w:t>
            </w:r>
          </w:p>
        </w:tc>
        <w:tc>
          <w:tcPr>
            <w:tcW w:w="3525" w:type="dxa"/>
          </w:tcPr>
          <w:p>
            <w:pPr>
              <w:pStyle w:val="TableText"/>
            </w:pPr>
            <w:r>
              <w:rPr>
                <w:sz w:val="19"/>
                <w:szCs w:val="19"/>
              </w:rPr>
              <w:t xml:space="preserve">What the user may do.</w:t>
            </w:r>
          </w:p>
        </w:tc>
      </w:tr>
      <w:tr>
        <w:trPr>
          <w:cantSplit/>
        </w:trPr>
        <w:tc>
          <w:tcPr>
            <w:tcW w:w="2350" w:type="dxa"/>
          </w:tcPr>
          <w:p>
            <w:pPr>
              <w:pStyle w:val="TableText"/>
            </w:pPr>
            <w:r>
              <w:rPr>
                <w:rFonts w:ascii="Consolas" w:hAnsi="Consolas" w:cs="Consolas"/>
                <w:sz w:val="19"/>
                <w:szCs w:val="19"/>
              </w:rPr>
              <w:t xml:space="preserve">insurance ↔ procedure_code</w:t>
            </w:r>
          </w:p>
        </w:tc>
        <w:tc>
          <w:tcPr>
            <w:tcW w:w="2742" w:type="dxa"/>
          </w:tcPr>
          <w:p>
            <w:pPr>
              <w:pStyle w:val="TableText"/>
            </w:pPr>
            <w:r>
              <w:rPr>
                <w:rFonts w:ascii="Consolas" w:hAnsi="Consolas" w:cs="Consolas"/>
                <w:sz w:val="19"/>
                <w:szCs w:val="19"/>
              </w:rPr>
              <w:t xml:space="preserve">fee_schedule</w:t>
            </w:r>
          </w:p>
        </w:tc>
        <w:tc>
          <w:tcPr>
            <w:tcW w:w="1175" w:type="dxa"/>
          </w:tcPr>
          <w:p>
            <w:pPr>
              <w:pStyle w:val="TableText"/>
            </w:pPr>
            <w:r>
              <w:rPr>
                <w:sz w:val="19"/>
                <w:szCs w:val="19"/>
              </w:rPr>
              <w:t xml:space="preserve">* : *</w:t>
            </w:r>
          </w:p>
        </w:tc>
        <w:tc>
          <w:tcPr>
            <w:tcW w:w="3525" w:type="dxa"/>
          </w:tcPr>
          <w:p>
            <w:pPr>
              <w:pStyle w:val="TableText"/>
            </w:pPr>
            <w:r>
              <w:rPr>
                <w:sz w:val="19"/>
                <w:szCs w:val="19"/>
              </w:rPr>
              <w:t xml:space="preserve">Contracted price per code.</w:t>
            </w:r>
          </w:p>
        </w:tc>
      </w:tr>
      <w:tr>
        <w:trPr>
          <w:cantSplit/>
        </w:trPr>
        <w:tc>
          <w:tcPr>
            <w:tcW w:w="2350" w:type="dxa"/>
          </w:tcPr>
          <w:p>
            <w:pPr>
              <w:pStyle w:val="TableText"/>
            </w:pPr>
            <w:r>
              <w:rPr>
                <w:rFonts w:ascii="Consolas" w:hAnsi="Consolas" w:cs="Consolas"/>
                <w:sz w:val="19"/>
                <w:szCs w:val="19"/>
              </w:rPr>
              <w:t xml:space="preserve">patient</w:t>
            </w:r>
          </w:p>
        </w:tc>
        <w:tc>
          <w:tcPr>
            <w:tcW w:w="2742" w:type="dxa"/>
          </w:tcPr>
          <w:p>
            <w:pPr>
              <w:pStyle w:val="TableText"/>
            </w:pPr>
            <w:r>
              <w:rPr>
                <w:rFonts w:ascii="Consolas" w:hAnsi="Consolas" w:cs="Consolas"/>
                <w:sz w:val="19"/>
                <w:szCs w:val="19"/>
              </w:rPr>
              <w:t xml:space="preserve">patient_case</w:t>
            </w:r>
          </w:p>
        </w:tc>
        <w:tc>
          <w:tcPr>
            <w:tcW w:w="1175" w:type="dxa"/>
          </w:tcPr>
          <w:p>
            <w:pPr>
              <w:pStyle w:val="TableText"/>
            </w:pPr>
            <w:r>
              <w:rPr>
                <w:sz w:val="19"/>
                <w:szCs w:val="19"/>
              </w:rPr>
              <w:t xml:space="preserve">1 : 1..*</w:t>
            </w:r>
          </w:p>
        </w:tc>
        <w:tc>
          <w:tcPr>
            <w:tcW w:w="3525" w:type="dxa"/>
          </w:tcPr>
          <w:p>
            <w:pPr>
              <w:pStyle w:val="TableText"/>
            </w:pPr>
            <w:r>
              <w:rPr>
                <w:sz w:val="19"/>
                <w:szCs w:val="19"/>
              </w:rPr>
              <w:t xml:space="preserve">Episodes of care.</w:t>
            </w:r>
          </w:p>
        </w:tc>
      </w:tr>
      <w:tr>
        <w:trPr>
          <w:cantSplit/>
        </w:trPr>
        <w:tc>
          <w:tcPr>
            <w:tcW w:w="2350" w:type="dxa"/>
          </w:tcPr>
          <w:p>
            <w:pPr>
              <w:pStyle w:val="TableText"/>
            </w:pPr>
            <w:r>
              <w:rPr>
                <w:rFonts w:ascii="Consolas" w:hAnsi="Consolas" w:cs="Consolas"/>
                <w:sz w:val="19"/>
                <w:szCs w:val="19"/>
              </w:rPr>
              <w:t xml:space="preserve">patient_case</w:t>
            </w:r>
          </w:p>
        </w:tc>
        <w:tc>
          <w:tcPr>
            <w:tcW w:w="2742" w:type="dxa"/>
          </w:tcPr>
          <w:p>
            <w:pPr>
              <w:pStyle w:val="TableText"/>
            </w:pPr>
            <w:r>
              <w:rPr>
                <w:rFonts w:ascii="Consolas" w:hAnsi="Consolas" w:cs="Consolas"/>
                <w:sz w:val="19"/>
                <w:szCs w:val="19"/>
              </w:rPr>
              <w:t xml:space="preserve">location, provider, referring_physician</w:t>
            </w:r>
          </w:p>
        </w:tc>
        <w:tc>
          <w:tcPr>
            <w:tcW w:w="1175" w:type="dxa"/>
          </w:tcPr>
          <w:p>
            <w:pPr>
              <w:pStyle w:val="TableText"/>
            </w:pPr>
            <w:r>
              <w:rPr>
                <w:sz w:val="19"/>
                <w:szCs w:val="19"/>
              </w:rPr>
              <w:t xml:space="preserve">* : 1</w:t>
            </w:r>
          </w:p>
        </w:tc>
        <w:tc>
          <w:tcPr>
            <w:tcW w:w="3525" w:type="dxa"/>
          </w:tcPr>
          <w:p>
            <w:pPr>
              <w:pStyle w:val="TableText"/>
            </w:pPr>
            <w:r>
              <w:rPr>
                <w:sz w:val="19"/>
                <w:szCs w:val="19"/>
              </w:rPr>
              <w:t xml:space="preserve">Where, by whom, referred by whom.</w:t>
            </w:r>
          </w:p>
        </w:tc>
      </w:tr>
      <w:tr>
        <w:trPr>
          <w:cantSplit/>
        </w:trPr>
        <w:tc>
          <w:tcPr>
            <w:tcW w:w="2350" w:type="dxa"/>
          </w:tcPr>
          <w:p>
            <w:pPr>
              <w:pStyle w:val="TableText"/>
            </w:pPr>
            <w:r>
              <w:rPr>
                <w:rFonts w:ascii="Consolas" w:hAnsi="Consolas" w:cs="Consolas"/>
                <w:sz w:val="19"/>
                <w:szCs w:val="19"/>
              </w:rPr>
              <w:t xml:space="preserve">patient_case</w:t>
            </w:r>
          </w:p>
        </w:tc>
        <w:tc>
          <w:tcPr>
            <w:tcW w:w="2742" w:type="dxa"/>
          </w:tcPr>
          <w:p>
            <w:pPr>
              <w:pStyle w:val="TableText"/>
            </w:pPr>
            <w:r>
              <w:rPr>
                <w:rFonts w:ascii="Consolas" w:hAnsi="Consolas" w:cs="Consolas"/>
                <w:sz w:val="19"/>
                <w:szCs w:val="19"/>
              </w:rPr>
              <w:t xml:space="preserve">case_diagnosis</w:t>
            </w:r>
          </w:p>
        </w:tc>
        <w:tc>
          <w:tcPr>
            <w:tcW w:w="1175" w:type="dxa"/>
          </w:tcPr>
          <w:p>
            <w:pPr>
              <w:pStyle w:val="TableText"/>
            </w:pPr>
            <w:r>
              <w:rPr>
                <w:sz w:val="19"/>
                <w:szCs w:val="19"/>
              </w:rPr>
              <w:t xml:space="preserve">1 : 1..12</w:t>
            </w:r>
          </w:p>
        </w:tc>
        <w:tc>
          <w:tcPr>
            <w:tcW w:w="3525" w:type="dxa"/>
          </w:tcPr>
          <w:p>
            <w:pPr>
              <w:pStyle w:val="TableText"/>
            </w:pPr>
            <w:r>
              <w:rPr>
                <w:sz w:val="19"/>
                <w:szCs w:val="19"/>
              </w:rPr>
              <w:t xml:space="preserve">Ordered ICD-10 list.</w:t>
            </w:r>
          </w:p>
        </w:tc>
      </w:tr>
      <w:tr>
        <w:trPr>
          <w:cantSplit/>
        </w:trPr>
        <w:tc>
          <w:tcPr>
            <w:tcW w:w="2350" w:type="dxa"/>
          </w:tcPr>
          <w:p>
            <w:pPr>
              <w:pStyle w:val="TableText"/>
            </w:pPr>
            <w:r>
              <w:rPr>
                <w:rFonts w:ascii="Consolas" w:hAnsi="Consolas" w:cs="Consolas"/>
                <w:sz w:val="19"/>
                <w:szCs w:val="19"/>
              </w:rPr>
              <w:t xml:space="preserve">patient_case ↔ insurance</w:t>
            </w:r>
          </w:p>
        </w:tc>
        <w:tc>
          <w:tcPr>
            <w:tcW w:w="2742" w:type="dxa"/>
          </w:tcPr>
          <w:p>
            <w:pPr>
              <w:pStyle w:val="TableText"/>
            </w:pPr>
            <w:r>
              <w:rPr>
                <w:rFonts w:ascii="Consolas" w:hAnsi="Consolas" w:cs="Consolas"/>
                <w:sz w:val="19"/>
                <w:szCs w:val="19"/>
              </w:rPr>
              <w:t xml:space="preserve">case_insurance</w:t>
            </w:r>
          </w:p>
        </w:tc>
        <w:tc>
          <w:tcPr>
            <w:tcW w:w="1175" w:type="dxa"/>
          </w:tcPr>
          <w:p>
            <w:pPr>
              <w:pStyle w:val="TableText"/>
            </w:pPr>
            <w:r>
              <w:rPr>
                <w:sz w:val="19"/>
                <w:szCs w:val="19"/>
              </w:rPr>
              <w:t xml:space="preserve">1 : 0..3</w:t>
            </w:r>
          </w:p>
        </w:tc>
        <w:tc>
          <w:tcPr>
            <w:tcW w:w="3525" w:type="dxa"/>
          </w:tcPr>
          <w:p>
            <w:pPr>
              <w:pStyle w:val="TableText"/>
            </w:pPr>
            <w:r>
              <w:rPr>
                <w:sz w:val="19"/>
                <w:szCs w:val="19"/>
              </w:rPr>
              <w:t xml:space="preserve">Coverage in payment order.</w:t>
            </w:r>
          </w:p>
        </w:tc>
      </w:tr>
      <w:tr>
        <w:trPr>
          <w:cantSplit/>
        </w:trPr>
        <w:tc>
          <w:tcPr>
            <w:tcW w:w="2350" w:type="dxa"/>
          </w:tcPr>
          <w:p>
            <w:pPr>
              <w:pStyle w:val="TableText"/>
            </w:pPr>
            <w:r>
              <w:rPr>
                <w:rFonts w:ascii="Consolas" w:hAnsi="Consolas" w:cs="Consolas"/>
                <w:sz w:val="19"/>
                <w:szCs w:val="19"/>
              </w:rPr>
              <w:t xml:space="preserve">case_insurance</w:t>
            </w:r>
          </w:p>
        </w:tc>
        <w:tc>
          <w:tcPr>
            <w:tcW w:w="2742" w:type="dxa"/>
          </w:tcPr>
          <w:p>
            <w:pPr>
              <w:pStyle w:val="TableText"/>
            </w:pPr>
            <w:r>
              <w:rPr>
                <w:rFonts w:ascii="Consolas" w:hAnsi="Consolas" w:cs="Consolas"/>
                <w:sz w:val="19"/>
                <w:szCs w:val="19"/>
              </w:rPr>
              <w:t xml:space="preserve">authorization</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Payer approvals.</w:t>
            </w:r>
          </w:p>
        </w:tc>
      </w:tr>
      <w:tr>
        <w:trPr>
          <w:cantSplit/>
        </w:trPr>
        <w:tc>
          <w:tcPr>
            <w:tcW w:w="2350" w:type="dxa"/>
          </w:tcPr>
          <w:p>
            <w:pPr>
              <w:pStyle w:val="TableText"/>
            </w:pPr>
            <w:r>
              <w:rPr>
                <w:rFonts w:ascii="Consolas" w:hAnsi="Consolas" w:cs="Consolas"/>
                <w:sz w:val="19"/>
                <w:szCs w:val="19"/>
              </w:rPr>
              <w:t xml:space="preserve">patient_case</w:t>
            </w:r>
          </w:p>
        </w:tc>
        <w:tc>
          <w:tcPr>
            <w:tcW w:w="2742" w:type="dxa"/>
          </w:tcPr>
          <w:p>
            <w:pPr>
              <w:pStyle w:val="TableText"/>
            </w:pPr>
            <w:r>
              <w:rPr>
                <w:rFonts w:ascii="Consolas" w:hAnsi="Consolas" w:cs="Consolas"/>
                <w:sz w:val="19"/>
                <w:szCs w:val="19"/>
              </w:rPr>
              <w:t xml:space="preserve">visit</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One per date of service.</w:t>
            </w:r>
          </w:p>
        </w:tc>
      </w:tr>
      <w:tr>
        <w:trPr>
          <w:cantSplit/>
        </w:trPr>
        <w:tc>
          <w:tcPr>
            <w:tcW w:w="2350" w:type="dxa"/>
          </w:tcPr>
          <w:p>
            <w:pPr>
              <w:pStyle w:val="TableText"/>
            </w:pPr>
            <w:r>
              <w:rPr>
                <w:rFonts w:ascii="Consolas" w:hAnsi="Consolas" w:cs="Consolas"/>
                <w:sz w:val="19"/>
                <w:szCs w:val="19"/>
              </w:rPr>
              <w:t xml:space="preserve">visit</w:t>
            </w:r>
          </w:p>
        </w:tc>
        <w:tc>
          <w:tcPr>
            <w:tcW w:w="2742" w:type="dxa"/>
          </w:tcPr>
          <w:p>
            <w:pPr>
              <w:pStyle w:val="TableText"/>
            </w:pPr>
            <w:r>
              <w:rPr>
                <w:rFonts w:ascii="Consolas" w:hAnsi="Consolas" w:cs="Consolas"/>
                <w:sz w:val="19"/>
                <w:szCs w:val="19"/>
              </w:rPr>
              <w:t xml:space="preserve">charge_line</w:t>
            </w:r>
          </w:p>
        </w:tc>
        <w:tc>
          <w:tcPr>
            <w:tcW w:w="1175" w:type="dxa"/>
          </w:tcPr>
          <w:p>
            <w:pPr>
              <w:pStyle w:val="TableText"/>
            </w:pPr>
            <w:r>
              <w:rPr>
                <w:sz w:val="19"/>
                <w:szCs w:val="19"/>
              </w:rPr>
              <w:t xml:space="preserve">1 : 1..*</w:t>
            </w:r>
          </w:p>
        </w:tc>
        <w:tc>
          <w:tcPr>
            <w:tcW w:w="3525" w:type="dxa"/>
          </w:tcPr>
          <w:p>
            <w:pPr>
              <w:pStyle w:val="TableText"/>
            </w:pPr>
            <w:r>
              <w:rPr>
                <w:sz w:val="19"/>
                <w:szCs w:val="19"/>
              </w:rPr>
              <w:t xml:space="preserve">Procedures performed.</w:t>
            </w:r>
          </w:p>
        </w:tc>
      </w:tr>
      <w:tr>
        <w:trPr>
          <w:cantSplit/>
        </w:trPr>
        <w:tc>
          <w:tcPr>
            <w:tcW w:w="2350" w:type="dxa"/>
          </w:tcPr>
          <w:p>
            <w:pPr>
              <w:pStyle w:val="TableText"/>
            </w:pPr>
            <w:r>
              <w:rPr>
                <w:rFonts w:ascii="Consolas" w:hAnsi="Consolas" w:cs="Consolas"/>
                <w:sz w:val="19"/>
                <w:szCs w:val="19"/>
              </w:rPr>
              <w:t xml:space="preserve">visit + case_insurance</w:t>
            </w:r>
          </w:p>
        </w:tc>
        <w:tc>
          <w:tcPr>
            <w:tcW w:w="2742" w:type="dxa"/>
          </w:tcPr>
          <w:p>
            <w:pPr>
              <w:pStyle w:val="TableText"/>
            </w:pPr>
            <w:r>
              <w:rPr>
                <w:rFonts w:ascii="Consolas" w:hAnsi="Consolas" w:cs="Consolas"/>
                <w:sz w:val="19"/>
                <w:szCs w:val="19"/>
              </w:rPr>
              <w:t xml:space="preserve">claim</w:t>
            </w:r>
          </w:p>
        </w:tc>
        <w:tc>
          <w:tcPr>
            <w:tcW w:w="1175" w:type="dxa"/>
          </w:tcPr>
          <w:p>
            <w:pPr>
              <w:pStyle w:val="TableText"/>
            </w:pPr>
            <w:r>
              <w:rPr>
                <w:sz w:val="19"/>
                <w:szCs w:val="19"/>
              </w:rPr>
              <w:t xml:space="preserve">1 : 0..3</w:t>
            </w:r>
          </w:p>
        </w:tc>
        <w:tc>
          <w:tcPr>
            <w:tcW w:w="3525" w:type="dxa"/>
          </w:tcPr>
          <w:p>
            <w:pPr>
              <w:pStyle w:val="TableText"/>
            </w:pPr>
            <w:r>
              <w:rPr>
                <w:sz w:val="19"/>
                <w:szCs w:val="19"/>
              </w:rPr>
              <w:t xml:space="preserve">One claim per payer billed.</w:t>
            </w:r>
          </w:p>
        </w:tc>
      </w:tr>
      <w:tr>
        <w:trPr>
          <w:cantSplit/>
        </w:trPr>
        <w:tc>
          <w:tcPr>
            <w:tcW w:w="2350" w:type="dxa"/>
          </w:tcPr>
          <w:p>
            <w:pPr>
              <w:pStyle w:val="TableText"/>
            </w:pPr>
            <w:r>
              <w:rPr>
                <w:rFonts w:ascii="Consolas" w:hAnsi="Consolas" w:cs="Consolas"/>
                <w:sz w:val="19"/>
                <w:szCs w:val="19"/>
              </w:rPr>
              <w:t xml:space="preserve">charge_line</w:t>
            </w:r>
          </w:p>
        </w:tc>
        <w:tc>
          <w:tcPr>
            <w:tcW w:w="2742" w:type="dxa"/>
          </w:tcPr>
          <w:p>
            <w:pPr>
              <w:pStyle w:val="TableText"/>
            </w:pPr>
            <w:r>
              <w:rPr>
                <w:rFonts w:ascii="Consolas" w:hAnsi="Consolas" w:cs="Consolas"/>
                <w:sz w:val="19"/>
                <w:szCs w:val="19"/>
              </w:rPr>
              <w:t xml:space="preserve">payment, denial</w:t>
            </w:r>
          </w:p>
        </w:tc>
        <w:tc>
          <w:tcPr>
            <w:tcW w:w="1175" w:type="dxa"/>
          </w:tcPr>
          <w:p>
            <w:pPr>
              <w:pStyle w:val="TableText"/>
            </w:pPr>
            <w:r>
              <w:rPr>
                <w:sz w:val="19"/>
                <w:szCs w:val="19"/>
              </w:rPr>
              <w:t xml:space="preserve">1 : 0..*</w:t>
            </w:r>
          </w:p>
        </w:tc>
        <w:tc>
          <w:tcPr>
            <w:tcW w:w="3525" w:type="dxa"/>
          </w:tcPr>
          <w:p>
            <w:pPr>
              <w:pStyle w:val="TableText"/>
            </w:pPr>
            <w:r>
              <w:rPr>
                <w:sz w:val="19"/>
                <w:szCs w:val="19"/>
              </w:rPr>
              <w:t xml:space="preserve">Money in, write-offs, refusals.</w:t>
            </w:r>
          </w:p>
        </w:tc>
      </w:tr>
    </w:tbl>
    <w:p>
      <w:pPr>
        <w:pStyle w:val="Spacer"/>
      </w:pPr>
    </w:p>
    <w:p>
      <w:pPr>
        <w:pStyle w:val="Normal"/>
      </w:pPr>
      <w:r>
        <w:rPr>
          <w:b/>
        </w:rPr>
        <w:t xml:space="preserve">Simplifications from v1.</w:t>
      </w:r>
      <w:r>
        <w:t xml:space="preserve"> Contracts folded into fee_schedule; payer, insurance class and clearinghouse merged into insurance; provider claim holds reduced to two columns on provider; responsible party, subscriber, employer and addresses stored as jsonb; payments and adjustments in one table; visit diagnoses and pointers stored as arrays; role permissions stored as jsonb; user location scope stored as an array on user_practice. Dropped: verification_form, medicare_cap, patient_statement, era_file, account_note — to be added back when those modules are built.</w:t>
      </w:r>
    </w:p>
    <w:p>
      <w:pPr>
        <w:pStyle w:val="Kicker"/>
      </w:pPr>
      <w:r>
        <w:t xml:space="preserve">Chapter 11</w:t>
      </w:r>
    </w:p>
    <w:p>
      <w:pPr>
        <w:pStyle w:val="Heading1"/>
      </w:pPr>
      <w:r>
        <w:t xml:space="preserve">Next steps</w:t>
      </w:r>
    </w:p>
    <w:p>
      <w:pPr>
        <w:pStyle w:val="Normal"/>
      </w:pPr>
      <w:r>
        <w:t xml:space="preserve">The following modules are in scope for the platform but not yet specified in this document:</w:t>
      </w:r>
    </w:p>
    <w:p>
      <w:pPr>
        <w:pStyle w:val="ListParagraph"/>
        <w:numPr>
          <w:ilvl w:val="0"/>
          <w:numId w:val="4"/>
        </w:numPr>
      </w:pPr>
      <w:r>
        <w:t xml:space="preserve">Posting module</w:t>
      </w:r>
    </w:p>
    <w:p>
      <w:pPr>
        <w:pStyle w:val="ListParagraph"/>
        <w:numPr>
          <w:ilvl w:val="0"/>
          <w:numId w:val="4"/>
        </w:numPr>
      </w:pPr>
      <w:r>
        <w:t xml:space="preserve">Denial &amp; A/R management</w:t>
      </w:r>
    </w:p>
    <w:p>
      <w:pPr>
        <w:pStyle w:val="ListParagraph"/>
        <w:numPr>
          <w:ilvl w:val="0"/>
          <w:numId w:val="4"/>
        </w:numPr>
      </w:pPr>
      <w:r>
        <w:t xml:space="preserve">Analytics &amp; reports</w:t>
      </w:r>
    </w:p>
    <w:p>
      <w:pPr>
        <w:pStyle w:val="ListParagraph"/>
        <w:numPr>
          <w:ilvl w:val="0"/>
          <w:numId w:val="4"/>
        </w:numPr>
      </w:pPr>
      <w:r>
        <w:t xml:space="preserve">Dashboards</w:t>
      </w:r>
    </w:p>
    <w:p>
      <w:pPr>
        <w:pStyle w:val="ListParagraph"/>
        <w:numPr>
          <w:ilvl w:val="0"/>
          <w:numId w:val="4"/>
        </w:numPr>
      </w:pPr>
      <w:r>
        <w:t xml:space="preserve">Eligibility and claim-status integration</w:t>
      </w:r>
    </w:p>
    <w:p>
      <w:pPr>
        <w:pStyle w:val="Kicker"/>
      </w:pPr>
      <w:r>
        <w:t xml:space="preserve">Appendix</w:t>
      </w:r>
    </w:p>
    <w:p>
      <w:pPr>
        <w:pStyle w:val="Heading1"/>
      </w:pPr>
      <w:r>
        <w:t xml:space="preserve">References</w:t>
      </w:r>
    </w:p>
    <w:p>
      <w:pPr>
        <w:pStyle w:val="ListParagraph"/>
        <w:numPr>
          <w:ilvl w:val="0"/>
          <w:numId w:val="1"/>
        </w:numPr>
      </w:pPr>
      <w:r>
        <w:t xml:space="preserve">WebPT Billing Exceptions Guide — </w:t>
      </w:r>
      <w:hyperlink r:id="rId11">
        <w:r>
          <w:rPr>
            <w:color w:val="7D5411"/>
            <w:u w:val="single" w:color="B68235"/>
          </w:rPr>
          <w:t xml:space="preserve">discover.webpt.com/docs/webpt-billing-billing-exceptions</w:t>
        </w:r>
      </w:hyperlink>
    </w:p>
    <w:p>
      <w:pPr>
        <w:pStyle w:val="ListParagraph"/>
        <w:numPr>
          <w:ilvl w:val="0"/>
          <w:numId w:val="1"/>
        </w:numPr>
      </w:pPr>
      <w:r>
        <w:t xml:space="preserve">How to fill out the CMS-1500 form — </w:t>
      </w:r>
      <w:hyperlink r:id="rId12">
        <w:r>
          <w:rPr>
            <w:color w:val="7D5411"/>
            <w:u w:val="single" w:color="B68235"/>
          </w:rPr>
          <w:t xml:space="preserve">oneosevenrcm.com/how-to-fill-out-cms-1500-form</w:t>
        </w:r>
      </w:hyperlink>
    </w:p>
    <w:p>
      <w:pPr>
        <w:pStyle w:val="ListParagraph"/>
        <w:numPr>
          <w:ilvl w:val="0"/>
          <w:numId w:val="1"/>
        </w:numPr>
      </w:pPr>
      <w:r>
        <w:t xml:space="preserve">CMS-1500 complete guide (internal) — </w:t>
      </w:r>
      <w:hyperlink r:id="rId13">
        <w:r>
          <w:rPr>
            <w:color w:val="7D5411"/>
            <w:u w:val="single" w:color="B68235"/>
          </w:rPr>
          <w:t xml:space="preserve">Google Drive</w:t>
        </w:r>
      </w:hyperlink>
    </w:p>
    <w:p>
      <w:pPr>
        <w:pStyle w:val="ListParagraph"/>
        <w:numPr>
          <w:ilvl w:val="0"/>
          <w:numId w:val="1"/>
        </w:numPr>
      </w:pPr>
      <w:r>
        <w:t xml:space="preserve">CMS-1500 form — </w:t>
      </w:r>
      <w:hyperlink r:id="rId14">
        <w:r>
          <w:rPr>
            <w:color w:val="7D5411"/>
            <w:u w:val="single" w:color="B68235"/>
          </w:rPr>
          <w:t xml:space="preserve">cms.gov form item</w:t>
        </w:r>
      </w:hyperlink>
      <w:r>
        <w:t xml:space="preserve"> · </w:t>
      </w:r>
      <w:hyperlink r:id="rId15">
        <w:r>
          <w:rPr>
            <w:color w:val="7D5411"/>
            <w:u w:val="single" w:color="B68235"/>
          </w:rPr>
          <w:t xml:space="preserve">PDF</w:t>
        </w:r>
      </w:hyperlink>
    </w:p>
    <w:p>
      <w:pPr>
        <w:pStyle w:val="ListParagraph"/>
        <w:numPr>
          <w:ilvl w:val="0"/>
          <w:numId w:val="1"/>
        </w:numPr>
      </w:pPr>
      <w:r>
        <w:t xml:space="preserve">Billing System — Core Database Schema v2 (source: WebPT Billing — Hierarchy, Modules and Data Models · PostgreSQL · September 2026)</w:t>
      </w:r>
    </w:p>
    <w:sectPr>
      <w:footerReference w:type="default" r:id="rId1"/>
      <w:pgSz w:w="12240" w:h="15840"/>
      <w:pgMar w:top="1224" w:right="1224" w:bottom="1224" w:left="1224" w:header="600" w:footer="600" w:gutter="0"/>
    </w:sectPr>
  </w:body>
</w:document>
</file>

<file path=word/footer1.xml><?xml version="1.0" encoding="utf-8"?>
<w:ftr xmlns:w="http://schemas.openxmlformats.org/wordprocessingml/2006/main">
  <w:p>
    <w:pPr>
      <w:pStyle w:val="Footer"/>
    </w:pPr>
    <w:r>
      <w:t xml:space="preserve">Billing System · Product Requirements Document</w:t>
    </w:r>
    <w:r>
      <w:tab/>
      <w:t xml:space="preserve">Version 2.0 · September 2026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40" w:hanging="300"/>
      </w:pPr>
      <w:rPr>
        <w:color w:val="B68235"/>
      </w:rPr>
    </w:lvl>
  </w:abstractNum>
  <w:abstractNum w:abstractNumId="1">
    <w:multiLevelType w:val="singleLevel"/>
    <w:lvl w:ilvl="0">
      <w:start w:val="1"/>
      <w:numFmt w:val="decimal"/>
      <w:lvlText w:val="%1."/>
      <w:lvlJc w:val="left"/>
      <w:pPr>
        <w:ind w:left="540" w:hanging="300"/>
      </w:pPr>
      <w:rPr>
        <w:color w:val="B68235"/>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Lora" w:hAnsi="Lora" w:cs="Lora" w:eastAsia="Lora"/>
        <w:sz w:val="21"/>
        <w:szCs w:val="21"/>
        <w:color w:val="201F1D"/>
        <w:lang w:val="en-US"/>
      </w:rPr>
    </w:rPrDefault>
    <w:pPrDefault>
      <w:pPr>
        <w:spacing w:after="120" w:line="312" w:lineRule="auto"/>
      </w:pPr>
    </w:pPrDefault>
  </w:docDefaults>
  <w:style w:type="paragraph" w:default="1" w:styleId="Normal">
    <w:name w:val="Normal"/>
    <w:pPr>
      <w:jc w:val="both"/>
    </w:pPr>
  </w:style>
  <w:style w:type="paragraph" w:styleId="Title">
    <w:name w:val="Title"/>
    <w:basedOn w:val="Normal"/>
    <w:pPr>
      <w:jc w:val="left"/>
      <w:spacing w:before="0" w:after="60" w:line="240" w:lineRule="auto"/>
    </w:pPr>
    <w:rPr>
      <w:rFonts w:ascii="Cormorant Garamond" w:hAnsi="Cormorant Garamond" w:cs="Cormorant Garamond" w:eastAsia="Cormorant Garamond"/>
      <w:sz w:val="72"/>
      <w:szCs w:val="72"/>
    </w:rPr>
  </w:style>
  <w:style w:type="paragraph" w:styleId="Subtitle">
    <w:name w:val="Subtitle"/>
    <w:basedOn w:val="Normal"/>
    <w:pPr>
      <w:jc w:val="left"/>
      <w:spacing w:after="360" w:line="264" w:lineRule="auto"/>
    </w:pPr>
    <w:rPr>
      <w:rFonts w:ascii="Cormorant Garamond" w:hAnsi="Cormorant Garamond" w:cs="Cormorant Garamond" w:eastAsia="Cormorant Garamond"/>
      <w:sz w:val="36"/>
      <w:szCs w:val="36"/>
      <w:color w:val="605D5D"/>
    </w:rPr>
  </w:style>
  <w:style w:type="paragraph" w:styleId="Heading1">
    <w:name w:val="heading 1"/>
    <w:basedOn w:val="Normal"/>
    <w:pPr>
      <w:keepNext/>
      <w:jc w:val="left"/>
      <w:spacing w:before="120" w:after="240" w:line="264" w:lineRule="auto"/>
      <w:pBdr>
        <w:bottom w:val="single" w:sz="4" w:space="6" w:color="D7D3D3"/>
      </w:pBdr>
      <w:outlineLvl w:val="0"/>
    </w:pPr>
    <w:rPr>
      <w:rFonts w:ascii="Cormorant Garamond" w:hAnsi="Cormorant Garamond" w:cs="Cormorant Garamond" w:eastAsia="Cormorant Garamond"/>
      <w:b/>
      <w:sz w:val="46"/>
      <w:szCs w:val="46"/>
    </w:rPr>
  </w:style>
  <w:style w:type="paragraph" w:styleId="Heading2">
    <w:name w:val="heading 2"/>
    <w:basedOn w:val="Normal"/>
    <w:pPr>
      <w:keepNext/>
      <w:jc w:val="left"/>
      <w:spacing w:before="300" w:after="100" w:line="264" w:lineRule="auto"/>
      <w:outlineLvl w:val="1"/>
    </w:pPr>
    <w:rPr>
      <w:rFonts w:ascii="Cormorant Garamond" w:hAnsi="Cormorant Garamond" w:cs="Cormorant Garamond" w:eastAsia="Cormorant Garamond"/>
      <w:b/>
      <w:sz w:val="30"/>
      <w:szCs w:val="30"/>
    </w:rPr>
  </w:style>
  <w:style w:type="paragraph" w:styleId="Kicker">
    <w:name w:val="Kicker"/>
    <w:basedOn w:val="Normal"/>
    <w:pPr>
      <w:keepNext/>
      <w:jc w:val="left"/>
      <w:spacing w:before="480" w:after="40"/>
    </w:pPr>
    <w:rPr>
      <w:caps/>
      <w:spacing w:val="30"/>
      <w:sz w:val="16"/>
      <w:szCs w:val="16"/>
      <w:color w:val="B68235"/>
    </w:rPr>
  </w:style>
  <w:style w:type="paragraph" w:styleId="Meta">
    <w:name w:val="Meta"/>
    <w:basedOn w:val="Normal"/>
    <w:pPr>
      <w:jc w:val="left"/>
      <w:spacing w:after="40"/>
    </w:pPr>
    <w:rPr>
      <w:sz w:val="19"/>
      <w:szCs w:val="19"/>
    </w:rPr>
  </w:style>
  <w:style w:type="paragraph" w:styleId="Callout">
    <w:name w:val="Callout"/>
    <w:basedOn w:val="Normal"/>
    <w:pPr>
      <w:pBdr>
        <w:bottom w:val="single" w:sz="6" w:space="6" w:color="B68235"/>
      </w:pBdr>
      <w:spacing w:after="240"/>
    </w:pPr>
  </w:style>
  <w:style w:type="paragraph" w:styleId="Equation">
    <w:name w:val="Equation"/>
    <w:basedOn w:val="Normal"/>
    <w:pPr>
      <w:jc w:val="center"/>
      <w:pBdr>
        <w:top w:val="single" w:sz="4" w:space="8" w:color="D7D3D3"/>
        <w:bottom w:val="single" w:sz="4" w:space="8" w:color="D7D3D3"/>
      </w:pBdr>
      <w:spacing w:before="120" w:after="240"/>
    </w:pPr>
    <w:rPr>
      <w:rFonts w:ascii="Cormorant Garamond" w:hAnsi="Cormorant Garamond" w:cs="Cormorant Garamond" w:eastAsia="Cormorant Garamond"/>
      <w:sz w:val="28"/>
      <w:szCs w:val="28"/>
    </w:rPr>
  </w:style>
  <w:style w:type="paragraph" w:styleId="Hierarchy">
    <w:name w:val="Hierarchy"/>
    <w:basedOn w:val="Normal"/>
    <w:pPr>
      <w:jc w:val="left"/>
      <w:pBdr>
        <w:top w:val="single" w:sz="4" w:space="6" w:color="D7D3D3"/>
        <w:bottom w:val="single" w:sz="4" w:space="6" w:color="D7D3D3"/>
      </w:pBdr>
      <w:spacing w:before="60" w:after="200"/>
    </w:pPr>
    <w:rPr>
      <w:sz w:val="19"/>
      <w:szCs w:val="19"/>
    </w:rPr>
  </w:style>
  <w:style w:type="paragraph" w:styleId="TableName">
    <w:name w:val="Table Name"/>
    <w:basedOn w:val="Normal"/>
    <w:pPr>
      <w:keepNext/>
      <w:jc w:val="left"/>
      <w:spacing w:before="280" w:after="60"/>
    </w:pPr>
  </w:style>
  <w:style w:type="paragraph" w:styleId="TableText">
    <w:name w:val="Table Text"/>
    <w:basedOn w:val="Normal"/>
    <w:pPr>
      <w:jc w:val="left"/>
      <w:spacing w:before="0" w:after="0" w:line="264" w:lineRule="auto"/>
    </w:pPr>
    <w:rPr>
      <w:sz w:val="19"/>
      <w:szCs w:val="19"/>
    </w:rPr>
  </w:style>
  <w:style w:type="paragraph" w:styleId="Spacer">
    <w:name w:val="Spacer"/>
    <w:basedOn w:val="Normal"/>
    <w:pPr>
      <w:spacing w:before="0" w:after="0" w:line="120" w:lineRule="exact"/>
    </w:pPr>
    <w:rPr>
      <w:sz w:val="8"/>
    </w:rPr>
  </w:style>
  <w:style w:type="paragraph" w:styleId="ListParagraph">
    <w:name w:val="List Paragraph"/>
    <w:basedOn w:val="Normal"/>
    <w:pPr>
      <w:spacing w:after="60"/>
      <w:ind w:left="540" w:hanging="300"/>
    </w:pPr>
  </w:style>
  <w:style w:type="paragraph" w:styleId="Footer">
    <w:name w:val="footer"/>
    <w:basedOn w:val="Normal"/>
    <w:pPr>
      <w:jc w:val="left"/>
      <w:pBdr>
        <w:top w:val="single" w:sz="4" w:space="6" w:color="D7D3D3"/>
      </w:pBdr>
      <w:tabs>
        <w:tab w:val="right" w:pos="9792"/>
      </w:tabs>
    </w:pPr>
    <w:rPr>
      <w:caps/>
      <w:spacing w:val="20"/>
      <w:sz w:val="15"/>
      <w:szCs w:val="15"/>
      <w:color w:val="605D5D"/>
    </w:rPr>
  </w:style>
  <w:style w:type="character" w:styleId="Hyperlink">
    <w:name w:val="Hyperlink"/>
    <w:rPr>
      <w:color w:val="7D5411"/>
      <w:u w:val="single"/>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numbering" Target="numbering.xml"/>
<Relationship Id="rId10" Type="http://schemas.openxmlformats.org/officeDocument/2006/relationships/hyperlink" Target="https://discover.webpt.com/docs/webpt-billing-billing-exceptions" TargetMode="External"/>
<Relationship Id="rId11" Type="http://schemas.openxmlformats.org/officeDocument/2006/relationships/hyperlink" Target="https://discover.webpt.com/docs/webpt-billing-billing-exceptions" TargetMode="External"/>
<Relationship Id="rId12" Type="http://schemas.openxmlformats.org/officeDocument/2006/relationships/hyperlink" Target="https://oneosevenrcm.com/how-to-fill-out-cms-1500-form/" TargetMode="External"/>
<Relationship Id="rId13" Type="http://schemas.openxmlformats.org/officeDocument/2006/relationships/hyperlink" Target="https://drive.google.com/file/d/1Bk_tDi0N2iBcecBY3gUIbJJ9tFsh6XeW/view?usp=sharing" TargetMode="External"/>
<Relationship Id="rId14" Type="http://schemas.openxmlformats.org/officeDocument/2006/relationships/hyperlink" Target="https://www.cms.gov/medicare/cms-forms/cms-forms/cms-forms-items/cms1188854" TargetMode="External"/>
<Relationship Id="rId15" Type="http://schemas.openxmlformats.org/officeDocument/2006/relationships/hyperlink" Target="https://www.cms.gov/medicare/cms-forms/cms-forms/downloads/cms1500.pdf" TargetMode="External"/>
</Relationships>
</file>