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70F83" w14:textId="77777777" w:rsidR="0066511D" w:rsidRDefault="0066511D">
      <w:pPr>
        <w:pStyle w:val="BodyText"/>
        <w:spacing w:before="5"/>
        <w:rPr>
          <w:rFonts w:ascii="Times New Roman"/>
          <w:sz w:val="19"/>
        </w:rPr>
      </w:pPr>
    </w:p>
    <w:p w14:paraId="437AFCD1" w14:textId="77777777" w:rsidR="0066511D" w:rsidRPr="00720BB0" w:rsidRDefault="00005021">
      <w:pPr>
        <w:pStyle w:val="BodyText"/>
        <w:tabs>
          <w:tab w:val="left" w:pos="6282"/>
        </w:tabs>
        <w:spacing w:before="83"/>
        <w:ind w:left="100"/>
        <w:rPr>
          <w:color w:val="1F497D" w:themeColor="text2"/>
        </w:rPr>
      </w:pPr>
      <w:r w:rsidRPr="00720BB0">
        <w:rPr>
          <w:color w:val="1F497D" w:themeColor="text2"/>
        </w:rPr>
        <w:t>Business</w:t>
      </w:r>
      <w:r w:rsidRPr="00720BB0">
        <w:rPr>
          <w:color w:val="1F497D" w:themeColor="text2"/>
          <w:spacing w:val="-6"/>
        </w:rPr>
        <w:t xml:space="preserve"> </w:t>
      </w:r>
      <w:r w:rsidRPr="00720BB0">
        <w:rPr>
          <w:color w:val="1F497D" w:themeColor="text2"/>
        </w:rPr>
        <w:t>Metrics</w:t>
      </w:r>
      <w:r w:rsidRPr="00720BB0">
        <w:rPr>
          <w:color w:val="1F497D" w:themeColor="text2"/>
          <w:spacing w:val="-6"/>
        </w:rPr>
        <w:t xml:space="preserve"> </w:t>
      </w:r>
      <w:r w:rsidRPr="00720BB0">
        <w:rPr>
          <w:color w:val="1F497D" w:themeColor="text2"/>
        </w:rPr>
        <w:t>Lesson:</w:t>
      </w:r>
      <w:r w:rsidRPr="00720BB0">
        <w:rPr>
          <w:color w:val="1F497D" w:themeColor="text2"/>
        </w:rPr>
        <w:tab/>
        <w:t>Terminology and</w:t>
      </w:r>
      <w:r w:rsidRPr="00720BB0">
        <w:rPr>
          <w:color w:val="1F497D" w:themeColor="text2"/>
          <w:spacing w:val="-15"/>
        </w:rPr>
        <w:t xml:space="preserve"> </w:t>
      </w:r>
      <w:r w:rsidRPr="00720BB0">
        <w:rPr>
          <w:color w:val="1F497D" w:themeColor="text2"/>
        </w:rPr>
        <w:t>Formulas</w:t>
      </w:r>
    </w:p>
    <w:p w14:paraId="6041AACD" w14:textId="77777777" w:rsidR="0066511D" w:rsidRDefault="0066511D">
      <w:pPr>
        <w:pStyle w:val="BodyText"/>
        <w:spacing w:before="0"/>
        <w:rPr>
          <w:sz w:val="20"/>
        </w:rPr>
      </w:pPr>
    </w:p>
    <w:p w14:paraId="5242623F" w14:textId="77777777" w:rsidR="0066511D" w:rsidRDefault="0066511D">
      <w:pPr>
        <w:pStyle w:val="BodyText"/>
        <w:spacing w:before="4"/>
        <w:rPr>
          <w:sz w:val="21"/>
        </w:rPr>
      </w:pPr>
    </w:p>
    <w:tbl>
      <w:tblPr>
        <w:tblW w:w="13729"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69"/>
        <w:gridCol w:w="6197"/>
        <w:gridCol w:w="3463"/>
      </w:tblGrid>
      <w:tr w:rsidR="0066511D" w14:paraId="7B43CECA" w14:textId="77777777" w:rsidTr="00720BB0">
        <w:trPr>
          <w:trHeight w:val="887"/>
        </w:trPr>
        <w:tc>
          <w:tcPr>
            <w:tcW w:w="4069" w:type="dxa"/>
            <w:shd w:val="clear" w:color="auto" w:fill="6C9EEB"/>
          </w:tcPr>
          <w:p w14:paraId="57BFFAAE" w14:textId="77777777" w:rsidR="0066511D" w:rsidRDefault="00005021">
            <w:pPr>
              <w:pStyle w:val="TableParagraph"/>
              <w:spacing w:before="105"/>
              <w:ind w:left="1413" w:right="1439"/>
              <w:jc w:val="center"/>
              <w:rPr>
                <w:b/>
                <w:sz w:val="24"/>
              </w:rPr>
            </w:pPr>
            <w:r>
              <w:rPr>
                <w:b/>
                <w:sz w:val="24"/>
              </w:rPr>
              <w:t>Metric</w:t>
            </w:r>
          </w:p>
        </w:tc>
        <w:tc>
          <w:tcPr>
            <w:tcW w:w="6197" w:type="dxa"/>
            <w:shd w:val="clear" w:color="auto" w:fill="6C9EEB"/>
          </w:tcPr>
          <w:p w14:paraId="7B00BF59" w14:textId="77777777" w:rsidR="0066511D" w:rsidRDefault="00005021">
            <w:pPr>
              <w:pStyle w:val="TableParagraph"/>
              <w:spacing w:before="105"/>
              <w:ind w:left="2238" w:right="2264"/>
              <w:jc w:val="center"/>
              <w:rPr>
                <w:b/>
                <w:sz w:val="24"/>
              </w:rPr>
            </w:pPr>
            <w:r>
              <w:rPr>
                <w:b/>
                <w:sz w:val="24"/>
              </w:rPr>
              <w:t>Formula</w:t>
            </w:r>
          </w:p>
        </w:tc>
        <w:tc>
          <w:tcPr>
            <w:tcW w:w="3461" w:type="dxa"/>
            <w:shd w:val="clear" w:color="auto" w:fill="6C9EEB"/>
          </w:tcPr>
          <w:p w14:paraId="66B9A6E0" w14:textId="77777777" w:rsidR="0066511D" w:rsidRDefault="00005021">
            <w:pPr>
              <w:pStyle w:val="TableParagraph"/>
              <w:spacing w:before="105" w:line="247" w:lineRule="auto"/>
              <w:ind w:left="607" w:right="569" w:hanging="30"/>
              <w:rPr>
                <w:b/>
                <w:sz w:val="24"/>
              </w:rPr>
            </w:pPr>
            <w:r>
              <w:rPr>
                <w:b/>
                <w:sz w:val="24"/>
              </w:rPr>
              <w:t>Commonly Used Alternate Terms</w:t>
            </w:r>
          </w:p>
        </w:tc>
      </w:tr>
      <w:tr w:rsidR="0066511D" w14:paraId="6FFEB4B7" w14:textId="77777777" w:rsidTr="00720BB0">
        <w:trPr>
          <w:trHeight w:val="563"/>
        </w:trPr>
        <w:tc>
          <w:tcPr>
            <w:tcW w:w="13729" w:type="dxa"/>
            <w:gridSpan w:val="3"/>
            <w:shd w:val="clear" w:color="auto" w:fill="C8DAF8"/>
          </w:tcPr>
          <w:p w14:paraId="73611F67" w14:textId="77777777" w:rsidR="0066511D" w:rsidRDefault="00005021">
            <w:pPr>
              <w:pStyle w:val="TableParagraph"/>
              <w:spacing w:before="73"/>
              <w:rPr>
                <w:rFonts w:ascii="Noto Sans"/>
                <w:i/>
                <w:sz w:val="24"/>
              </w:rPr>
            </w:pPr>
            <w:r>
              <w:rPr>
                <w:rFonts w:ascii="Noto Sans"/>
                <w:i/>
                <w:sz w:val="24"/>
              </w:rPr>
              <w:t>Marketing</w:t>
            </w:r>
          </w:p>
        </w:tc>
      </w:tr>
      <w:tr w:rsidR="0066511D" w14:paraId="3FAC63EF" w14:textId="77777777" w:rsidTr="00720BB0">
        <w:trPr>
          <w:trHeight w:val="546"/>
        </w:trPr>
        <w:tc>
          <w:tcPr>
            <w:tcW w:w="4069" w:type="dxa"/>
          </w:tcPr>
          <w:p w14:paraId="1967CBE4" w14:textId="77777777" w:rsidR="0066511D" w:rsidRDefault="00005021">
            <w:pPr>
              <w:pStyle w:val="TableParagraph"/>
              <w:rPr>
                <w:b/>
              </w:rPr>
            </w:pPr>
            <w:r>
              <w:rPr>
                <w:b/>
              </w:rPr>
              <w:t>Click through rate (CTR)</w:t>
            </w:r>
          </w:p>
        </w:tc>
        <w:tc>
          <w:tcPr>
            <w:tcW w:w="6197" w:type="dxa"/>
          </w:tcPr>
          <w:p w14:paraId="3E05A399" w14:textId="77777777" w:rsidR="0066511D" w:rsidRDefault="00005021">
            <w:pPr>
              <w:pStyle w:val="TableParagraph"/>
            </w:pPr>
            <w:r>
              <w:t>(Clicks/ Impressions) * 100</w:t>
            </w:r>
          </w:p>
        </w:tc>
        <w:tc>
          <w:tcPr>
            <w:tcW w:w="3461" w:type="dxa"/>
          </w:tcPr>
          <w:p w14:paraId="79620024" w14:textId="77777777" w:rsidR="0066511D" w:rsidRDefault="0066511D">
            <w:pPr>
              <w:pStyle w:val="TableParagraph"/>
              <w:spacing w:before="0"/>
              <w:ind w:left="0"/>
              <w:rPr>
                <w:rFonts w:ascii="Times New Roman"/>
              </w:rPr>
            </w:pPr>
          </w:p>
        </w:tc>
      </w:tr>
      <w:tr w:rsidR="0066511D" w14:paraId="11D0220B" w14:textId="77777777" w:rsidTr="00720BB0">
        <w:trPr>
          <w:trHeight w:val="853"/>
        </w:trPr>
        <w:tc>
          <w:tcPr>
            <w:tcW w:w="4069" w:type="dxa"/>
          </w:tcPr>
          <w:p w14:paraId="53828F3B" w14:textId="77777777" w:rsidR="0066511D" w:rsidRDefault="00005021">
            <w:pPr>
              <w:pStyle w:val="TableParagraph"/>
              <w:rPr>
                <w:b/>
              </w:rPr>
            </w:pPr>
            <w:r>
              <w:rPr>
                <w:b/>
              </w:rPr>
              <w:t>Cost Per Click (CPC)</w:t>
            </w:r>
          </w:p>
        </w:tc>
        <w:tc>
          <w:tcPr>
            <w:tcW w:w="6197" w:type="dxa"/>
          </w:tcPr>
          <w:p w14:paraId="52BDA83E" w14:textId="77777777" w:rsidR="0066511D" w:rsidRDefault="00005021">
            <w:pPr>
              <w:pStyle w:val="TableParagraph"/>
              <w:spacing w:line="256" w:lineRule="auto"/>
            </w:pPr>
            <w:r>
              <w:t>Cost of advertising on the source platform / Number of people who clicked on that ad</w:t>
            </w:r>
          </w:p>
        </w:tc>
        <w:tc>
          <w:tcPr>
            <w:tcW w:w="3461" w:type="dxa"/>
          </w:tcPr>
          <w:p w14:paraId="50EC3C3F" w14:textId="77777777" w:rsidR="0066511D" w:rsidRDefault="0066511D">
            <w:pPr>
              <w:pStyle w:val="TableParagraph"/>
              <w:spacing w:before="0"/>
              <w:ind w:left="0"/>
              <w:rPr>
                <w:rFonts w:ascii="Times New Roman"/>
              </w:rPr>
            </w:pPr>
          </w:p>
        </w:tc>
      </w:tr>
      <w:tr w:rsidR="0066511D" w14:paraId="717ABB44" w14:textId="77777777" w:rsidTr="00720BB0">
        <w:trPr>
          <w:trHeight w:val="853"/>
        </w:trPr>
        <w:tc>
          <w:tcPr>
            <w:tcW w:w="4069" w:type="dxa"/>
          </w:tcPr>
          <w:p w14:paraId="78B6BBB6" w14:textId="77777777" w:rsidR="0066511D" w:rsidRDefault="00005021">
            <w:pPr>
              <w:pStyle w:val="TableParagraph"/>
              <w:rPr>
                <w:b/>
              </w:rPr>
            </w:pPr>
            <w:r>
              <w:rPr>
                <w:b/>
              </w:rPr>
              <w:t>Cost Per Lead (CPL)</w:t>
            </w:r>
          </w:p>
        </w:tc>
        <w:tc>
          <w:tcPr>
            <w:tcW w:w="6197" w:type="dxa"/>
          </w:tcPr>
          <w:p w14:paraId="154C2C68" w14:textId="77777777" w:rsidR="0066511D" w:rsidRDefault="00005021">
            <w:pPr>
              <w:pStyle w:val="TableParagraph"/>
              <w:spacing w:line="256" w:lineRule="auto"/>
            </w:pPr>
            <w:r>
              <w:t>Cost of advertising on the source platform / Total number of leads</w:t>
            </w:r>
          </w:p>
        </w:tc>
        <w:tc>
          <w:tcPr>
            <w:tcW w:w="3461" w:type="dxa"/>
          </w:tcPr>
          <w:p w14:paraId="26504BDA" w14:textId="77777777" w:rsidR="0066511D" w:rsidRDefault="0066511D">
            <w:pPr>
              <w:pStyle w:val="TableParagraph"/>
              <w:spacing w:before="0"/>
              <w:ind w:left="0"/>
              <w:rPr>
                <w:rFonts w:ascii="Times New Roman"/>
              </w:rPr>
            </w:pPr>
          </w:p>
        </w:tc>
      </w:tr>
      <w:tr w:rsidR="0066511D" w14:paraId="6ED1F4C3" w14:textId="77777777" w:rsidTr="00720BB0">
        <w:trPr>
          <w:trHeight w:val="853"/>
        </w:trPr>
        <w:tc>
          <w:tcPr>
            <w:tcW w:w="4069" w:type="dxa"/>
          </w:tcPr>
          <w:p w14:paraId="0C6F0E13" w14:textId="77777777" w:rsidR="0066511D" w:rsidRDefault="00005021">
            <w:pPr>
              <w:pStyle w:val="TableParagraph"/>
              <w:spacing w:line="256" w:lineRule="auto"/>
              <w:ind w:right="647"/>
              <w:rPr>
                <w:b/>
              </w:rPr>
            </w:pPr>
            <w:r>
              <w:rPr>
                <w:b/>
              </w:rPr>
              <w:t>Customer Acquisition Cost (CAC)</w:t>
            </w:r>
          </w:p>
        </w:tc>
        <w:tc>
          <w:tcPr>
            <w:tcW w:w="6197" w:type="dxa"/>
          </w:tcPr>
          <w:p w14:paraId="1B7BB7CF" w14:textId="77777777" w:rsidR="0066511D" w:rsidRDefault="00005021">
            <w:pPr>
              <w:pStyle w:val="TableParagraph"/>
              <w:spacing w:line="256" w:lineRule="auto"/>
            </w:pPr>
            <w:r>
              <w:t>(Total marketing expenses + total sales expenses and salaries)/ # of customers acquired</w:t>
            </w:r>
          </w:p>
        </w:tc>
        <w:tc>
          <w:tcPr>
            <w:tcW w:w="3461" w:type="dxa"/>
          </w:tcPr>
          <w:p w14:paraId="74474FEC" w14:textId="77777777" w:rsidR="0066511D" w:rsidRDefault="0066511D">
            <w:pPr>
              <w:pStyle w:val="TableParagraph"/>
              <w:spacing w:before="0"/>
              <w:ind w:left="0"/>
              <w:rPr>
                <w:rFonts w:ascii="Times New Roman"/>
              </w:rPr>
            </w:pPr>
          </w:p>
        </w:tc>
      </w:tr>
      <w:tr w:rsidR="0066511D" w14:paraId="4AEC625E" w14:textId="77777777" w:rsidTr="00720BB0">
        <w:trPr>
          <w:trHeight w:val="563"/>
        </w:trPr>
        <w:tc>
          <w:tcPr>
            <w:tcW w:w="13729" w:type="dxa"/>
            <w:gridSpan w:val="3"/>
            <w:shd w:val="clear" w:color="auto" w:fill="C8DAF8"/>
          </w:tcPr>
          <w:p w14:paraId="07A7C991" w14:textId="77777777" w:rsidR="0066511D" w:rsidRDefault="00005021">
            <w:pPr>
              <w:pStyle w:val="TableParagraph"/>
              <w:spacing w:before="73"/>
              <w:rPr>
                <w:rFonts w:ascii="Noto Sans"/>
                <w:i/>
                <w:sz w:val="24"/>
              </w:rPr>
            </w:pPr>
            <w:r>
              <w:rPr>
                <w:rFonts w:ascii="Noto Sans"/>
                <w:i/>
                <w:sz w:val="24"/>
              </w:rPr>
              <w:t>Marketing &amp; Financial</w:t>
            </w:r>
          </w:p>
        </w:tc>
      </w:tr>
      <w:tr w:rsidR="0066511D" w14:paraId="41568FE2" w14:textId="77777777" w:rsidTr="00720BB0">
        <w:trPr>
          <w:trHeight w:val="853"/>
        </w:trPr>
        <w:tc>
          <w:tcPr>
            <w:tcW w:w="4069" w:type="dxa"/>
          </w:tcPr>
          <w:p w14:paraId="69868DCE" w14:textId="77777777" w:rsidR="0066511D" w:rsidRDefault="00005021">
            <w:pPr>
              <w:pStyle w:val="TableParagraph"/>
              <w:rPr>
                <w:b/>
              </w:rPr>
            </w:pPr>
            <w:r>
              <w:rPr>
                <w:b/>
              </w:rPr>
              <w:t>Cost Per Acquisition (CPA)</w:t>
            </w:r>
          </w:p>
        </w:tc>
        <w:tc>
          <w:tcPr>
            <w:tcW w:w="6197" w:type="dxa"/>
          </w:tcPr>
          <w:p w14:paraId="69FB19FC" w14:textId="77777777" w:rsidR="0066511D" w:rsidRDefault="00005021">
            <w:pPr>
              <w:pStyle w:val="TableParagraph"/>
              <w:spacing w:line="256" w:lineRule="auto"/>
            </w:pPr>
            <w:r>
              <w:t>(Marketing and Sales Cost)/ number of new leads customers</w:t>
            </w:r>
          </w:p>
        </w:tc>
        <w:tc>
          <w:tcPr>
            <w:tcW w:w="3461" w:type="dxa"/>
          </w:tcPr>
          <w:p w14:paraId="6120C5F1" w14:textId="77777777" w:rsidR="0066511D" w:rsidRDefault="0066511D">
            <w:pPr>
              <w:pStyle w:val="TableParagraph"/>
              <w:spacing w:before="0"/>
              <w:ind w:left="0"/>
              <w:rPr>
                <w:rFonts w:ascii="Times New Roman"/>
              </w:rPr>
            </w:pPr>
          </w:p>
        </w:tc>
      </w:tr>
      <w:tr w:rsidR="0066511D" w14:paraId="7E2E053C" w14:textId="77777777" w:rsidTr="00720BB0">
        <w:trPr>
          <w:trHeight w:val="853"/>
        </w:trPr>
        <w:tc>
          <w:tcPr>
            <w:tcW w:w="4069" w:type="dxa"/>
          </w:tcPr>
          <w:p w14:paraId="30DAA912" w14:textId="77777777" w:rsidR="0066511D" w:rsidRDefault="00005021">
            <w:pPr>
              <w:pStyle w:val="TableParagraph"/>
              <w:rPr>
                <w:b/>
              </w:rPr>
            </w:pPr>
            <w:r>
              <w:rPr>
                <w:b/>
              </w:rPr>
              <w:t>Life Time Value (LTV)</w:t>
            </w:r>
          </w:p>
        </w:tc>
        <w:tc>
          <w:tcPr>
            <w:tcW w:w="6197" w:type="dxa"/>
          </w:tcPr>
          <w:p w14:paraId="4F94D475" w14:textId="77777777" w:rsidR="0066511D" w:rsidRDefault="00005021">
            <w:pPr>
              <w:pStyle w:val="TableParagraph"/>
              <w:spacing w:line="256" w:lineRule="auto"/>
            </w:pPr>
            <w:r>
              <w:t xml:space="preserve">Average Sale Revenue </w:t>
            </w:r>
            <w:proofErr w:type="gramStart"/>
            <w:r>
              <w:t>x</w:t>
            </w:r>
            <w:proofErr w:type="gramEnd"/>
            <w:r>
              <w:t xml:space="preserve"> Number of Repeat Sales x Expected Retention Time x Profit Margin</w:t>
            </w:r>
          </w:p>
        </w:tc>
        <w:tc>
          <w:tcPr>
            <w:tcW w:w="3461" w:type="dxa"/>
          </w:tcPr>
          <w:p w14:paraId="1BA759D5" w14:textId="77777777" w:rsidR="0066511D" w:rsidRDefault="0066511D">
            <w:pPr>
              <w:pStyle w:val="TableParagraph"/>
              <w:spacing w:before="0"/>
              <w:ind w:left="0"/>
              <w:rPr>
                <w:rFonts w:ascii="Times New Roman"/>
              </w:rPr>
            </w:pPr>
          </w:p>
        </w:tc>
      </w:tr>
      <w:tr w:rsidR="0066511D" w14:paraId="70258307" w14:textId="77777777" w:rsidTr="00720BB0">
        <w:trPr>
          <w:trHeight w:val="853"/>
        </w:trPr>
        <w:tc>
          <w:tcPr>
            <w:tcW w:w="4069" w:type="dxa"/>
          </w:tcPr>
          <w:p w14:paraId="468BCC3A" w14:textId="77777777" w:rsidR="0066511D" w:rsidRDefault="00005021">
            <w:pPr>
              <w:pStyle w:val="TableParagraph"/>
              <w:rPr>
                <w:b/>
              </w:rPr>
            </w:pPr>
            <w:r>
              <w:rPr>
                <w:b/>
              </w:rPr>
              <w:t>Average Sale Revenue</w:t>
            </w:r>
          </w:p>
        </w:tc>
        <w:tc>
          <w:tcPr>
            <w:tcW w:w="6197" w:type="dxa"/>
          </w:tcPr>
          <w:p w14:paraId="7C26A99A" w14:textId="77777777" w:rsidR="0066511D" w:rsidRDefault="00005021">
            <w:pPr>
              <w:pStyle w:val="TableParagraph"/>
              <w:spacing w:line="256" w:lineRule="auto"/>
            </w:pPr>
            <w:r>
              <w:t>(Total customer revenue/ Number of purchases in the cycle)</w:t>
            </w:r>
          </w:p>
        </w:tc>
        <w:tc>
          <w:tcPr>
            <w:tcW w:w="3461" w:type="dxa"/>
          </w:tcPr>
          <w:p w14:paraId="724585A8" w14:textId="77777777" w:rsidR="0066511D" w:rsidRDefault="0066511D">
            <w:pPr>
              <w:pStyle w:val="TableParagraph"/>
              <w:spacing w:before="0"/>
              <w:ind w:left="0"/>
              <w:rPr>
                <w:rFonts w:ascii="Times New Roman"/>
              </w:rPr>
            </w:pPr>
          </w:p>
        </w:tc>
      </w:tr>
      <w:tr w:rsidR="0066511D" w14:paraId="6403138A" w14:textId="77777777" w:rsidTr="00720BB0">
        <w:trPr>
          <w:trHeight w:val="546"/>
        </w:trPr>
        <w:tc>
          <w:tcPr>
            <w:tcW w:w="4069" w:type="dxa"/>
          </w:tcPr>
          <w:p w14:paraId="6A208D44" w14:textId="77777777" w:rsidR="0066511D" w:rsidRDefault="00005021">
            <w:pPr>
              <w:pStyle w:val="TableParagraph"/>
              <w:rPr>
                <w:b/>
              </w:rPr>
            </w:pPr>
            <w:r>
              <w:rPr>
                <w:b/>
              </w:rPr>
              <w:t>Total Sale Revenue Per Cycle</w:t>
            </w:r>
          </w:p>
        </w:tc>
        <w:tc>
          <w:tcPr>
            <w:tcW w:w="6197" w:type="dxa"/>
          </w:tcPr>
          <w:p w14:paraId="7DD84EEE" w14:textId="77777777" w:rsidR="0066511D" w:rsidRDefault="00005021">
            <w:pPr>
              <w:pStyle w:val="TableParagraph"/>
            </w:pPr>
            <w:r>
              <w:t>Revenue earned from customer per purchase cycle</w:t>
            </w:r>
          </w:p>
        </w:tc>
        <w:tc>
          <w:tcPr>
            <w:tcW w:w="3461" w:type="dxa"/>
          </w:tcPr>
          <w:p w14:paraId="6E58E982" w14:textId="77777777" w:rsidR="0066511D" w:rsidRDefault="0066511D">
            <w:pPr>
              <w:pStyle w:val="TableParagraph"/>
              <w:spacing w:before="0"/>
              <w:ind w:left="0"/>
              <w:rPr>
                <w:rFonts w:ascii="Times New Roman"/>
              </w:rPr>
            </w:pPr>
          </w:p>
        </w:tc>
      </w:tr>
      <w:tr w:rsidR="0066511D" w14:paraId="2CE9A750" w14:textId="77777777" w:rsidTr="00720BB0">
        <w:trPr>
          <w:trHeight w:val="853"/>
        </w:trPr>
        <w:tc>
          <w:tcPr>
            <w:tcW w:w="4069" w:type="dxa"/>
          </w:tcPr>
          <w:p w14:paraId="651183F3" w14:textId="77777777" w:rsidR="0066511D" w:rsidRDefault="00005021">
            <w:pPr>
              <w:pStyle w:val="TableParagraph"/>
              <w:spacing w:line="256" w:lineRule="auto"/>
              <w:ind w:right="279"/>
              <w:rPr>
                <w:b/>
              </w:rPr>
            </w:pPr>
            <w:r>
              <w:rPr>
                <w:b/>
              </w:rPr>
              <w:t>Number of Sales Per Purchase Cycle</w:t>
            </w:r>
          </w:p>
        </w:tc>
        <w:tc>
          <w:tcPr>
            <w:tcW w:w="6197" w:type="dxa"/>
          </w:tcPr>
          <w:p w14:paraId="6BFFF3EA" w14:textId="77777777" w:rsidR="0066511D" w:rsidRDefault="00005021">
            <w:pPr>
              <w:pStyle w:val="TableParagraph"/>
              <w:spacing w:line="256" w:lineRule="auto"/>
            </w:pPr>
            <w:r>
              <w:t>Number of times customer buys during the purchase cycle</w:t>
            </w:r>
          </w:p>
        </w:tc>
        <w:tc>
          <w:tcPr>
            <w:tcW w:w="3461" w:type="dxa"/>
          </w:tcPr>
          <w:p w14:paraId="553D54C3" w14:textId="77777777" w:rsidR="0066511D" w:rsidRDefault="0066511D">
            <w:pPr>
              <w:pStyle w:val="TableParagraph"/>
              <w:spacing w:before="0"/>
              <w:ind w:left="0"/>
              <w:rPr>
                <w:rFonts w:ascii="Times New Roman"/>
              </w:rPr>
            </w:pPr>
          </w:p>
        </w:tc>
      </w:tr>
    </w:tbl>
    <w:p w14:paraId="1AC4862D" w14:textId="77777777" w:rsidR="0066511D" w:rsidRDefault="0066511D">
      <w:pPr>
        <w:rPr>
          <w:rFonts w:ascii="Times New Roman"/>
        </w:rPr>
        <w:sectPr w:rsidR="0066511D">
          <w:type w:val="continuous"/>
          <w:pgSz w:w="15840" w:h="12240" w:orient="landscape"/>
          <w:pgMar w:top="1140" w:right="1920" w:bottom="280" w:left="1340" w:header="720" w:footer="720" w:gutter="0"/>
          <w:cols w:space="720"/>
        </w:sectPr>
      </w:pPr>
    </w:p>
    <w:tbl>
      <w:tblPr>
        <w:tblpPr w:leftFromText="180" w:rightFromText="180" w:vertAnchor="text" w:horzAnchor="margin" w:tblpY="-46"/>
        <w:tblW w:w="140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75"/>
        <w:gridCol w:w="6359"/>
        <w:gridCol w:w="3554"/>
      </w:tblGrid>
      <w:tr w:rsidR="00720BB0" w14:paraId="1E0E157F" w14:textId="77777777" w:rsidTr="00720BB0">
        <w:trPr>
          <w:trHeight w:val="574"/>
        </w:trPr>
        <w:tc>
          <w:tcPr>
            <w:tcW w:w="4175" w:type="dxa"/>
          </w:tcPr>
          <w:p w14:paraId="25BFCDE4" w14:textId="77777777" w:rsidR="00720BB0" w:rsidRDefault="00720BB0" w:rsidP="00720BB0">
            <w:pPr>
              <w:pStyle w:val="TableParagraph"/>
              <w:rPr>
                <w:b/>
              </w:rPr>
            </w:pPr>
            <w:r>
              <w:rPr>
                <w:b/>
              </w:rPr>
              <w:lastRenderedPageBreak/>
              <w:t>Cost Per Acquisition</w:t>
            </w:r>
          </w:p>
        </w:tc>
        <w:tc>
          <w:tcPr>
            <w:tcW w:w="6359" w:type="dxa"/>
          </w:tcPr>
          <w:p w14:paraId="4A4A5DE6" w14:textId="77777777" w:rsidR="00720BB0" w:rsidRDefault="00720BB0" w:rsidP="00720BB0">
            <w:pPr>
              <w:pStyle w:val="TableParagraph"/>
              <w:ind w:left="158"/>
            </w:pPr>
            <w:r>
              <w:t xml:space="preserve">(Cost of marketing and sales)/ number of new </w:t>
            </w:r>
            <w:proofErr w:type="spellStart"/>
            <w:r>
              <w:t>leadsk</w:t>
            </w:r>
            <w:proofErr w:type="spellEnd"/>
          </w:p>
        </w:tc>
        <w:tc>
          <w:tcPr>
            <w:tcW w:w="3553" w:type="dxa"/>
          </w:tcPr>
          <w:p w14:paraId="220111A1" w14:textId="77777777" w:rsidR="00720BB0" w:rsidRDefault="00720BB0" w:rsidP="00720BB0">
            <w:pPr>
              <w:pStyle w:val="TableParagraph"/>
              <w:spacing w:before="0"/>
              <w:ind w:left="0"/>
              <w:rPr>
                <w:rFonts w:ascii="Times New Roman"/>
              </w:rPr>
            </w:pPr>
          </w:p>
        </w:tc>
      </w:tr>
      <w:tr w:rsidR="00720BB0" w14:paraId="26ACFC75" w14:textId="77777777" w:rsidTr="00720BB0">
        <w:trPr>
          <w:trHeight w:val="898"/>
        </w:trPr>
        <w:tc>
          <w:tcPr>
            <w:tcW w:w="4175" w:type="dxa"/>
          </w:tcPr>
          <w:p w14:paraId="1D5B71F8" w14:textId="77777777" w:rsidR="00720BB0" w:rsidRDefault="00720BB0" w:rsidP="00720BB0">
            <w:pPr>
              <w:pStyle w:val="TableParagraph"/>
              <w:rPr>
                <w:b/>
              </w:rPr>
            </w:pPr>
            <w:r>
              <w:rPr>
                <w:b/>
              </w:rPr>
              <w:t>Expected Retention Time</w:t>
            </w:r>
          </w:p>
        </w:tc>
        <w:tc>
          <w:tcPr>
            <w:tcW w:w="6359" w:type="dxa"/>
          </w:tcPr>
          <w:p w14:paraId="582FFFD9" w14:textId="77777777" w:rsidR="00720BB0" w:rsidRDefault="00720BB0" w:rsidP="00720BB0">
            <w:pPr>
              <w:pStyle w:val="TableParagraph"/>
              <w:spacing w:line="256" w:lineRule="auto"/>
            </w:pPr>
            <w:r>
              <w:t>Amount of time (measured in purchasing cycles) you expect to retain the customer.</w:t>
            </w:r>
          </w:p>
        </w:tc>
        <w:tc>
          <w:tcPr>
            <w:tcW w:w="3553" w:type="dxa"/>
          </w:tcPr>
          <w:p w14:paraId="44770FFB" w14:textId="77777777" w:rsidR="00720BB0" w:rsidRDefault="00720BB0" w:rsidP="00720BB0">
            <w:pPr>
              <w:pStyle w:val="TableParagraph"/>
              <w:spacing w:before="0"/>
              <w:ind w:left="0"/>
              <w:rPr>
                <w:rFonts w:ascii="Times New Roman"/>
              </w:rPr>
            </w:pPr>
          </w:p>
        </w:tc>
      </w:tr>
      <w:tr w:rsidR="00720BB0" w14:paraId="77F6BC5E" w14:textId="77777777" w:rsidTr="00720BB0">
        <w:trPr>
          <w:trHeight w:val="898"/>
        </w:trPr>
        <w:tc>
          <w:tcPr>
            <w:tcW w:w="4175" w:type="dxa"/>
          </w:tcPr>
          <w:p w14:paraId="555DDA09" w14:textId="77777777" w:rsidR="00720BB0" w:rsidRDefault="00720BB0" w:rsidP="00720BB0">
            <w:pPr>
              <w:pStyle w:val="TableParagraph"/>
              <w:rPr>
                <w:b/>
              </w:rPr>
            </w:pPr>
            <w:r>
              <w:rPr>
                <w:b/>
              </w:rPr>
              <w:t>Average Sale Revenue</w:t>
            </w:r>
          </w:p>
        </w:tc>
        <w:tc>
          <w:tcPr>
            <w:tcW w:w="6359" w:type="dxa"/>
          </w:tcPr>
          <w:p w14:paraId="0C827AB1" w14:textId="77777777" w:rsidR="00720BB0" w:rsidRDefault="00720BB0" w:rsidP="00720BB0">
            <w:pPr>
              <w:pStyle w:val="TableParagraph"/>
              <w:spacing w:line="256" w:lineRule="auto"/>
            </w:pPr>
            <w:r>
              <w:t>(Total customer revenue/ Number of purchases in the cycle)</w:t>
            </w:r>
          </w:p>
        </w:tc>
        <w:tc>
          <w:tcPr>
            <w:tcW w:w="3553" w:type="dxa"/>
          </w:tcPr>
          <w:p w14:paraId="04A98F9A" w14:textId="77777777" w:rsidR="00720BB0" w:rsidRDefault="00720BB0" w:rsidP="00720BB0">
            <w:pPr>
              <w:pStyle w:val="TableParagraph"/>
              <w:spacing w:before="0"/>
              <w:ind w:left="0"/>
              <w:rPr>
                <w:rFonts w:ascii="Times New Roman"/>
              </w:rPr>
            </w:pPr>
          </w:p>
        </w:tc>
      </w:tr>
      <w:tr w:rsidR="00720BB0" w14:paraId="2599D477" w14:textId="77777777" w:rsidTr="00720BB0">
        <w:trPr>
          <w:trHeight w:val="898"/>
        </w:trPr>
        <w:tc>
          <w:tcPr>
            <w:tcW w:w="4175" w:type="dxa"/>
          </w:tcPr>
          <w:p w14:paraId="4FA54F8B" w14:textId="77777777" w:rsidR="00720BB0" w:rsidRDefault="00720BB0" w:rsidP="00720BB0">
            <w:pPr>
              <w:pStyle w:val="TableParagraph"/>
              <w:rPr>
                <w:b/>
              </w:rPr>
            </w:pPr>
            <w:r>
              <w:rPr>
                <w:b/>
              </w:rPr>
              <w:t>Profit Margin (%) Per Customer</w:t>
            </w:r>
          </w:p>
        </w:tc>
        <w:tc>
          <w:tcPr>
            <w:tcW w:w="6359" w:type="dxa"/>
          </w:tcPr>
          <w:p w14:paraId="13E968D5" w14:textId="77777777" w:rsidR="00720BB0" w:rsidRDefault="00720BB0" w:rsidP="00720BB0">
            <w:pPr>
              <w:pStyle w:val="TableParagraph"/>
              <w:spacing w:line="256" w:lineRule="auto"/>
              <w:ind w:right="494" w:firstLine="61"/>
            </w:pPr>
            <w:r>
              <w:t>((Average Sale - Average Cost of Sale) / Average Sale) x 100</w:t>
            </w:r>
          </w:p>
        </w:tc>
        <w:tc>
          <w:tcPr>
            <w:tcW w:w="3553" w:type="dxa"/>
          </w:tcPr>
          <w:p w14:paraId="7C6764FA" w14:textId="77777777" w:rsidR="00720BB0" w:rsidRDefault="00720BB0" w:rsidP="00720BB0">
            <w:pPr>
              <w:pStyle w:val="TableParagraph"/>
              <w:spacing w:before="0"/>
              <w:ind w:left="0"/>
              <w:rPr>
                <w:rFonts w:ascii="Times New Roman"/>
              </w:rPr>
            </w:pPr>
          </w:p>
        </w:tc>
      </w:tr>
      <w:tr w:rsidR="00720BB0" w14:paraId="449D60AE" w14:textId="77777777" w:rsidTr="00720BB0">
        <w:trPr>
          <w:trHeight w:val="592"/>
        </w:trPr>
        <w:tc>
          <w:tcPr>
            <w:tcW w:w="14088" w:type="dxa"/>
            <w:gridSpan w:val="3"/>
            <w:shd w:val="clear" w:color="auto" w:fill="C8DAF8"/>
          </w:tcPr>
          <w:p w14:paraId="1978A6A2" w14:textId="77777777" w:rsidR="00720BB0" w:rsidRDefault="00720BB0" w:rsidP="00720BB0">
            <w:pPr>
              <w:pStyle w:val="TableParagraph"/>
              <w:spacing w:before="73"/>
              <w:rPr>
                <w:rFonts w:ascii="Noto Sans"/>
                <w:i/>
                <w:sz w:val="24"/>
              </w:rPr>
            </w:pPr>
            <w:r>
              <w:rPr>
                <w:rFonts w:ascii="Noto Sans"/>
                <w:i/>
                <w:sz w:val="24"/>
              </w:rPr>
              <w:t>Growth</w:t>
            </w:r>
          </w:p>
        </w:tc>
      </w:tr>
      <w:tr w:rsidR="00720BB0" w14:paraId="6B879246" w14:textId="77777777" w:rsidTr="00720BB0">
        <w:trPr>
          <w:trHeight w:val="574"/>
        </w:trPr>
        <w:tc>
          <w:tcPr>
            <w:tcW w:w="4175" w:type="dxa"/>
          </w:tcPr>
          <w:p w14:paraId="6492C628" w14:textId="77777777" w:rsidR="00720BB0" w:rsidRDefault="00720BB0" w:rsidP="00720BB0">
            <w:pPr>
              <w:pStyle w:val="TableParagraph"/>
              <w:rPr>
                <w:b/>
              </w:rPr>
            </w:pPr>
            <w:r>
              <w:rPr>
                <w:b/>
              </w:rPr>
              <w:t>Stickiness</w:t>
            </w:r>
          </w:p>
        </w:tc>
        <w:tc>
          <w:tcPr>
            <w:tcW w:w="6359" w:type="dxa"/>
          </w:tcPr>
          <w:p w14:paraId="6DC8C94A" w14:textId="77777777" w:rsidR="00720BB0" w:rsidRDefault="00720BB0" w:rsidP="00720BB0">
            <w:pPr>
              <w:pStyle w:val="TableParagraph"/>
            </w:pPr>
            <w:r>
              <w:t>Daily Active Users/ Monthly Active Users</w:t>
            </w:r>
          </w:p>
        </w:tc>
        <w:tc>
          <w:tcPr>
            <w:tcW w:w="3553" w:type="dxa"/>
          </w:tcPr>
          <w:p w14:paraId="4ADF1724" w14:textId="77777777" w:rsidR="00720BB0" w:rsidRDefault="00720BB0" w:rsidP="00720BB0">
            <w:pPr>
              <w:pStyle w:val="TableParagraph"/>
              <w:spacing w:before="0"/>
              <w:ind w:left="0"/>
              <w:rPr>
                <w:rFonts w:ascii="Times New Roman"/>
              </w:rPr>
            </w:pPr>
          </w:p>
        </w:tc>
      </w:tr>
      <w:tr w:rsidR="00720BB0" w14:paraId="0FC0B4EB" w14:textId="77777777" w:rsidTr="00720BB0">
        <w:trPr>
          <w:trHeight w:val="898"/>
        </w:trPr>
        <w:tc>
          <w:tcPr>
            <w:tcW w:w="4175" w:type="dxa"/>
          </w:tcPr>
          <w:p w14:paraId="4B036B3C" w14:textId="77777777" w:rsidR="00720BB0" w:rsidRDefault="00720BB0" w:rsidP="00720BB0">
            <w:pPr>
              <w:pStyle w:val="TableParagraph"/>
              <w:rPr>
                <w:b/>
              </w:rPr>
            </w:pPr>
            <w:r>
              <w:rPr>
                <w:b/>
              </w:rPr>
              <w:t>Churn rate</w:t>
            </w:r>
          </w:p>
        </w:tc>
        <w:tc>
          <w:tcPr>
            <w:tcW w:w="6359" w:type="dxa"/>
          </w:tcPr>
          <w:p w14:paraId="5D35B489" w14:textId="77777777" w:rsidR="00720BB0" w:rsidRDefault="00720BB0" w:rsidP="00720BB0">
            <w:pPr>
              <w:pStyle w:val="TableParagraph"/>
              <w:spacing w:line="256" w:lineRule="auto"/>
            </w:pPr>
            <w:r>
              <w:t>(Customers beginning of month - Customers end of month) / Customers beginning of month</w:t>
            </w:r>
          </w:p>
        </w:tc>
        <w:tc>
          <w:tcPr>
            <w:tcW w:w="3553" w:type="dxa"/>
          </w:tcPr>
          <w:p w14:paraId="705BE081" w14:textId="77777777" w:rsidR="00720BB0" w:rsidRDefault="00720BB0" w:rsidP="00720BB0">
            <w:pPr>
              <w:pStyle w:val="TableParagraph"/>
              <w:spacing w:before="0"/>
              <w:ind w:left="0"/>
              <w:rPr>
                <w:rFonts w:ascii="Times New Roman"/>
              </w:rPr>
            </w:pPr>
          </w:p>
        </w:tc>
      </w:tr>
      <w:tr w:rsidR="00720BB0" w14:paraId="09F55051" w14:textId="77777777" w:rsidTr="00720BB0">
        <w:trPr>
          <w:trHeight w:val="592"/>
        </w:trPr>
        <w:tc>
          <w:tcPr>
            <w:tcW w:w="14088" w:type="dxa"/>
            <w:gridSpan w:val="3"/>
            <w:shd w:val="clear" w:color="auto" w:fill="C8DAF8"/>
          </w:tcPr>
          <w:p w14:paraId="6EE95F2E" w14:textId="77777777" w:rsidR="00720BB0" w:rsidRDefault="00720BB0" w:rsidP="00720BB0">
            <w:pPr>
              <w:pStyle w:val="TableParagraph"/>
              <w:spacing w:before="73"/>
              <w:rPr>
                <w:rFonts w:ascii="Noto Sans"/>
                <w:i/>
                <w:sz w:val="24"/>
              </w:rPr>
            </w:pPr>
            <w:r>
              <w:rPr>
                <w:rFonts w:ascii="Noto Sans"/>
                <w:i/>
                <w:sz w:val="24"/>
              </w:rPr>
              <w:t>Financial</w:t>
            </w:r>
          </w:p>
        </w:tc>
      </w:tr>
      <w:tr w:rsidR="00720BB0" w14:paraId="38D44981" w14:textId="77777777" w:rsidTr="00720BB0">
        <w:trPr>
          <w:trHeight w:val="898"/>
        </w:trPr>
        <w:tc>
          <w:tcPr>
            <w:tcW w:w="4175" w:type="dxa"/>
          </w:tcPr>
          <w:p w14:paraId="2316D66B" w14:textId="77777777" w:rsidR="00720BB0" w:rsidRDefault="00720BB0" w:rsidP="00720BB0">
            <w:pPr>
              <w:pStyle w:val="TableParagraph"/>
              <w:rPr>
                <w:b/>
              </w:rPr>
            </w:pPr>
            <w:r>
              <w:rPr>
                <w:b/>
              </w:rPr>
              <w:t>Revenue</w:t>
            </w:r>
          </w:p>
        </w:tc>
        <w:tc>
          <w:tcPr>
            <w:tcW w:w="6359" w:type="dxa"/>
          </w:tcPr>
          <w:p w14:paraId="3E2C9A0B" w14:textId="77777777" w:rsidR="00720BB0" w:rsidRDefault="00720BB0" w:rsidP="00720BB0">
            <w:pPr>
              <w:pStyle w:val="TableParagraph"/>
              <w:spacing w:line="256" w:lineRule="auto"/>
            </w:pPr>
            <w:r>
              <w:t>Money that a company makes from the sales of its products and services</w:t>
            </w:r>
          </w:p>
        </w:tc>
        <w:tc>
          <w:tcPr>
            <w:tcW w:w="3553" w:type="dxa"/>
          </w:tcPr>
          <w:p w14:paraId="501E634C" w14:textId="77777777" w:rsidR="00720BB0" w:rsidRDefault="00720BB0" w:rsidP="00720BB0">
            <w:pPr>
              <w:pStyle w:val="TableParagraph"/>
              <w:spacing w:before="0"/>
              <w:ind w:left="0"/>
              <w:rPr>
                <w:rFonts w:ascii="Times New Roman"/>
              </w:rPr>
            </w:pPr>
          </w:p>
        </w:tc>
      </w:tr>
      <w:tr w:rsidR="00720BB0" w14:paraId="3D19CC46" w14:textId="77777777" w:rsidTr="00720BB0">
        <w:trPr>
          <w:trHeight w:val="898"/>
        </w:trPr>
        <w:tc>
          <w:tcPr>
            <w:tcW w:w="4175" w:type="dxa"/>
          </w:tcPr>
          <w:p w14:paraId="4314AD1C" w14:textId="77777777" w:rsidR="00720BB0" w:rsidRDefault="00720BB0" w:rsidP="00720BB0">
            <w:pPr>
              <w:pStyle w:val="TableParagraph"/>
              <w:rPr>
                <w:b/>
              </w:rPr>
            </w:pPr>
            <w:r>
              <w:rPr>
                <w:b/>
              </w:rPr>
              <w:t>Cost of Goods Sold</w:t>
            </w:r>
          </w:p>
        </w:tc>
        <w:tc>
          <w:tcPr>
            <w:tcW w:w="6359" w:type="dxa"/>
          </w:tcPr>
          <w:p w14:paraId="0B41DD72" w14:textId="77777777" w:rsidR="00720BB0" w:rsidRDefault="00720BB0" w:rsidP="00720BB0">
            <w:pPr>
              <w:pStyle w:val="TableParagraph"/>
              <w:spacing w:line="256" w:lineRule="auto"/>
              <w:ind w:right="494"/>
            </w:pPr>
            <w:r>
              <w:t>Direct costs the company incurs to develop and product the product or service being sold</w:t>
            </w:r>
          </w:p>
        </w:tc>
        <w:tc>
          <w:tcPr>
            <w:tcW w:w="3553" w:type="dxa"/>
          </w:tcPr>
          <w:p w14:paraId="78D922D2" w14:textId="77777777" w:rsidR="00720BB0" w:rsidRDefault="00720BB0" w:rsidP="00720BB0">
            <w:pPr>
              <w:pStyle w:val="TableParagraph"/>
              <w:spacing w:line="256" w:lineRule="auto"/>
              <w:ind w:right="1304"/>
            </w:pPr>
            <w:r>
              <w:t>Cost of Sales Cost of Revenue</w:t>
            </w:r>
          </w:p>
        </w:tc>
      </w:tr>
      <w:tr w:rsidR="00720BB0" w14:paraId="1EB405F1" w14:textId="77777777" w:rsidTr="00720BB0">
        <w:trPr>
          <w:trHeight w:val="574"/>
        </w:trPr>
        <w:tc>
          <w:tcPr>
            <w:tcW w:w="4175" w:type="dxa"/>
          </w:tcPr>
          <w:p w14:paraId="21BE682E" w14:textId="77777777" w:rsidR="00720BB0" w:rsidRDefault="00720BB0" w:rsidP="00720BB0">
            <w:pPr>
              <w:pStyle w:val="TableParagraph"/>
              <w:rPr>
                <w:b/>
              </w:rPr>
            </w:pPr>
            <w:r>
              <w:rPr>
                <w:b/>
              </w:rPr>
              <w:t>Gross Profit</w:t>
            </w:r>
          </w:p>
        </w:tc>
        <w:tc>
          <w:tcPr>
            <w:tcW w:w="6359" w:type="dxa"/>
          </w:tcPr>
          <w:p w14:paraId="20AF82E1" w14:textId="77777777" w:rsidR="00720BB0" w:rsidRDefault="00720BB0" w:rsidP="00720BB0">
            <w:pPr>
              <w:pStyle w:val="TableParagraph"/>
            </w:pPr>
            <w:r>
              <w:t>Revenue - Cost of Goods Sold</w:t>
            </w:r>
          </w:p>
        </w:tc>
        <w:tc>
          <w:tcPr>
            <w:tcW w:w="3553" w:type="dxa"/>
          </w:tcPr>
          <w:p w14:paraId="083CC73C" w14:textId="77777777" w:rsidR="00720BB0" w:rsidRDefault="00720BB0" w:rsidP="00720BB0">
            <w:pPr>
              <w:pStyle w:val="TableParagraph"/>
              <w:spacing w:before="0"/>
              <w:ind w:left="0"/>
              <w:rPr>
                <w:rFonts w:ascii="Times New Roman"/>
              </w:rPr>
            </w:pPr>
          </w:p>
        </w:tc>
      </w:tr>
      <w:tr w:rsidR="00720BB0" w14:paraId="2E97B444" w14:textId="77777777" w:rsidTr="00720BB0">
        <w:trPr>
          <w:trHeight w:val="2193"/>
        </w:trPr>
        <w:tc>
          <w:tcPr>
            <w:tcW w:w="4175" w:type="dxa"/>
          </w:tcPr>
          <w:p w14:paraId="7B54AA6A" w14:textId="77777777" w:rsidR="00720BB0" w:rsidRDefault="00720BB0" w:rsidP="00720BB0">
            <w:pPr>
              <w:pStyle w:val="TableParagraph"/>
              <w:spacing w:line="256" w:lineRule="auto"/>
              <w:ind w:right="890"/>
              <w:rPr>
                <w:b/>
              </w:rPr>
            </w:pPr>
            <w:r>
              <w:rPr>
                <w:b/>
              </w:rPr>
              <w:t>Selling, General and Administrative expenses</w:t>
            </w:r>
          </w:p>
        </w:tc>
        <w:tc>
          <w:tcPr>
            <w:tcW w:w="6359" w:type="dxa"/>
          </w:tcPr>
          <w:p w14:paraId="7A1AA9BA" w14:textId="77777777" w:rsidR="00720BB0" w:rsidRDefault="00720BB0" w:rsidP="00720BB0">
            <w:pPr>
              <w:pStyle w:val="TableParagraph"/>
              <w:spacing w:line="256" w:lineRule="auto"/>
              <w:ind w:right="142"/>
            </w:pPr>
            <w:r>
              <w:t>Selling, General and Administrative expenses Marketing, sale commissions and salaries for office staff, supplies, computers, legal expenses, rent, utilities, taxes and interests on any loans). SG&amp;A typically exclude research and development expenses.</w:t>
            </w:r>
          </w:p>
        </w:tc>
        <w:tc>
          <w:tcPr>
            <w:tcW w:w="3553" w:type="dxa"/>
          </w:tcPr>
          <w:p w14:paraId="6BEE4346" w14:textId="77777777" w:rsidR="00720BB0" w:rsidRDefault="00720BB0" w:rsidP="00720BB0">
            <w:pPr>
              <w:pStyle w:val="TableParagraph"/>
            </w:pPr>
            <w:r>
              <w:t>Operating Expenses</w:t>
            </w:r>
          </w:p>
        </w:tc>
      </w:tr>
    </w:tbl>
    <w:p w14:paraId="0F00CD4E" w14:textId="77777777" w:rsidR="0066511D" w:rsidRDefault="0066511D">
      <w:pPr>
        <w:sectPr w:rsidR="0066511D">
          <w:pgSz w:w="15840" w:h="12240" w:orient="landscape"/>
          <w:pgMar w:top="1140" w:right="1920" w:bottom="280" w:left="1340" w:header="720" w:footer="720" w:gutter="0"/>
          <w:cols w:space="720"/>
        </w:sectPr>
      </w:pPr>
    </w:p>
    <w:p w14:paraId="2CD0EAC0" w14:textId="77777777" w:rsidR="0066511D" w:rsidRDefault="0066511D">
      <w:pPr>
        <w:pStyle w:val="BodyText"/>
        <w:rPr>
          <w:sz w:val="26"/>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15"/>
        <w:gridCol w:w="5505"/>
        <w:gridCol w:w="3075"/>
      </w:tblGrid>
      <w:tr w:rsidR="0066511D" w14:paraId="128CBF26" w14:textId="77777777">
        <w:trPr>
          <w:trHeight w:val="750"/>
        </w:trPr>
        <w:tc>
          <w:tcPr>
            <w:tcW w:w="3615" w:type="dxa"/>
          </w:tcPr>
          <w:p w14:paraId="65CA912E" w14:textId="77777777" w:rsidR="0066511D" w:rsidRDefault="00005021">
            <w:pPr>
              <w:pStyle w:val="TableParagraph"/>
              <w:rPr>
                <w:b/>
              </w:rPr>
            </w:pPr>
            <w:r>
              <w:rPr>
                <w:b/>
              </w:rPr>
              <w:t>Total Operating Expenses</w:t>
            </w:r>
          </w:p>
        </w:tc>
        <w:tc>
          <w:tcPr>
            <w:tcW w:w="5505" w:type="dxa"/>
          </w:tcPr>
          <w:p w14:paraId="27306BDA" w14:textId="77777777" w:rsidR="0066511D" w:rsidRDefault="00005021">
            <w:pPr>
              <w:pStyle w:val="TableParagraph"/>
              <w:spacing w:line="256" w:lineRule="auto"/>
              <w:ind w:right="142"/>
            </w:pPr>
            <w:r>
              <w:t>Expenses incurred outside of direct manufacturing costs</w:t>
            </w:r>
          </w:p>
        </w:tc>
        <w:tc>
          <w:tcPr>
            <w:tcW w:w="3075" w:type="dxa"/>
          </w:tcPr>
          <w:p w14:paraId="07A65162" w14:textId="77777777" w:rsidR="0066511D" w:rsidRDefault="0066511D">
            <w:pPr>
              <w:pStyle w:val="TableParagraph"/>
              <w:spacing w:before="0"/>
              <w:ind w:left="0"/>
              <w:rPr>
                <w:rFonts w:ascii="Times New Roman"/>
                <w:sz w:val="20"/>
              </w:rPr>
            </w:pPr>
          </w:p>
        </w:tc>
      </w:tr>
      <w:tr w:rsidR="0066511D" w14:paraId="7F8419A1" w14:textId="77777777">
        <w:trPr>
          <w:trHeight w:val="1020"/>
        </w:trPr>
        <w:tc>
          <w:tcPr>
            <w:tcW w:w="3615" w:type="dxa"/>
          </w:tcPr>
          <w:p w14:paraId="3C8DBE2A" w14:textId="77777777" w:rsidR="0066511D" w:rsidRDefault="00005021">
            <w:pPr>
              <w:pStyle w:val="TableParagraph"/>
              <w:rPr>
                <w:b/>
              </w:rPr>
            </w:pPr>
            <w:r>
              <w:rPr>
                <w:b/>
              </w:rPr>
              <w:t>Operating Profit</w:t>
            </w:r>
          </w:p>
        </w:tc>
        <w:tc>
          <w:tcPr>
            <w:tcW w:w="5505" w:type="dxa"/>
          </w:tcPr>
          <w:p w14:paraId="24C5354A" w14:textId="77777777" w:rsidR="0066511D" w:rsidRDefault="00005021">
            <w:pPr>
              <w:pStyle w:val="TableParagraph"/>
            </w:pPr>
            <w:r>
              <w:t>Gross Profit - Total Operating Expenses</w:t>
            </w:r>
          </w:p>
        </w:tc>
        <w:tc>
          <w:tcPr>
            <w:tcW w:w="3075" w:type="dxa"/>
          </w:tcPr>
          <w:p w14:paraId="3C9A1E2B" w14:textId="77777777" w:rsidR="0066511D" w:rsidRDefault="00005021">
            <w:pPr>
              <w:pStyle w:val="TableParagraph"/>
              <w:spacing w:line="256" w:lineRule="auto"/>
              <w:ind w:right="203"/>
            </w:pPr>
            <w:r>
              <w:t>Operating Income, Earnings Before Interest and Tax (EBIT)</w:t>
            </w:r>
          </w:p>
        </w:tc>
      </w:tr>
      <w:tr w:rsidR="0066511D" w14:paraId="291BA2B2" w14:textId="77777777">
        <w:trPr>
          <w:trHeight w:val="480"/>
        </w:trPr>
        <w:tc>
          <w:tcPr>
            <w:tcW w:w="3615" w:type="dxa"/>
          </w:tcPr>
          <w:p w14:paraId="09D836AB" w14:textId="77777777" w:rsidR="0066511D" w:rsidRDefault="00005021">
            <w:pPr>
              <w:pStyle w:val="TableParagraph"/>
              <w:rPr>
                <w:b/>
              </w:rPr>
            </w:pPr>
            <w:r>
              <w:rPr>
                <w:b/>
              </w:rPr>
              <w:t>Net Profit</w:t>
            </w:r>
          </w:p>
        </w:tc>
        <w:tc>
          <w:tcPr>
            <w:tcW w:w="5505" w:type="dxa"/>
          </w:tcPr>
          <w:p w14:paraId="46B5F74B" w14:textId="77777777" w:rsidR="0066511D" w:rsidRDefault="00005021">
            <w:pPr>
              <w:pStyle w:val="TableParagraph"/>
            </w:pPr>
            <w:r>
              <w:t>Operating Profit - (Interest + Taxes)</w:t>
            </w:r>
          </w:p>
        </w:tc>
        <w:tc>
          <w:tcPr>
            <w:tcW w:w="3075" w:type="dxa"/>
          </w:tcPr>
          <w:p w14:paraId="4DDCC26D" w14:textId="77777777" w:rsidR="0066511D" w:rsidRDefault="00005021">
            <w:pPr>
              <w:pStyle w:val="TableParagraph"/>
            </w:pPr>
            <w:r>
              <w:t>Net Income</w:t>
            </w:r>
          </w:p>
        </w:tc>
      </w:tr>
      <w:tr w:rsidR="0066511D" w14:paraId="6289FBED" w14:textId="77777777">
        <w:trPr>
          <w:trHeight w:val="750"/>
        </w:trPr>
        <w:tc>
          <w:tcPr>
            <w:tcW w:w="3615" w:type="dxa"/>
          </w:tcPr>
          <w:p w14:paraId="243D4B00" w14:textId="77777777" w:rsidR="0066511D" w:rsidRDefault="00005021">
            <w:pPr>
              <w:pStyle w:val="TableParagraph"/>
              <w:rPr>
                <w:b/>
              </w:rPr>
            </w:pPr>
            <w:r>
              <w:rPr>
                <w:b/>
              </w:rPr>
              <w:t>Gross Margin</w:t>
            </w:r>
          </w:p>
        </w:tc>
        <w:tc>
          <w:tcPr>
            <w:tcW w:w="5505" w:type="dxa"/>
          </w:tcPr>
          <w:p w14:paraId="5E730BA6" w14:textId="77777777" w:rsidR="0066511D" w:rsidRDefault="00005021">
            <w:pPr>
              <w:pStyle w:val="TableParagraph"/>
              <w:spacing w:line="256" w:lineRule="auto"/>
            </w:pPr>
            <w:r>
              <w:t>(Total Sales Revenue – Cost of Goods Sold) / Total Sales Revenue</w:t>
            </w:r>
          </w:p>
        </w:tc>
        <w:tc>
          <w:tcPr>
            <w:tcW w:w="3075" w:type="dxa"/>
          </w:tcPr>
          <w:p w14:paraId="7E92D889" w14:textId="77777777" w:rsidR="0066511D" w:rsidRDefault="0066511D">
            <w:pPr>
              <w:pStyle w:val="TableParagraph"/>
              <w:spacing w:before="0"/>
              <w:ind w:left="0"/>
              <w:rPr>
                <w:rFonts w:ascii="Times New Roman"/>
                <w:sz w:val="20"/>
              </w:rPr>
            </w:pPr>
          </w:p>
        </w:tc>
      </w:tr>
      <w:tr w:rsidR="0066511D" w14:paraId="09FA5A43" w14:textId="77777777">
        <w:trPr>
          <w:trHeight w:val="480"/>
        </w:trPr>
        <w:tc>
          <w:tcPr>
            <w:tcW w:w="3615" w:type="dxa"/>
          </w:tcPr>
          <w:p w14:paraId="62928C30" w14:textId="77777777" w:rsidR="0066511D" w:rsidRDefault="00005021">
            <w:pPr>
              <w:pStyle w:val="TableParagraph"/>
              <w:rPr>
                <w:b/>
              </w:rPr>
            </w:pPr>
            <w:r>
              <w:rPr>
                <w:b/>
              </w:rPr>
              <w:t>Contribution Margin</w:t>
            </w:r>
          </w:p>
        </w:tc>
        <w:tc>
          <w:tcPr>
            <w:tcW w:w="5505" w:type="dxa"/>
          </w:tcPr>
          <w:p w14:paraId="2B18E627" w14:textId="77777777" w:rsidR="0066511D" w:rsidRDefault="00005021">
            <w:pPr>
              <w:pStyle w:val="TableParagraph"/>
            </w:pPr>
            <w:r>
              <w:t>(Revenue - Variable Costs) / Total units sold</w:t>
            </w:r>
          </w:p>
        </w:tc>
        <w:tc>
          <w:tcPr>
            <w:tcW w:w="3075" w:type="dxa"/>
          </w:tcPr>
          <w:p w14:paraId="75424267" w14:textId="77777777" w:rsidR="0066511D" w:rsidRDefault="0066511D">
            <w:pPr>
              <w:pStyle w:val="TableParagraph"/>
              <w:spacing w:before="0"/>
              <w:ind w:left="0"/>
              <w:rPr>
                <w:rFonts w:ascii="Times New Roman"/>
                <w:sz w:val="20"/>
              </w:rPr>
            </w:pPr>
          </w:p>
        </w:tc>
      </w:tr>
    </w:tbl>
    <w:p w14:paraId="64658518" w14:textId="0AA7AEB7" w:rsidR="0069160D" w:rsidRDefault="0069160D"/>
    <w:p w14:paraId="5DE65D73" w14:textId="699BDCBE" w:rsidR="000B6676" w:rsidRDefault="000B6676"/>
    <w:p w14:paraId="1B70484E" w14:textId="3D92A5AA" w:rsidR="000B6676" w:rsidRDefault="000B6676"/>
    <w:p w14:paraId="3DEA2F9E" w14:textId="5C319777" w:rsidR="000B6676" w:rsidRDefault="000B6676"/>
    <w:p w14:paraId="758C8C9D" w14:textId="2BFB61D1" w:rsidR="000B6676" w:rsidRDefault="000B6676"/>
    <w:p w14:paraId="65E44F4A" w14:textId="02C2A4DA" w:rsidR="000B6676" w:rsidRDefault="000B6676"/>
    <w:p w14:paraId="003ADFF1" w14:textId="6DADE27D" w:rsidR="000B6676" w:rsidRDefault="000B6676"/>
    <w:p w14:paraId="42D6C041" w14:textId="439A4804" w:rsidR="000B6676" w:rsidRDefault="000B6676"/>
    <w:p w14:paraId="10C9A975" w14:textId="2376A57A" w:rsidR="000B6676" w:rsidRDefault="000B6676"/>
    <w:p w14:paraId="19B70719" w14:textId="1D981264" w:rsidR="000B6676" w:rsidRDefault="000B6676"/>
    <w:p w14:paraId="6E0644AA" w14:textId="018532C2" w:rsidR="000B6676" w:rsidRDefault="000B6676"/>
    <w:p w14:paraId="6DF8FFD6" w14:textId="047B99E7" w:rsidR="000B6676" w:rsidRDefault="000B6676"/>
    <w:p w14:paraId="14CBD3D1" w14:textId="6A89A26F" w:rsidR="000B6676" w:rsidRDefault="000B6676"/>
    <w:p w14:paraId="3D296E4A" w14:textId="7978F149" w:rsidR="000B6676" w:rsidRDefault="000B6676"/>
    <w:p w14:paraId="2FCD66A5" w14:textId="75E79BC8" w:rsidR="000B6676" w:rsidRDefault="000B6676"/>
    <w:p w14:paraId="515051AC" w14:textId="115A23CE" w:rsidR="000B6676" w:rsidRDefault="000B6676"/>
    <w:p w14:paraId="4A1C5407" w14:textId="3BD0613E" w:rsidR="000B6676" w:rsidRDefault="000B6676"/>
    <w:p w14:paraId="442F530D" w14:textId="6691F728" w:rsidR="000B6676" w:rsidRDefault="000B6676"/>
    <w:p w14:paraId="08C3A6C8" w14:textId="54E1F3B0" w:rsidR="000B6676" w:rsidRDefault="000B6676"/>
    <w:p w14:paraId="7B4E8724" w14:textId="0EA378FA" w:rsidR="000B6676" w:rsidRDefault="000B6676"/>
    <w:p w14:paraId="3064BCE7" w14:textId="23AFB898" w:rsidR="000B6676" w:rsidRDefault="000B6676"/>
    <w:p w14:paraId="27496E6B" w14:textId="471DD87C" w:rsidR="000B6676" w:rsidRDefault="000B6676"/>
    <w:p w14:paraId="5F06F02D" w14:textId="2838D41A" w:rsidR="000B6676" w:rsidRDefault="000B6676"/>
    <w:p w14:paraId="272DB68C" w14:textId="1FC0EF2E" w:rsidR="000B6676" w:rsidRDefault="000B6676"/>
    <w:p w14:paraId="2764954B" w14:textId="58C029FF" w:rsidR="000B6676" w:rsidRDefault="000B6676"/>
    <w:p w14:paraId="03FD361B" w14:textId="77777777" w:rsidR="000B6676" w:rsidRPr="000B6676" w:rsidRDefault="000B6676" w:rsidP="000B6676">
      <w:pPr>
        <w:widowControl/>
        <w:shd w:val="clear" w:color="auto" w:fill="FFFFFF"/>
        <w:autoSpaceDE/>
        <w:autoSpaceDN/>
        <w:spacing w:before="360" w:after="75" w:line="480" w:lineRule="auto"/>
        <w:outlineLvl w:val="3"/>
        <w:rPr>
          <w:rFonts w:ascii="Open Sans" w:eastAsia="Times New Roman" w:hAnsi="Open Sans" w:cs="Open Sans"/>
          <w:b/>
          <w:bCs/>
          <w:color w:val="548DD4" w:themeColor="text2" w:themeTint="99"/>
          <w:sz w:val="24"/>
          <w:szCs w:val="24"/>
        </w:rPr>
      </w:pPr>
      <w:r w:rsidRPr="000B6676">
        <w:rPr>
          <w:rFonts w:ascii="Open Sans" w:eastAsia="Times New Roman" w:hAnsi="Open Sans" w:cs="Open Sans"/>
          <w:b/>
          <w:bCs/>
          <w:color w:val="548DD4" w:themeColor="text2" w:themeTint="99"/>
          <w:sz w:val="24"/>
          <w:szCs w:val="24"/>
        </w:rPr>
        <w:lastRenderedPageBreak/>
        <w:t>Overarching Themes</w:t>
      </w:r>
    </w:p>
    <w:p w14:paraId="2411648E" w14:textId="77777777" w:rsidR="000B6676" w:rsidRPr="000B6676" w:rsidRDefault="000B6676" w:rsidP="000B6676">
      <w:pPr>
        <w:widowControl/>
        <w:numPr>
          <w:ilvl w:val="0"/>
          <w:numId w:val="1"/>
        </w:numPr>
        <w:shd w:val="clear" w:color="auto" w:fill="FFFFFF"/>
        <w:autoSpaceDE/>
        <w:autoSpaceDN/>
        <w:spacing w:line="480" w:lineRule="auto"/>
        <w:rPr>
          <w:rFonts w:ascii="Open Sans" w:eastAsia="Times New Roman" w:hAnsi="Open Sans" w:cs="Open Sans"/>
          <w:color w:val="4F4F4F"/>
          <w:sz w:val="24"/>
          <w:szCs w:val="24"/>
        </w:rPr>
      </w:pPr>
      <w:r w:rsidRPr="000B6676">
        <w:rPr>
          <w:rFonts w:ascii="Open Sans" w:eastAsia="Times New Roman" w:hAnsi="Open Sans" w:cs="Open Sans"/>
          <w:color w:val="4F4F4F"/>
          <w:sz w:val="24"/>
          <w:szCs w:val="24"/>
        </w:rPr>
        <w:t>Businesses use </w:t>
      </w:r>
      <w:r w:rsidRPr="000B6676">
        <w:rPr>
          <w:rFonts w:ascii="Open Sans" w:eastAsia="Times New Roman" w:hAnsi="Open Sans" w:cs="Open Sans"/>
          <w:b/>
          <w:bCs/>
          <w:color w:val="4F4F4F"/>
          <w:sz w:val="24"/>
          <w:szCs w:val="24"/>
        </w:rPr>
        <w:t>Key Performance Indicators</w:t>
      </w:r>
      <w:r w:rsidRPr="000B6676">
        <w:rPr>
          <w:rFonts w:ascii="Open Sans" w:eastAsia="Times New Roman" w:hAnsi="Open Sans" w:cs="Open Sans"/>
          <w:color w:val="4F4F4F"/>
          <w:sz w:val="24"/>
          <w:szCs w:val="24"/>
        </w:rPr>
        <w:t> to track how they are performing on key goals or objectives.</w:t>
      </w:r>
    </w:p>
    <w:p w14:paraId="4A4B5EA5" w14:textId="77777777" w:rsidR="000B6676" w:rsidRPr="000B6676" w:rsidRDefault="000B6676" w:rsidP="000B6676">
      <w:pPr>
        <w:widowControl/>
        <w:numPr>
          <w:ilvl w:val="0"/>
          <w:numId w:val="1"/>
        </w:numPr>
        <w:shd w:val="clear" w:color="auto" w:fill="FFFFFF"/>
        <w:autoSpaceDE/>
        <w:autoSpaceDN/>
        <w:spacing w:line="480" w:lineRule="auto"/>
        <w:rPr>
          <w:rFonts w:ascii="Open Sans" w:eastAsia="Times New Roman" w:hAnsi="Open Sans" w:cs="Open Sans"/>
          <w:color w:val="4F4F4F"/>
          <w:sz w:val="24"/>
          <w:szCs w:val="24"/>
        </w:rPr>
      </w:pPr>
      <w:r w:rsidRPr="000B6676">
        <w:rPr>
          <w:rFonts w:ascii="Open Sans" w:eastAsia="Times New Roman" w:hAnsi="Open Sans" w:cs="Open Sans"/>
          <w:color w:val="4F4F4F"/>
          <w:sz w:val="24"/>
          <w:szCs w:val="24"/>
        </w:rPr>
        <w:t>The </w:t>
      </w:r>
      <w:r w:rsidRPr="000B6676">
        <w:rPr>
          <w:rFonts w:ascii="Open Sans" w:eastAsia="Times New Roman" w:hAnsi="Open Sans" w:cs="Open Sans"/>
          <w:b/>
          <w:bCs/>
          <w:color w:val="4F4F4F"/>
          <w:sz w:val="24"/>
          <w:szCs w:val="24"/>
        </w:rPr>
        <w:t>Marketing Funnel</w:t>
      </w:r>
      <w:r w:rsidRPr="000B6676">
        <w:rPr>
          <w:rFonts w:ascii="Open Sans" w:eastAsia="Times New Roman" w:hAnsi="Open Sans" w:cs="Open Sans"/>
          <w:color w:val="4F4F4F"/>
          <w:sz w:val="24"/>
          <w:szCs w:val="24"/>
        </w:rPr>
        <w:t> captures the various stages in the customer's journey. At the top of the funnel, it captures the impressions, clicks, leads and conversions at the bottom of the funnel.</w:t>
      </w:r>
    </w:p>
    <w:p w14:paraId="487ACF96" w14:textId="77777777" w:rsidR="000B6676" w:rsidRPr="000B6676" w:rsidRDefault="000B6676" w:rsidP="000B6676">
      <w:pPr>
        <w:widowControl/>
        <w:numPr>
          <w:ilvl w:val="0"/>
          <w:numId w:val="1"/>
        </w:numPr>
        <w:shd w:val="clear" w:color="auto" w:fill="FFFFFF"/>
        <w:autoSpaceDE/>
        <w:autoSpaceDN/>
        <w:spacing w:line="480" w:lineRule="auto"/>
        <w:rPr>
          <w:rFonts w:ascii="Open Sans" w:eastAsia="Times New Roman" w:hAnsi="Open Sans" w:cs="Open Sans"/>
          <w:color w:val="4F4F4F"/>
          <w:sz w:val="24"/>
          <w:szCs w:val="24"/>
        </w:rPr>
      </w:pPr>
      <w:r w:rsidRPr="000B6676">
        <w:rPr>
          <w:rFonts w:ascii="Open Sans" w:eastAsia="Times New Roman" w:hAnsi="Open Sans" w:cs="Open Sans"/>
          <w:b/>
          <w:bCs/>
          <w:color w:val="4F4F4F"/>
          <w:sz w:val="24"/>
          <w:szCs w:val="24"/>
        </w:rPr>
        <w:t>Optimizing the funnel</w:t>
      </w:r>
      <w:r w:rsidRPr="000B6676">
        <w:rPr>
          <w:rFonts w:ascii="Open Sans" w:eastAsia="Times New Roman" w:hAnsi="Open Sans" w:cs="Open Sans"/>
          <w:color w:val="4F4F4F"/>
          <w:sz w:val="24"/>
          <w:szCs w:val="24"/>
        </w:rPr>
        <w:t> refers to maximizing the conversion rate at each level of the funnel.</w:t>
      </w:r>
    </w:p>
    <w:p w14:paraId="2A7A79B2" w14:textId="77777777" w:rsidR="000B6676" w:rsidRPr="000B6676" w:rsidRDefault="000B6676" w:rsidP="000B6676">
      <w:pPr>
        <w:widowControl/>
        <w:numPr>
          <w:ilvl w:val="0"/>
          <w:numId w:val="1"/>
        </w:numPr>
        <w:shd w:val="clear" w:color="auto" w:fill="FFFFFF"/>
        <w:autoSpaceDE/>
        <w:autoSpaceDN/>
        <w:spacing w:line="480" w:lineRule="auto"/>
        <w:rPr>
          <w:rFonts w:ascii="Open Sans" w:eastAsia="Times New Roman" w:hAnsi="Open Sans" w:cs="Open Sans"/>
          <w:color w:val="4F4F4F"/>
          <w:sz w:val="24"/>
          <w:szCs w:val="24"/>
        </w:rPr>
      </w:pPr>
      <w:r w:rsidRPr="000B6676">
        <w:rPr>
          <w:rFonts w:ascii="Open Sans" w:eastAsia="Times New Roman" w:hAnsi="Open Sans" w:cs="Open Sans"/>
          <w:color w:val="4F4F4F"/>
          <w:sz w:val="24"/>
          <w:szCs w:val="24"/>
        </w:rPr>
        <w:t>The </w:t>
      </w:r>
      <w:r w:rsidRPr="000B6676">
        <w:rPr>
          <w:rFonts w:ascii="Open Sans" w:eastAsia="Times New Roman" w:hAnsi="Open Sans" w:cs="Open Sans"/>
          <w:b/>
          <w:bCs/>
          <w:color w:val="4F4F4F"/>
          <w:sz w:val="24"/>
          <w:szCs w:val="24"/>
        </w:rPr>
        <w:t>Sales Funnel</w:t>
      </w:r>
      <w:r w:rsidRPr="000B6676">
        <w:rPr>
          <w:rFonts w:ascii="Open Sans" w:eastAsia="Times New Roman" w:hAnsi="Open Sans" w:cs="Open Sans"/>
          <w:color w:val="4F4F4F"/>
          <w:sz w:val="24"/>
          <w:szCs w:val="24"/>
        </w:rPr>
        <w:t> captures the various stages in the sales cycle. At the top of the funnel, it captures the prospects, then the leads and qualified leads, and ends with bookings or closed deals at the bottom of the funnel.</w:t>
      </w:r>
    </w:p>
    <w:p w14:paraId="379B7117" w14:textId="77777777" w:rsidR="000B6676" w:rsidRPr="000B6676" w:rsidRDefault="000B6676" w:rsidP="000B6676">
      <w:pPr>
        <w:widowControl/>
        <w:numPr>
          <w:ilvl w:val="0"/>
          <w:numId w:val="1"/>
        </w:numPr>
        <w:shd w:val="clear" w:color="auto" w:fill="FFFFFF"/>
        <w:autoSpaceDE/>
        <w:autoSpaceDN/>
        <w:spacing w:line="480" w:lineRule="auto"/>
        <w:rPr>
          <w:rFonts w:ascii="Open Sans" w:eastAsia="Times New Roman" w:hAnsi="Open Sans" w:cs="Open Sans"/>
          <w:color w:val="4F4F4F"/>
          <w:sz w:val="24"/>
          <w:szCs w:val="24"/>
        </w:rPr>
      </w:pPr>
      <w:r w:rsidRPr="000B6676">
        <w:rPr>
          <w:rFonts w:ascii="Open Sans" w:eastAsia="Times New Roman" w:hAnsi="Open Sans" w:cs="Open Sans"/>
          <w:color w:val="4F4F4F"/>
          <w:sz w:val="24"/>
          <w:szCs w:val="24"/>
        </w:rPr>
        <w:t>It is important to look at the </w:t>
      </w:r>
      <w:r w:rsidRPr="000B6676">
        <w:rPr>
          <w:rFonts w:ascii="Open Sans" w:eastAsia="Times New Roman" w:hAnsi="Open Sans" w:cs="Open Sans"/>
          <w:b/>
          <w:bCs/>
          <w:color w:val="4F4F4F"/>
          <w:sz w:val="24"/>
          <w:szCs w:val="24"/>
        </w:rPr>
        <w:t>distribution of the data</w:t>
      </w:r>
      <w:r w:rsidRPr="000B6676">
        <w:rPr>
          <w:rFonts w:ascii="Open Sans" w:eastAsia="Times New Roman" w:hAnsi="Open Sans" w:cs="Open Sans"/>
          <w:color w:val="4F4F4F"/>
          <w:sz w:val="24"/>
          <w:szCs w:val="24"/>
        </w:rPr>
        <w:t> to understand if the measures of central tendency represent a normal distribution. Looking at the distribution and measures of central tendency is a critical step of the data analysis process.</w:t>
      </w:r>
    </w:p>
    <w:p w14:paraId="614E4782" w14:textId="24FD5E09" w:rsidR="000B6676" w:rsidRDefault="000B6676" w:rsidP="000B6676">
      <w:pPr>
        <w:widowControl/>
        <w:numPr>
          <w:ilvl w:val="0"/>
          <w:numId w:val="1"/>
        </w:numPr>
        <w:shd w:val="clear" w:color="auto" w:fill="FFFFFF"/>
        <w:autoSpaceDE/>
        <w:autoSpaceDN/>
        <w:spacing w:line="480" w:lineRule="auto"/>
        <w:rPr>
          <w:rFonts w:ascii="Open Sans" w:eastAsia="Times New Roman" w:hAnsi="Open Sans" w:cs="Open Sans"/>
          <w:color w:val="4F4F4F"/>
          <w:sz w:val="24"/>
          <w:szCs w:val="24"/>
        </w:rPr>
      </w:pPr>
      <w:r w:rsidRPr="000B6676">
        <w:rPr>
          <w:rFonts w:ascii="Open Sans" w:eastAsia="Times New Roman" w:hAnsi="Open Sans" w:cs="Open Sans"/>
          <w:color w:val="4F4F4F"/>
          <w:sz w:val="24"/>
          <w:szCs w:val="24"/>
        </w:rPr>
        <w:t>Data should be examined split across cohorts, business cycles, time, product lines, regions and other </w:t>
      </w:r>
      <w:r w:rsidRPr="000B6676">
        <w:rPr>
          <w:rFonts w:ascii="Open Sans" w:eastAsia="Times New Roman" w:hAnsi="Open Sans" w:cs="Open Sans"/>
          <w:b/>
          <w:bCs/>
          <w:color w:val="4F4F4F"/>
          <w:sz w:val="24"/>
          <w:szCs w:val="24"/>
        </w:rPr>
        <w:t>grouping</w:t>
      </w:r>
      <w:r w:rsidRPr="000B6676">
        <w:rPr>
          <w:rFonts w:ascii="Open Sans" w:eastAsia="Times New Roman" w:hAnsi="Open Sans" w:cs="Open Sans"/>
          <w:color w:val="4F4F4F"/>
          <w:sz w:val="24"/>
          <w:szCs w:val="24"/>
        </w:rPr>
        <w:t> criteria to fully understand the data. It is critical to slice the data across various factors to make sense of the data and make recommendations.</w:t>
      </w:r>
    </w:p>
    <w:p w14:paraId="270D57E9" w14:textId="45F25AEA" w:rsidR="000B6676" w:rsidRDefault="000B6676" w:rsidP="000B6676">
      <w:pPr>
        <w:widowControl/>
        <w:shd w:val="clear" w:color="auto" w:fill="FFFFFF"/>
        <w:autoSpaceDE/>
        <w:autoSpaceDN/>
        <w:spacing w:line="480" w:lineRule="auto"/>
        <w:ind w:left="360"/>
        <w:rPr>
          <w:rFonts w:ascii="Open Sans" w:eastAsia="Times New Roman" w:hAnsi="Open Sans" w:cs="Open Sans"/>
          <w:color w:val="4F4F4F"/>
          <w:sz w:val="24"/>
          <w:szCs w:val="24"/>
        </w:rPr>
      </w:pPr>
    </w:p>
    <w:p w14:paraId="7D96919B" w14:textId="145CD5E8" w:rsidR="000B6676" w:rsidRDefault="000B6676" w:rsidP="000B6676">
      <w:pPr>
        <w:widowControl/>
        <w:shd w:val="clear" w:color="auto" w:fill="FFFFFF"/>
        <w:autoSpaceDE/>
        <w:autoSpaceDN/>
        <w:spacing w:line="480" w:lineRule="auto"/>
        <w:ind w:left="360"/>
        <w:rPr>
          <w:rFonts w:ascii="Open Sans" w:eastAsia="Times New Roman" w:hAnsi="Open Sans" w:cs="Open Sans"/>
          <w:color w:val="4F4F4F"/>
          <w:sz w:val="24"/>
          <w:szCs w:val="24"/>
        </w:rPr>
      </w:pPr>
    </w:p>
    <w:p w14:paraId="4886DCA7" w14:textId="78CBD56C" w:rsidR="000B6676" w:rsidRDefault="000B6676" w:rsidP="000B6676">
      <w:pPr>
        <w:widowControl/>
        <w:shd w:val="clear" w:color="auto" w:fill="FFFFFF"/>
        <w:autoSpaceDE/>
        <w:autoSpaceDN/>
        <w:spacing w:line="480" w:lineRule="auto"/>
        <w:ind w:left="360"/>
        <w:rPr>
          <w:rFonts w:ascii="Open Sans" w:eastAsia="Times New Roman" w:hAnsi="Open Sans" w:cs="Open Sans"/>
          <w:color w:val="4F4F4F"/>
          <w:sz w:val="24"/>
          <w:szCs w:val="24"/>
        </w:rPr>
      </w:pPr>
    </w:p>
    <w:p w14:paraId="3EC77982" w14:textId="058D5203" w:rsidR="000B6676" w:rsidRDefault="000B6676" w:rsidP="000B6676">
      <w:pPr>
        <w:widowControl/>
        <w:shd w:val="clear" w:color="auto" w:fill="FFFFFF"/>
        <w:autoSpaceDE/>
        <w:autoSpaceDN/>
        <w:spacing w:line="480" w:lineRule="auto"/>
        <w:ind w:left="360"/>
        <w:rPr>
          <w:rFonts w:ascii="Open Sans" w:eastAsia="Times New Roman" w:hAnsi="Open Sans" w:cs="Open Sans"/>
          <w:color w:val="4F4F4F"/>
          <w:sz w:val="24"/>
          <w:szCs w:val="24"/>
        </w:rPr>
      </w:pPr>
    </w:p>
    <w:p w14:paraId="198FF224" w14:textId="77777777" w:rsidR="000B6676" w:rsidRPr="000B6676" w:rsidRDefault="000B6676" w:rsidP="000B6676">
      <w:pPr>
        <w:widowControl/>
        <w:shd w:val="clear" w:color="auto" w:fill="FFFFFF"/>
        <w:autoSpaceDE/>
        <w:autoSpaceDN/>
        <w:spacing w:line="480" w:lineRule="auto"/>
        <w:ind w:left="360"/>
        <w:rPr>
          <w:rFonts w:ascii="Open Sans" w:eastAsia="Times New Roman" w:hAnsi="Open Sans" w:cs="Open Sans"/>
          <w:color w:val="4F4F4F"/>
          <w:sz w:val="24"/>
          <w:szCs w:val="24"/>
        </w:rPr>
      </w:pPr>
    </w:p>
    <w:p w14:paraId="131A435C" w14:textId="77777777" w:rsidR="000B6676" w:rsidRPr="000B6676" w:rsidRDefault="000B6676" w:rsidP="000B6676">
      <w:pPr>
        <w:widowControl/>
        <w:shd w:val="clear" w:color="auto" w:fill="FFFFFF"/>
        <w:autoSpaceDE/>
        <w:autoSpaceDN/>
        <w:spacing w:before="360" w:after="75" w:line="480" w:lineRule="auto"/>
        <w:outlineLvl w:val="3"/>
        <w:rPr>
          <w:rFonts w:ascii="Open Sans" w:eastAsia="Times New Roman" w:hAnsi="Open Sans" w:cs="Open Sans"/>
          <w:b/>
          <w:bCs/>
          <w:color w:val="548DD4" w:themeColor="text2" w:themeTint="99"/>
          <w:sz w:val="24"/>
          <w:szCs w:val="24"/>
        </w:rPr>
      </w:pPr>
      <w:r w:rsidRPr="000B6676">
        <w:rPr>
          <w:rFonts w:ascii="Open Sans" w:eastAsia="Times New Roman" w:hAnsi="Open Sans" w:cs="Open Sans"/>
          <w:b/>
          <w:bCs/>
          <w:color w:val="548DD4" w:themeColor="text2" w:themeTint="99"/>
          <w:sz w:val="24"/>
          <w:szCs w:val="24"/>
        </w:rPr>
        <w:t>Metrics</w:t>
      </w:r>
    </w:p>
    <w:p w14:paraId="7196E0EF" w14:textId="77777777" w:rsidR="000B6676" w:rsidRPr="000B6676" w:rsidRDefault="000B6676" w:rsidP="000B6676">
      <w:pPr>
        <w:widowControl/>
        <w:shd w:val="clear" w:color="auto" w:fill="FFFFFF"/>
        <w:autoSpaceDE/>
        <w:autoSpaceDN/>
        <w:spacing w:line="480" w:lineRule="auto"/>
        <w:rPr>
          <w:rFonts w:ascii="Open Sans" w:eastAsia="Times New Roman" w:hAnsi="Open Sans" w:cs="Open Sans"/>
          <w:color w:val="FF0000"/>
          <w:sz w:val="24"/>
          <w:szCs w:val="24"/>
        </w:rPr>
      </w:pPr>
      <w:r w:rsidRPr="000B6676">
        <w:rPr>
          <w:rFonts w:ascii="Open Sans" w:eastAsia="Times New Roman" w:hAnsi="Open Sans" w:cs="Open Sans"/>
          <w:i/>
          <w:iCs/>
          <w:color w:val="FF0000"/>
          <w:sz w:val="24"/>
          <w:szCs w:val="24"/>
        </w:rPr>
        <w:t>Marketing</w:t>
      </w:r>
    </w:p>
    <w:p w14:paraId="444019B9" w14:textId="77777777" w:rsidR="000B6676" w:rsidRPr="000B6676" w:rsidRDefault="000B6676" w:rsidP="000B6676">
      <w:pPr>
        <w:widowControl/>
        <w:numPr>
          <w:ilvl w:val="0"/>
          <w:numId w:val="2"/>
        </w:numPr>
        <w:shd w:val="clear" w:color="auto" w:fill="FFFFFF"/>
        <w:autoSpaceDE/>
        <w:autoSpaceDN/>
        <w:spacing w:line="480" w:lineRule="auto"/>
        <w:rPr>
          <w:rFonts w:ascii="Open Sans" w:eastAsia="Times New Roman" w:hAnsi="Open Sans" w:cs="Open Sans"/>
          <w:color w:val="4F4F4F"/>
          <w:sz w:val="24"/>
          <w:szCs w:val="24"/>
        </w:rPr>
      </w:pPr>
      <w:r w:rsidRPr="000B6676">
        <w:rPr>
          <w:rFonts w:ascii="Open Sans" w:eastAsia="Times New Roman" w:hAnsi="Open Sans" w:cs="Open Sans"/>
          <w:b/>
          <w:bCs/>
          <w:color w:val="4F4F4F"/>
          <w:sz w:val="24"/>
          <w:szCs w:val="24"/>
        </w:rPr>
        <w:t>Click through rate (CTR)</w:t>
      </w:r>
      <w:r w:rsidRPr="000B6676">
        <w:rPr>
          <w:rFonts w:ascii="Open Sans" w:eastAsia="Times New Roman" w:hAnsi="Open Sans" w:cs="Open Sans"/>
          <w:color w:val="4F4F4F"/>
          <w:sz w:val="24"/>
          <w:szCs w:val="24"/>
        </w:rPr>
        <w:t> is an indication of whether the ad campaign is generating enough interest in potential customers. When the CTR increases, it is an indicator of an effective and interesting content in your ad campaign and that maybe you should increase the number of impressions for that ad.</w:t>
      </w:r>
    </w:p>
    <w:p w14:paraId="6A27B36F" w14:textId="77777777" w:rsidR="000B6676" w:rsidRPr="000B6676" w:rsidRDefault="000B6676" w:rsidP="000B6676">
      <w:pPr>
        <w:widowControl/>
        <w:numPr>
          <w:ilvl w:val="0"/>
          <w:numId w:val="2"/>
        </w:numPr>
        <w:shd w:val="clear" w:color="auto" w:fill="FFFFFF"/>
        <w:autoSpaceDE/>
        <w:autoSpaceDN/>
        <w:spacing w:line="480" w:lineRule="auto"/>
        <w:rPr>
          <w:rFonts w:ascii="Open Sans" w:eastAsia="Times New Roman" w:hAnsi="Open Sans" w:cs="Open Sans"/>
          <w:color w:val="4F4F4F"/>
          <w:sz w:val="24"/>
          <w:szCs w:val="24"/>
        </w:rPr>
      </w:pPr>
      <w:r w:rsidRPr="000B6676">
        <w:rPr>
          <w:rFonts w:ascii="Open Sans" w:eastAsia="Times New Roman" w:hAnsi="Open Sans" w:cs="Open Sans"/>
          <w:b/>
          <w:bCs/>
          <w:color w:val="4F4F4F"/>
          <w:sz w:val="24"/>
          <w:szCs w:val="24"/>
        </w:rPr>
        <w:t>Cost Per Click (CPC)</w:t>
      </w:r>
      <w:r w:rsidRPr="000B6676">
        <w:rPr>
          <w:rFonts w:ascii="Open Sans" w:eastAsia="Times New Roman" w:hAnsi="Open Sans" w:cs="Open Sans"/>
          <w:color w:val="4F4F4F"/>
          <w:sz w:val="24"/>
          <w:szCs w:val="24"/>
        </w:rPr>
        <w:t> is an indicator of the cost effectiveness of the ad platform and a useful tool to compare and strategize about which marketing platforms is yielding higher impression and reach and resulting in potential leads.</w:t>
      </w:r>
    </w:p>
    <w:p w14:paraId="101B9260" w14:textId="77777777" w:rsidR="000B6676" w:rsidRPr="000B6676" w:rsidRDefault="000B6676" w:rsidP="000B6676">
      <w:pPr>
        <w:widowControl/>
        <w:numPr>
          <w:ilvl w:val="0"/>
          <w:numId w:val="2"/>
        </w:numPr>
        <w:shd w:val="clear" w:color="auto" w:fill="FFFFFF"/>
        <w:autoSpaceDE/>
        <w:autoSpaceDN/>
        <w:spacing w:line="480" w:lineRule="auto"/>
        <w:rPr>
          <w:rFonts w:ascii="Open Sans" w:eastAsia="Times New Roman" w:hAnsi="Open Sans" w:cs="Open Sans"/>
          <w:color w:val="4F4F4F"/>
          <w:sz w:val="24"/>
          <w:szCs w:val="24"/>
        </w:rPr>
      </w:pPr>
      <w:r w:rsidRPr="000B6676">
        <w:rPr>
          <w:rFonts w:ascii="Open Sans" w:eastAsia="Times New Roman" w:hAnsi="Open Sans" w:cs="Open Sans"/>
          <w:b/>
          <w:bCs/>
          <w:color w:val="4F4F4F"/>
          <w:sz w:val="24"/>
          <w:szCs w:val="24"/>
        </w:rPr>
        <w:t>Cost Per Lead (CPL)</w:t>
      </w:r>
      <w:r w:rsidRPr="000B6676">
        <w:rPr>
          <w:rFonts w:ascii="Open Sans" w:eastAsia="Times New Roman" w:hAnsi="Open Sans" w:cs="Open Sans"/>
          <w:color w:val="4F4F4F"/>
          <w:sz w:val="24"/>
          <w:szCs w:val="24"/>
        </w:rPr>
        <w:t> is an indicator of the cost effectiveness of the ad platform and a useful tool to compare and strategize about which marketing platforms yielded more leads.</w:t>
      </w:r>
    </w:p>
    <w:p w14:paraId="0CCB39AE" w14:textId="77777777" w:rsidR="000B6676" w:rsidRPr="000B6676" w:rsidRDefault="000B6676" w:rsidP="000B6676">
      <w:pPr>
        <w:widowControl/>
        <w:numPr>
          <w:ilvl w:val="0"/>
          <w:numId w:val="2"/>
        </w:numPr>
        <w:shd w:val="clear" w:color="auto" w:fill="FFFFFF"/>
        <w:autoSpaceDE/>
        <w:autoSpaceDN/>
        <w:spacing w:line="480" w:lineRule="auto"/>
        <w:rPr>
          <w:rFonts w:ascii="Open Sans" w:eastAsia="Times New Roman" w:hAnsi="Open Sans" w:cs="Open Sans"/>
          <w:color w:val="4F4F4F"/>
          <w:sz w:val="24"/>
          <w:szCs w:val="24"/>
        </w:rPr>
      </w:pPr>
      <w:r w:rsidRPr="000B6676">
        <w:rPr>
          <w:rFonts w:ascii="Open Sans" w:eastAsia="Times New Roman" w:hAnsi="Open Sans" w:cs="Open Sans"/>
          <w:b/>
          <w:bCs/>
          <w:color w:val="4F4F4F"/>
          <w:sz w:val="24"/>
          <w:szCs w:val="24"/>
        </w:rPr>
        <w:t>Customer Acquisition Cost (CAC)</w:t>
      </w:r>
      <w:r w:rsidRPr="000B6676">
        <w:rPr>
          <w:rFonts w:ascii="Open Sans" w:eastAsia="Times New Roman" w:hAnsi="Open Sans" w:cs="Open Sans"/>
          <w:color w:val="4F4F4F"/>
          <w:sz w:val="24"/>
          <w:szCs w:val="24"/>
        </w:rPr>
        <w:t> is a useful metric used to get an estimate of how much it cost us to acquire the customer in the period the money was spent to reach out to them.</w:t>
      </w:r>
    </w:p>
    <w:p w14:paraId="6B7082A7" w14:textId="77777777" w:rsidR="000B6676" w:rsidRPr="000B6676" w:rsidRDefault="000B6676" w:rsidP="000B6676">
      <w:pPr>
        <w:widowControl/>
        <w:shd w:val="clear" w:color="auto" w:fill="FFFFFF"/>
        <w:autoSpaceDE/>
        <w:autoSpaceDN/>
        <w:spacing w:line="480" w:lineRule="auto"/>
        <w:rPr>
          <w:rFonts w:ascii="Open Sans" w:eastAsia="Times New Roman" w:hAnsi="Open Sans" w:cs="Open Sans"/>
          <w:color w:val="FF0000"/>
          <w:sz w:val="24"/>
          <w:szCs w:val="24"/>
        </w:rPr>
      </w:pPr>
      <w:r w:rsidRPr="000B6676">
        <w:rPr>
          <w:rFonts w:ascii="Open Sans" w:eastAsia="Times New Roman" w:hAnsi="Open Sans" w:cs="Open Sans"/>
          <w:i/>
          <w:iCs/>
          <w:color w:val="FF0000"/>
          <w:sz w:val="24"/>
          <w:szCs w:val="24"/>
        </w:rPr>
        <w:t>Marketing and Financial</w:t>
      </w:r>
    </w:p>
    <w:p w14:paraId="56513495" w14:textId="77777777" w:rsidR="000B6676" w:rsidRPr="000B6676" w:rsidRDefault="000B6676" w:rsidP="000B6676">
      <w:pPr>
        <w:widowControl/>
        <w:numPr>
          <w:ilvl w:val="0"/>
          <w:numId w:val="3"/>
        </w:numPr>
        <w:shd w:val="clear" w:color="auto" w:fill="FFFFFF"/>
        <w:autoSpaceDE/>
        <w:autoSpaceDN/>
        <w:spacing w:line="480" w:lineRule="auto"/>
        <w:rPr>
          <w:rFonts w:ascii="Open Sans" w:eastAsia="Times New Roman" w:hAnsi="Open Sans" w:cs="Open Sans"/>
          <w:color w:val="4F4F4F"/>
          <w:sz w:val="24"/>
          <w:szCs w:val="24"/>
        </w:rPr>
      </w:pPr>
      <w:r w:rsidRPr="000B6676">
        <w:rPr>
          <w:rFonts w:ascii="Open Sans" w:eastAsia="Times New Roman" w:hAnsi="Open Sans" w:cs="Open Sans"/>
          <w:b/>
          <w:bCs/>
          <w:color w:val="4F4F4F"/>
          <w:sz w:val="24"/>
          <w:szCs w:val="24"/>
        </w:rPr>
        <w:lastRenderedPageBreak/>
        <w:t>Cost Per Acquisition (CPA)</w:t>
      </w:r>
      <w:r w:rsidRPr="000B6676">
        <w:rPr>
          <w:rFonts w:ascii="Open Sans" w:eastAsia="Times New Roman" w:hAnsi="Open Sans" w:cs="Open Sans"/>
          <w:color w:val="4F4F4F"/>
          <w:sz w:val="24"/>
          <w:szCs w:val="24"/>
        </w:rPr>
        <w:t> allows a business to gauge whether the marketing campaign is generating enough potential leads.</w:t>
      </w:r>
    </w:p>
    <w:p w14:paraId="045B11F9" w14:textId="01227DFA" w:rsidR="000B6676" w:rsidRDefault="000B6676" w:rsidP="000B6676">
      <w:pPr>
        <w:widowControl/>
        <w:numPr>
          <w:ilvl w:val="0"/>
          <w:numId w:val="3"/>
        </w:numPr>
        <w:shd w:val="clear" w:color="auto" w:fill="FFFFFF"/>
        <w:autoSpaceDE/>
        <w:autoSpaceDN/>
        <w:spacing w:line="480" w:lineRule="auto"/>
        <w:rPr>
          <w:rFonts w:ascii="Open Sans" w:eastAsia="Times New Roman" w:hAnsi="Open Sans" w:cs="Open Sans"/>
          <w:color w:val="4F4F4F"/>
          <w:sz w:val="24"/>
          <w:szCs w:val="24"/>
        </w:rPr>
      </w:pPr>
      <w:r w:rsidRPr="000B6676">
        <w:rPr>
          <w:rFonts w:ascii="Open Sans" w:eastAsia="Times New Roman" w:hAnsi="Open Sans" w:cs="Open Sans"/>
          <w:b/>
          <w:bCs/>
          <w:color w:val="4F4F4F"/>
          <w:sz w:val="24"/>
          <w:szCs w:val="24"/>
        </w:rPr>
        <w:t>Life Time Value (LTV)</w:t>
      </w:r>
      <w:r w:rsidRPr="000B6676">
        <w:rPr>
          <w:rFonts w:ascii="Open Sans" w:eastAsia="Times New Roman" w:hAnsi="Open Sans" w:cs="Open Sans"/>
          <w:color w:val="4F4F4F"/>
          <w:sz w:val="24"/>
          <w:szCs w:val="24"/>
        </w:rPr>
        <w:t> allows you to focus on audiences and potential customers that will generate higher LTVs with minimum customer acquisition cost. There are several ways to calculate the Life Time Value and it is best to calculate the LTV using different ways to arrive at the average LTV for a customer.</w:t>
      </w:r>
    </w:p>
    <w:p w14:paraId="234788BC" w14:textId="77777777" w:rsidR="000B6676" w:rsidRPr="000B6676" w:rsidRDefault="000B6676" w:rsidP="000B6676">
      <w:pPr>
        <w:widowControl/>
        <w:shd w:val="clear" w:color="auto" w:fill="FFFFFF"/>
        <w:autoSpaceDE/>
        <w:autoSpaceDN/>
        <w:spacing w:line="480" w:lineRule="auto"/>
        <w:ind w:left="360"/>
        <w:rPr>
          <w:rFonts w:ascii="Open Sans" w:eastAsia="Times New Roman" w:hAnsi="Open Sans" w:cs="Open Sans"/>
          <w:color w:val="4F4F4F"/>
          <w:sz w:val="24"/>
          <w:szCs w:val="24"/>
        </w:rPr>
      </w:pPr>
    </w:p>
    <w:p w14:paraId="34CD28C4" w14:textId="77777777" w:rsidR="000B6676" w:rsidRPr="000B6676" w:rsidRDefault="000B6676" w:rsidP="000B6676">
      <w:pPr>
        <w:widowControl/>
        <w:shd w:val="clear" w:color="auto" w:fill="FFFFFF"/>
        <w:autoSpaceDE/>
        <w:autoSpaceDN/>
        <w:spacing w:line="480" w:lineRule="auto"/>
        <w:rPr>
          <w:rFonts w:ascii="Open Sans" w:eastAsia="Times New Roman" w:hAnsi="Open Sans" w:cs="Open Sans"/>
          <w:color w:val="FF0000"/>
          <w:sz w:val="24"/>
          <w:szCs w:val="24"/>
        </w:rPr>
      </w:pPr>
      <w:r w:rsidRPr="000B6676">
        <w:rPr>
          <w:rFonts w:ascii="Open Sans" w:eastAsia="Times New Roman" w:hAnsi="Open Sans" w:cs="Open Sans"/>
          <w:i/>
          <w:iCs/>
          <w:color w:val="FF0000"/>
          <w:sz w:val="24"/>
          <w:szCs w:val="24"/>
        </w:rPr>
        <w:t>Growth</w:t>
      </w:r>
    </w:p>
    <w:p w14:paraId="3DA1C098" w14:textId="77777777" w:rsidR="000B6676" w:rsidRPr="000B6676" w:rsidRDefault="000B6676" w:rsidP="000B6676">
      <w:pPr>
        <w:widowControl/>
        <w:numPr>
          <w:ilvl w:val="0"/>
          <w:numId w:val="4"/>
        </w:numPr>
        <w:shd w:val="clear" w:color="auto" w:fill="FFFFFF"/>
        <w:autoSpaceDE/>
        <w:autoSpaceDN/>
        <w:spacing w:line="480" w:lineRule="auto"/>
        <w:rPr>
          <w:rFonts w:ascii="Open Sans" w:eastAsia="Times New Roman" w:hAnsi="Open Sans" w:cs="Open Sans"/>
          <w:color w:val="4F4F4F"/>
          <w:sz w:val="24"/>
          <w:szCs w:val="24"/>
        </w:rPr>
      </w:pPr>
      <w:r w:rsidRPr="000B6676">
        <w:rPr>
          <w:rFonts w:ascii="Open Sans" w:eastAsia="Times New Roman" w:hAnsi="Open Sans" w:cs="Open Sans"/>
          <w:b/>
          <w:bCs/>
          <w:color w:val="4F4F4F"/>
          <w:sz w:val="24"/>
          <w:szCs w:val="24"/>
        </w:rPr>
        <w:t>Stickiness</w:t>
      </w:r>
      <w:r w:rsidRPr="000B6676">
        <w:rPr>
          <w:rFonts w:ascii="Open Sans" w:eastAsia="Times New Roman" w:hAnsi="Open Sans" w:cs="Open Sans"/>
          <w:color w:val="4F4F4F"/>
          <w:sz w:val="24"/>
          <w:szCs w:val="24"/>
        </w:rPr>
        <w:t> indicates whether the customers are staying and returning to the website frequently enough. It is a good measure of potential growth of the business.</w:t>
      </w:r>
    </w:p>
    <w:p w14:paraId="01665573" w14:textId="77777777" w:rsidR="000B6676" w:rsidRPr="000B6676" w:rsidRDefault="000B6676" w:rsidP="000B6676">
      <w:pPr>
        <w:widowControl/>
        <w:numPr>
          <w:ilvl w:val="0"/>
          <w:numId w:val="4"/>
        </w:numPr>
        <w:shd w:val="clear" w:color="auto" w:fill="FFFFFF"/>
        <w:autoSpaceDE/>
        <w:autoSpaceDN/>
        <w:spacing w:line="480" w:lineRule="auto"/>
        <w:rPr>
          <w:rFonts w:ascii="Open Sans" w:eastAsia="Times New Roman" w:hAnsi="Open Sans" w:cs="Open Sans"/>
          <w:color w:val="4F4F4F"/>
          <w:sz w:val="24"/>
          <w:szCs w:val="24"/>
        </w:rPr>
      </w:pPr>
      <w:r w:rsidRPr="000B6676">
        <w:rPr>
          <w:rFonts w:ascii="Open Sans" w:eastAsia="Times New Roman" w:hAnsi="Open Sans" w:cs="Open Sans"/>
          <w:b/>
          <w:bCs/>
          <w:color w:val="4F4F4F"/>
          <w:sz w:val="24"/>
          <w:szCs w:val="24"/>
        </w:rPr>
        <w:t>Churn rate</w:t>
      </w:r>
      <w:r w:rsidRPr="000B6676">
        <w:rPr>
          <w:rFonts w:ascii="Open Sans" w:eastAsia="Times New Roman" w:hAnsi="Open Sans" w:cs="Open Sans"/>
          <w:color w:val="4F4F4F"/>
          <w:sz w:val="24"/>
          <w:szCs w:val="24"/>
        </w:rPr>
        <w:t> is a measure of declining growth and business aim to have a higher growth rate than churn rate. It is a measure of whether the business is retaining the acquired customers.</w:t>
      </w:r>
    </w:p>
    <w:p w14:paraId="4DE8C22B" w14:textId="77777777" w:rsidR="000B6676" w:rsidRPr="000B6676" w:rsidRDefault="000B6676" w:rsidP="000B6676">
      <w:pPr>
        <w:widowControl/>
        <w:shd w:val="clear" w:color="auto" w:fill="FFFFFF"/>
        <w:autoSpaceDE/>
        <w:autoSpaceDN/>
        <w:spacing w:line="480" w:lineRule="auto"/>
        <w:rPr>
          <w:rFonts w:ascii="Open Sans" w:eastAsia="Times New Roman" w:hAnsi="Open Sans" w:cs="Open Sans"/>
          <w:color w:val="FF0000"/>
          <w:sz w:val="24"/>
          <w:szCs w:val="24"/>
        </w:rPr>
      </w:pPr>
      <w:r w:rsidRPr="000B6676">
        <w:rPr>
          <w:rFonts w:ascii="Open Sans" w:eastAsia="Times New Roman" w:hAnsi="Open Sans" w:cs="Open Sans"/>
          <w:i/>
          <w:iCs/>
          <w:color w:val="FF0000"/>
          <w:sz w:val="24"/>
          <w:szCs w:val="24"/>
        </w:rPr>
        <w:t>Financial</w:t>
      </w:r>
    </w:p>
    <w:p w14:paraId="756DB799" w14:textId="77777777" w:rsidR="000B6676" w:rsidRPr="000B6676" w:rsidRDefault="000B6676" w:rsidP="000B6676">
      <w:pPr>
        <w:widowControl/>
        <w:numPr>
          <w:ilvl w:val="0"/>
          <w:numId w:val="5"/>
        </w:numPr>
        <w:shd w:val="clear" w:color="auto" w:fill="FFFFFF"/>
        <w:autoSpaceDE/>
        <w:autoSpaceDN/>
        <w:spacing w:line="480" w:lineRule="auto"/>
        <w:rPr>
          <w:rFonts w:ascii="Open Sans" w:eastAsia="Times New Roman" w:hAnsi="Open Sans" w:cs="Open Sans"/>
          <w:color w:val="4F4F4F"/>
          <w:sz w:val="24"/>
          <w:szCs w:val="24"/>
        </w:rPr>
      </w:pPr>
      <w:r w:rsidRPr="000B6676">
        <w:rPr>
          <w:rFonts w:ascii="Open Sans" w:eastAsia="Times New Roman" w:hAnsi="Open Sans" w:cs="Open Sans"/>
          <w:color w:val="4F4F4F"/>
          <w:sz w:val="24"/>
          <w:szCs w:val="24"/>
        </w:rPr>
        <w:t>The </w:t>
      </w:r>
      <w:r w:rsidRPr="000B6676">
        <w:rPr>
          <w:rFonts w:ascii="Open Sans" w:eastAsia="Times New Roman" w:hAnsi="Open Sans" w:cs="Open Sans"/>
          <w:b/>
          <w:bCs/>
          <w:color w:val="4F4F4F"/>
          <w:sz w:val="24"/>
          <w:szCs w:val="24"/>
        </w:rPr>
        <w:t>Profit and Loss Statement</w:t>
      </w:r>
      <w:r w:rsidRPr="000B6676">
        <w:rPr>
          <w:rFonts w:ascii="Open Sans" w:eastAsia="Times New Roman" w:hAnsi="Open Sans" w:cs="Open Sans"/>
          <w:color w:val="4F4F4F"/>
          <w:sz w:val="24"/>
          <w:szCs w:val="24"/>
        </w:rPr>
        <w:t>, also called income statement, is one type of financial statement that shows a company's performance and financial position. needed to create the P&amp;L statement are:</w:t>
      </w:r>
    </w:p>
    <w:p w14:paraId="0D2954EF" w14:textId="77777777" w:rsidR="000B6676" w:rsidRPr="000B6676" w:rsidRDefault="000B6676" w:rsidP="000B6676">
      <w:pPr>
        <w:widowControl/>
        <w:numPr>
          <w:ilvl w:val="0"/>
          <w:numId w:val="5"/>
        </w:numPr>
        <w:shd w:val="clear" w:color="auto" w:fill="FFFFFF"/>
        <w:autoSpaceDE/>
        <w:autoSpaceDN/>
        <w:spacing w:line="480" w:lineRule="auto"/>
        <w:rPr>
          <w:rFonts w:ascii="Open Sans" w:eastAsia="Times New Roman" w:hAnsi="Open Sans" w:cs="Open Sans"/>
          <w:color w:val="4F4F4F"/>
          <w:sz w:val="24"/>
          <w:szCs w:val="24"/>
        </w:rPr>
      </w:pPr>
      <w:r w:rsidRPr="000B6676">
        <w:rPr>
          <w:rFonts w:ascii="Open Sans" w:eastAsia="Times New Roman" w:hAnsi="Open Sans" w:cs="Open Sans"/>
          <w:b/>
          <w:bCs/>
          <w:color w:val="4F4F4F"/>
          <w:sz w:val="24"/>
          <w:szCs w:val="24"/>
        </w:rPr>
        <w:t>Revenue</w:t>
      </w:r>
      <w:r w:rsidRPr="000B6676">
        <w:rPr>
          <w:rFonts w:ascii="Open Sans" w:eastAsia="Times New Roman" w:hAnsi="Open Sans" w:cs="Open Sans"/>
          <w:color w:val="4F4F4F"/>
          <w:sz w:val="24"/>
          <w:szCs w:val="24"/>
        </w:rPr>
        <w:t> is the money that your company makes from the sales of your products and services</w:t>
      </w:r>
    </w:p>
    <w:p w14:paraId="05ABFB1E" w14:textId="77777777" w:rsidR="000B6676" w:rsidRPr="000B6676" w:rsidRDefault="000B6676" w:rsidP="000B6676">
      <w:pPr>
        <w:widowControl/>
        <w:numPr>
          <w:ilvl w:val="0"/>
          <w:numId w:val="5"/>
        </w:numPr>
        <w:shd w:val="clear" w:color="auto" w:fill="FFFFFF"/>
        <w:autoSpaceDE/>
        <w:autoSpaceDN/>
        <w:spacing w:line="480" w:lineRule="auto"/>
        <w:rPr>
          <w:rFonts w:ascii="Open Sans" w:eastAsia="Times New Roman" w:hAnsi="Open Sans" w:cs="Open Sans"/>
          <w:color w:val="4F4F4F"/>
          <w:sz w:val="24"/>
          <w:szCs w:val="24"/>
        </w:rPr>
      </w:pPr>
      <w:r w:rsidRPr="000B6676">
        <w:rPr>
          <w:rFonts w:ascii="Open Sans" w:eastAsia="Times New Roman" w:hAnsi="Open Sans" w:cs="Open Sans"/>
          <w:b/>
          <w:bCs/>
          <w:color w:val="4F4F4F"/>
          <w:sz w:val="24"/>
          <w:szCs w:val="24"/>
        </w:rPr>
        <w:t>Cost of Goods Sold OR Cost of Sales</w:t>
      </w:r>
      <w:r w:rsidRPr="000B6676">
        <w:rPr>
          <w:rFonts w:ascii="Open Sans" w:eastAsia="Times New Roman" w:hAnsi="Open Sans" w:cs="Open Sans"/>
          <w:color w:val="4F4F4F"/>
          <w:sz w:val="24"/>
          <w:szCs w:val="24"/>
        </w:rPr>
        <w:t> are the direct costs the company incurs to develop and product the product or service being sold</w:t>
      </w:r>
    </w:p>
    <w:p w14:paraId="31CD5A68" w14:textId="77777777" w:rsidR="000B6676" w:rsidRPr="000B6676" w:rsidRDefault="000B6676" w:rsidP="000B6676">
      <w:pPr>
        <w:widowControl/>
        <w:numPr>
          <w:ilvl w:val="0"/>
          <w:numId w:val="5"/>
        </w:numPr>
        <w:shd w:val="clear" w:color="auto" w:fill="FFFFFF"/>
        <w:autoSpaceDE/>
        <w:autoSpaceDN/>
        <w:spacing w:line="480" w:lineRule="auto"/>
        <w:rPr>
          <w:rFonts w:ascii="Open Sans" w:eastAsia="Times New Roman" w:hAnsi="Open Sans" w:cs="Open Sans"/>
          <w:color w:val="4F4F4F"/>
          <w:sz w:val="24"/>
          <w:szCs w:val="24"/>
        </w:rPr>
      </w:pPr>
      <w:r w:rsidRPr="000B6676">
        <w:rPr>
          <w:rFonts w:ascii="Open Sans" w:eastAsia="Times New Roman" w:hAnsi="Open Sans" w:cs="Open Sans"/>
          <w:b/>
          <w:bCs/>
          <w:color w:val="4F4F4F"/>
          <w:sz w:val="24"/>
          <w:szCs w:val="24"/>
        </w:rPr>
        <w:lastRenderedPageBreak/>
        <w:t>Gross Profit</w:t>
      </w:r>
      <w:r w:rsidRPr="000B6676">
        <w:rPr>
          <w:rFonts w:ascii="Open Sans" w:eastAsia="Times New Roman" w:hAnsi="Open Sans" w:cs="Open Sans"/>
          <w:color w:val="4F4F4F"/>
          <w:sz w:val="24"/>
          <w:szCs w:val="24"/>
        </w:rPr>
        <w:t> is the difference between the revenue and COGS</w:t>
      </w:r>
    </w:p>
    <w:p w14:paraId="2E121D93" w14:textId="77777777" w:rsidR="000B6676" w:rsidRPr="000B6676" w:rsidRDefault="000B6676" w:rsidP="000B6676">
      <w:pPr>
        <w:widowControl/>
        <w:numPr>
          <w:ilvl w:val="0"/>
          <w:numId w:val="5"/>
        </w:numPr>
        <w:shd w:val="clear" w:color="auto" w:fill="FFFFFF"/>
        <w:autoSpaceDE/>
        <w:autoSpaceDN/>
        <w:spacing w:line="480" w:lineRule="auto"/>
        <w:rPr>
          <w:rFonts w:ascii="Open Sans" w:eastAsia="Times New Roman" w:hAnsi="Open Sans" w:cs="Open Sans"/>
          <w:color w:val="4F4F4F"/>
          <w:sz w:val="24"/>
          <w:szCs w:val="24"/>
        </w:rPr>
      </w:pPr>
      <w:r w:rsidRPr="000B6676">
        <w:rPr>
          <w:rFonts w:ascii="Open Sans" w:eastAsia="Times New Roman" w:hAnsi="Open Sans" w:cs="Open Sans"/>
          <w:b/>
          <w:bCs/>
          <w:color w:val="4F4F4F"/>
          <w:sz w:val="24"/>
          <w:szCs w:val="24"/>
        </w:rPr>
        <w:t>Selling, General and Administrative expenses </w:t>
      </w:r>
      <w:r w:rsidRPr="000B6676">
        <w:rPr>
          <w:rFonts w:ascii="Open Sans" w:eastAsia="Times New Roman" w:hAnsi="Open Sans" w:cs="Open Sans"/>
          <w:color w:val="4F4F4F"/>
          <w:sz w:val="24"/>
          <w:szCs w:val="24"/>
        </w:rPr>
        <w:t>capture a wide range of expenses, from administrative, sales commissions, supplies, legal fees, rent, utilities, taxes, and interests. It is used synonymously with </w:t>
      </w:r>
      <w:r w:rsidRPr="000B6676">
        <w:rPr>
          <w:rFonts w:ascii="Open Sans" w:eastAsia="Times New Roman" w:hAnsi="Open Sans" w:cs="Open Sans"/>
          <w:b/>
          <w:bCs/>
          <w:color w:val="4F4F4F"/>
          <w:sz w:val="24"/>
          <w:szCs w:val="24"/>
        </w:rPr>
        <w:t>Operating expenses</w:t>
      </w:r>
      <w:r w:rsidRPr="000B6676">
        <w:rPr>
          <w:rFonts w:ascii="Open Sans" w:eastAsia="Times New Roman" w:hAnsi="Open Sans" w:cs="Open Sans"/>
          <w:color w:val="4F4F4F"/>
          <w:sz w:val="24"/>
          <w:szCs w:val="24"/>
        </w:rPr>
        <w:t>. SG&amp;A typically exclude research and development expenses.</w:t>
      </w:r>
    </w:p>
    <w:p w14:paraId="0805696C" w14:textId="77777777" w:rsidR="000B6676" w:rsidRPr="000B6676" w:rsidRDefault="000B6676" w:rsidP="000B6676">
      <w:pPr>
        <w:widowControl/>
        <w:numPr>
          <w:ilvl w:val="0"/>
          <w:numId w:val="5"/>
        </w:numPr>
        <w:shd w:val="clear" w:color="auto" w:fill="FFFFFF"/>
        <w:autoSpaceDE/>
        <w:autoSpaceDN/>
        <w:spacing w:line="480" w:lineRule="auto"/>
        <w:rPr>
          <w:rFonts w:ascii="Open Sans" w:eastAsia="Times New Roman" w:hAnsi="Open Sans" w:cs="Open Sans"/>
          <w:color w:val="4F4F4F"/>
          <w:sz w:val="24"/>
          <w:szCs w:val="24"/>
        </w:rPr>
      </w:pPr>
      <w:r w:rsidRPr="000B6676">
        <w:rPr>
          <w:rFonts w:ascii="Open Sans" w:eastAsia="Times New Roman" w:hAnsi="Open Sans" w:cs="Open Sans"/>
          <w:b/>
          <w:bCs/>
          <w:color w:val="4F4F4F"/>
          <w:sz w:val="24"/>
          <w:szCs w:val="24"/>
        </w:rPr>
        <w:t>Operating Profit</w:t>
      </w:r>
      <w:r w:rsidRPr="000B6676">
        <w:rPr>
          <w:rFonts w:ascii="Open Sans" w:eastAsia="Times New Roman" w:hAnsi="Open Sans" w:cs="Open Sans"/>
          <w:color w:val="4F4F4F"/>
          <w:sz w:val="24"/>
          <w:szCs w:val="24"/>
        </w:rPr>
        <w:t> is the difference between gross profit and total operating expenses.</w:t>
      </w:r>
    </w:p>
    <w:p w14:paraId="52A9FF9E" w14:textId="77777777" w:rsidR="000B6676" w:rsidRPr="000B6676" w:rsidRDefault="000B6676" w:rsidP="000B6676">
      <w:pPr>
        <w:widowControl/>
        <w:numPr>
          <w:ilvl w:val="0"/>
          <w:numId w:val="5"/>
        </w:numPr>
        <w:shd w:val="clear" w:color="auto" w:fill="FFFFFF"/>
        <w:autoSpaceDE/>
        <w:autoSpaceDN/>
        <w:spacing w:line="480" w:lineRule="auto"/>
        <w:rPr>
          <w:rFonts w:ascii="Open Sans" w:eastAsia="Times New Roman" w:hAnsi="Open Sans" w:cs="Open Sans"/>
          <w:color w:val="4F4F4F"/>
          <w:sz w:val="24"/>
          <w:szCs w:val="24"/>
        </w:rPr>
      </w:pPr>
      <w:r w:rsidRPr="000B6676">
        <w:rPr>
          <w:rFonts w:ascii="Open Sans" w:eastAsia="Times New Roman" w:hAnsi="Open Sans" w:cs="Open Sans"/>
          <w:b/>
          <w:bCs/>
          <w:color w:val="4F4F4F"/>
          <w:sz w:val="24"/>
          <w:szCs w:val="24"/>
        </w:rPr>
        <w:t>Net Income</w:t>
      </w:r>
      <w:r w:rsidRPr="000B6676">
        <w:rPr>
          <w:rFonts w:ascii="Open Sans" w:eastAsia="Times New Roman" w:hAnsi="Open Sans" w:cs="Open Sans"/>
          <w:color w:val="4F4F4F"/>
          <w:sz w:val="24"/>
          <w:szCs w:val="24"/>
        </w:rPr>
        <w:t> is operating profit minus interest and tax expenses.</w:t>
      </w:r>
    </w:p>
    <w:p w14:paraId="5EC030C1" w14:textId="77777777" w:rsidR="000B6676" w:rsidRPr="000B6676" w:rsidRDefault="000B6676" w:rsidP="000B6676">
      <w:pPr>
        <w:widowControl/>
        <w:numPr>
          <w:ilvl w:val="0"/>
          <w:numId w:val="5"/>
        </w:numPr>
        <w:shd w:val="clear" w:color="auto" w:fill="FFFFFF"/>
        <w:autoSpaceDE/>
        <w:autoSpaceDN/>
        <w:spacing w:line="276" w:lineRule="auto"/>
        <w:rPr>
          <w:rFonts w:ascii="Open Sans" w:eastAsia="Times New Roman" w:hAnsi="Open Sans" w:cs="Open Sans"/>
          <w:color w:val="4F4F4F"/>
          <w:sz w:val="24"/>
          <w:szCs w:val="24"/>
        </w:rPr>
      </w:pPr>
      <w:r w:rsidRPr="000B6676">
        <w:rPr>
          <w:rFonts w:ascii="Open Sans" w:eastAsia="Times New Roman" w:hAnsi="Open Sans" w:cs="Open Sans"/>
          <w:b/>
          <w:bCs/>
          <w:color w:val="4F4F4F"/>
          <w:sz w:val="24"/>
          <w:szCs w:val="24"/>
        </w:rPr>
        <w:t>Gross Margin</w:t>
      </w:r>
      <w:r w:rsidRPr="000B6676">
        <w:rPr>
          <w:rFonts w:ascii="Open Sans" w:eastAsia="Times New Roman" w:hAnsi="Open Sans" w:cs="Open Sans"/>
          <w:color w:val="4F4F4F"/>
          <w:sz w:val="24"/>
          <w:szCs w:val="24"/>
        </w:rPr>
        <w:t> tells business executives what percentage of each revenue dollar is available to cover operating expenses after the COGS have been accounted for.</w:t>
      </w:r>
    </w:p>
    <w:p w14:paraId="0E1B4C96" w14:textId="77777777" w:rsidR="000B6676" w:rsidRPr="000B6676" w:rsidRDefault="000B6676" w:rsidP="000B6676">
      <w:pPr>
        <w:widowControl/>
        <w:numPr>
          <w:ilvl w:val="0"/>
          <w:numId w:val="5"/>
        </w:numPr>
        <w:shd w:val="clear" w:color="auto" w:fill="FFFFFF"/>
        <w:autoSpaceDE/>
        <w:autoSpaceDN/>
        <w:spacing w:line="276" w:lineRule="auto"/>
        <w:rPr>
          <w:rFonts w:ascii="Open Sans" w:eastAsia="Times New Roman" w:hAnsi="Open Sans" w:cs="Open Sans"/>
          <w:color w:val="4F4F4F"/>
          <w:sz w:val="24"/>
          <w:szCs w:val="24"/>
        </w:rPr>
      </w:pPr>
      <w:r w:rsidRPr="000B6676">
        <w:rPr>
          <w:rFonts w:ascii="Open Sans" w:eastAsia="Times New Roman" w:hAnsi="Open Sans" w:cs="Open Sans"/>
          <w:b/>
          <w:bCs/>
          <w:color w:val="4F4F4F"/>
          <w:sz w:val="24"/>
          <w:szCs w:val="24"/>
        </w:rPr>
        <w:t>Contribution Margin</w:t>
      </w:r>
      <w:r w:rsidRPr="000B6676">
        <w:rPr>
          <w:rFonts w:ascii="Open Sans" w:eastAsia="Times New Roman" w:hAnsi="Open Sans" w:cs="Open Sans"/>
          <w:color w:val="4F4F4F"/>
          <w:sz w:val="24"/>
          <w:szCs w:val="24"/>
        </w:rPr>
        <w:t xml:space="preserve"> provides the </w:t>
      </w:r>
      <w:proofErr w:type="spellStart"/>
      <w:r w:rsidRPr="000B6676">
        <w:rPr>
          <w:rFonts w:ascii="Open Sans" w:eastAsia="Times New Roman" w:hAnsi="Open Sans" w:cs="Open Sans"/>
          <w:color w:val="4F4F4F"/>
          <w:sz w:val="24"/>
          <w:szCs w:val="24"/>
        </w:rPr>
        <w:t>break even</w:t>
      </w:r>
      <w:proofErr w:type="spellEnd"/>
      <w:r w:rsidRPr="000B6676">
        <w:rPr>
          <w:rFonts w:ascii="Open Sans" w:eastAsia="Times New Roman" w:hAnsi="Open Sans" w:cs="Open Sans"/>
          <w:color w:val="4F4F4F"/>
          <w:sz w:val="24"/>
          <w:szCs w:val="24"/>
        </w:rPr>
        <w:t xml:space="preserve"> point where the pricing of a product will cover fixed overhead costs.</w:t>
      </w:r>
    </w:p>
    <w:p w14:paraId="5F180DFA" w14:textId="3548AA09" w:rsidR="000B6676" w:rsidRDefault="000B6676"/>
    <w:p w14:paraId="3FAFFBC7" w14:textId="5D5AD955" w:rsidR="00B562D3" w:rsidRDefault="00B562D3"/>
    <w:p w14:paraId="01507C22" w14:textId="07B6C732" w:rsidR="00B562D3" w:rsidRDefault="00B562D3"/>
    <w:p w14:paraId="0A048E67" w14:textId="6BD7BE19" w:rsidR="00B562D3" w:rsidRDefault="00B562D3"/>
    <w:p w14:paraId="4EA4C1E0" w14:textId="21AE891E" w:rsidR="00B562D3" w:rsidRDefault="00B562D3"/>
    <w:p w14:paraId="3FCEF61A" w14:textId="01C411C0" w:rsidR="00B562D3" w:rsidRDefault="00B562D3"/>
    <w:p w14:paraId="59E99F1B" w14:textId="7289BD07" w:rsidR="00B562D3" w:rsidRDefault="00B562D3"/>
    <w:p w14:paraId="2925ADCE" w14:textId="25897FD8" w:rsidR="00B562D3" w:rsidRDefault="00B562D3"/>
    <w:p w14:paraId="26FA4A4D" w14:textId="6B0134BA" w:rsidR="00B562D3" w:rsidRDefault="00B562D3"/>
    <w:p w14:paraId="2850ABB9" w14:textId="39D89E44" w:rsidR="00B562D3" w:rsidRDefault="00B562D3"/>
    <w:p w14:paraId="463C6A2C" w14:textId="16C2012A" w:rsidR="00B562D3" w:rsidRDefault="00B562D3"/>
    <w:p w14:paraId="2BB3604E" w14:textId="1B826515" w:rsidR="00B562D3" w:rsidRDefault="00B562D3"/>
    <w:p w14:paraId="746C9AD0" w14:textId="057C02A5" w:rsidR="00B562D3" w:rsidRDefault="00B562D3"/>
    <w:p w14:paraId="017E28C5" w14:textId="5FEEC337" w:rsidR="00B562D3" w:rsidRDefault="00B562D3"/>
    <w:p w14:paraId="65C3F0EB" w14:textId="28FE47CE" w:rsidR="00B562D3" w:rsidRDefault="00B562D3"/>
    <w:p w14:paraId="3E157AE9" w14:textId="591904A6" w:rsidR="00B562D3" w:rsidRDefault="00B562D3"/>
    <w:p w14:paraId="2FD44380" w14:textId="7D2E4E41" w:rsidR="00B562D3" w:rsidRDefault="00B562D3"/>
    <w:p w14:paraId="747CFBC3" w14:textId="79D35442" w:rsidR="00B562D3" w:rsidRDefault="00B562D3"/>
    <w:p w14:paraId="3B5461E3" w14:textId="2F3C0953" w:rsidR="00B562D3" w:rsidRDefault="00B562D3"/>
    <w:p w14:paraId="2D3E700C" w14:textId="4F5D4D5B" w:rsidR="00B562D3" w:rsidRDefault="00B562D3"/>
    <w:p w14:paraId="496D8376" w14:textId="095912D2" w:rsidR="00B562D3" w:rsidRDefault="00B562D3"/>
    <w:p w14:paraId="3933CAAC" w14:textId="12F2EDCC" w:rsidR="00B562D3" w:rsidRDefault="00B562D3"/>
    <w:p w14:paraId="0C995F43" w14:textId="72E850FF" w:rsidR="00B562D3" w:rsidRDefault="00B562D3"/>
    <w:p w14:paraId="557847AA" w14:textId="02621682" w:rsidR="00B562D3" w:rsidRDefault="00B562D3"/>
    <w:p w14:paraId="0806333A" w14:textId="70E7DBD0" w:rsidR="00B562D3" w:rsidRDefault="00B562D3"/>
    <w:p w14:paraId="09E89DB0" w14:textId="3BF6191E" w:rsidR="00B562D3" w:rsidRDefault="00B562D3" w:rsidP="00B562D3">
      <w:pPr>
        <w:spacing w:line="360" w:lineRule="auto"/>
      </w:pPr>
    </w:p>
    <w:p w14:paraId="6B2E65DE" w14:textId="6E06EAE9" w:rsidR="00B562D3" w:rsidRDefault="00B562D3" w:rsidP="00B562D3">
      <w:pPr>
        <w:spacing w:line="360" w:lineRule="auto"/>
      </w:pPr>
    </w:p>
    <w:p w14:paraId="1A6ED0D4" w14:textId="284E02F3" w:rsidR="00B562D3" w:rsidRDefault="00B562D3" w:rsidP="00B562D3">
      <w:pPr>
        <w:spacing w:line="360" w:lineRule="auto"/>
      </w:pPr>
    </w:p>
    <w:p w14:paraId="4BDFD7FA" w14:textId="77777777" w:rsidR="00B562D3" w:rsidRPr="00A57047" w:rsidRDefault="00B562D3" w:rsidP="00B562D3">
      <w:pPr>
        <w:pStyle w:val="Heading2"/>
        <w:shd w:val="clear" w:color="auto" w:fill="FFFFFF"/>
        <w:spacing w:before="540" w:after="75" w:line="360" w:lineRule="auto"/>
        <w:rPr>
          <w:rFonts w:ascii="Open Sans" w:eastAsia="Times New Roman" w:hAnsi="Open Sans" w:cs="Open Sans"/>
          <w:color w:val="FF0000"/>
          <w:sz w:val="40"/>
          <w:szCs w:val="40"/>
        </w:rPr>
      </w:pPr>
      <w:r w:rsidRPr="00A57047">
        <w:rPr>
          <w:rFonts w:ascii="Open Sans" w:hAnsi="Open Sans" w:cs="Open Sans"/>
          <w:color w:val="FF0000"/>
          <w:sz w:val="40"/>
          <w:szCs w:val="40"/>
        </w:rPr>
        <w:t>Formulas for Calculating Historical Financial Metrics</w:t>
      </w:r>
    </w:p>
    <w:p w14:paraId="656D7566" w14:textId="77777777" w:rsidR="00B562D3" w:rsidRDefault="00B562D3" w:rsidP="00B562D3">
      <w:pPr>
        <w:pStyle w:val="NormalWeb"/>
        <w:shd w:val="clear" w:color="auto" w:fill="FFFFFF"/>
        <w:spacing w:before="0" w:beforeAutospacing="0" w:after="225" w:afterAutospacing="0" w:line="360" w:lineRule="auto"/>
        <w:rPr>
          <w:rFonts w:ascii="Open Sans" w:hAnsi="Open Sans" w:cs="Open Sans"/>
          <w:color w:val="4F4F4F"/>
        </w:rPr>
      </w:pPr>
      <w:r>
        <w:rPr>
          <w:rFonts w:ascii="Open Sans" w:hAnsi="Open Sans" w:cs="Open Sans"/>
          <w:color w:val="4F4F4F"/>
        </w:rPr>
        <w:t>Typically, the historical statistics or metrics used to forecast financial metrics in an Income Statement are:</w:t>
      </w:r>
    </w:p>
    <w:p w14:paraId="333DB341" w14:textId="77777777" w:rsidR="00B562D3" w:rsidRDefault="00B562D3" w:rsidP="00B562D3">
      <w:pPr>
        <w:widowControl/>
        <w:numPr>
          <w:ilvl w:val="0"/>
          <w:numId w:val="6"/>
        </w:numPr>
        <w:shd w:val="clear" w:color="auto" w:fill="FFFFFF"/>
        <w:autoSpaceDE/>
        <w:autoSpaceDN/>
        <w:spacing w:line="360" w:lineRule="auto"/>
        <w:rPr>
          <w:rFonts w:ascii="Open Sans" w:hAnsi="Open Sans" w:cs="Open Sans"/>
          <w:color w:val="4F4F4F"/>
        </w:rPr>
      </w:pPr>
      <w:r>
        <w:rPr>
          <w:rFonts w:ascii="Open Sans" w:hAnsi="Open Sans" w:cs="Open Sans"/>
          <w:color w:val="4F4F4F"/>
        </w:rPr>
        <w:t>Revenue Growth</w:t>
      </w:r>
    </w:p>
    <w:p w14:paraId="61129F5A" w14:textId="77777777" w:rsidR="00B562D3" w:rsidRDefault="00B562D3" w:rsidP="00B562D3">
      <w:pPr>
        <w:widowControl/>
        <w:numPr>
          <w:ilvl w:val="0"/>
          <w:numId w:val="6"/>
        </w:numPr>
        <w:shd w:val="clear" w:color="auto" w:fill="FFFFFF"/>
        <w:autoSpaceDE/>
        <w:autoSpaceDN/>
        <w:spacing w:line="360" w:lineRule="auto"/>
        <w:rPr>
          <w:rFonts w:ascii="Open Sans" w:hAnsi="Open Sans" w:cs="Open Sans"/>
          <w:color w:val="4F4F4F"/>
        </w:rPr>
      </w:pPr>
      <w:r>
        <w:rPr>
          <w:rFonts w:ascii="Open Sans" w:hAnsi="Open Sans" w:cs="Open Sans"/>
          <w:color w:val="4F4F4F"/>
        </w:rPr>
        <w:t>Gross Margin</w:t>
      </w:r>
    </w:p>
    <w:p w14:paraId="22781843" w14:textId="77777777" w:rsidR="00B562D3" w:rsidRDefault="00B562D3" w:rsidP="00B562D3">
      <w:pPr>
        <w:widowControl/>
        <w:numPr>
          <w:ilvl w:val="0"/>
          <w:numId w:val="6"/>
        </w:numPr>
        <w:shd w:val="clear" w:color="auto" w:fill="FFFFFF"/>
        <w:autoSpaceDE/>
        <w:autoSpaceDN/>
        <w:spacing w:line="360" w:lineRule="auto"/>
        <w:rPr>
          <w:rFonts w:ascii="Open Sans" w:hAnsi="Open Sans" w:cs="Open Sans"/>
          <w:color w:val="4F4F4F"/>
        </w:rPr>
      </w:pPr>
      <w:r>
        <w:rPr>
          <w:rFonts w:ascii="Open Sans" w:hAnsi="Open Sans" w:cs="Open Sans"/>
          <w:color w:val="4F4F4F"/>
        </w:rPr>
        <w:t>Operating Margin</w:t>
      </w:r>
    </w:p>
    <w:p w14:paraId="744790A3" w14:textId="77777777" w:rsidR="00B562D3" w:rsidRDefault="00B562D3" w:rsidP="00B562D3">
      <w:pPr>
        <w:widowControl/>
        <w:numPr>
          <w:ilvl w:val="0"/>
          <w:numId w:val="6"/>
        </w:numPr>
        <w:shd w:val="clear" w:color="auto" w:fill="FFFFFF"/>
        <w:autoSpaceDE/>
        <w:autoSpaceDN/>
        <w:spacing w:line="360" w:lineRule="auto"/>
        <w:rPr>
          <w:rFonts w:ascii="Open Sans" w:hAnsi="Open Sans" w:cs="Open Sans"/>
          <w:color w:val="4F4F4F"/>
        </w:rPr>
      </w:pPr>
      <w:r>
        <w:rPr>
          <w:rFonts w:ascii="Open Sans" w:hAnsi="Open Sans" w:cs="Open Sans"/>
          <w:color w:val="4F4F4F"/>
        </w:rPr>
        <w:t>Historical Tax Rate</w:t>
      </w:r>
    </w:p>
    <w:p w14:paraId="7884B64C" w14:textId="77777777" w:rsidR="00B562D3" w:rsidRDefault="00B562D3" w:rsidP="00B562D3">
      <w:pPr>
        <w:widowControl/>
        <w:numPr>
          <w:ilvl w:val="0"/>
          <w:numId w:val="6"/>
        </w:numPr>
        <w:shd w:val="clear" w:color="auto" w:fill="FFFFFF"/>
        <w:autoSpaceDE/>
        <w:autoSpaceDN/>
        <w:spacing w:line="360" w:lineRule="auto"/>
        <w:rPr>
          <w:rFonts w:ascii="Open Sans" w:hAnsi="Open Sans" w:cs="Open Sans"/>
          <w:color w:val="4F4F4F"/>
        </w:rPr>
      </w:pPr>
      <w:r>
        <w:rPr>
          <w:rFonts w:ascii="Open Sans" w:hAnsi="Open Sans" w:cs="Open Sans"/>
          <w:color w:val="4F4F4F"/>
        </w:rPr>
        <w:t>Historical Interest Expense Rate</w:t>
      </w:r>
    </w:p>
    <w:p w14:paraId="16526FD5" w14:textId="77777777" w:rsidR="00B562D3" w:rsidRDefault="00B562D3" w:rsidP="00B562D3">
      <w:pPr>
        <w:pStyle w:val="NormalWeb"/>
        <w:shd w:val="clear" w:color="auto" w:fill="FFFFFF"/>
        <w:spacing w:before="0" w:beforeAutospacing="0" w:after="0" w:afterAutospacing="0" w:line="360" w:lineRule="auto"/>
        <w:rPr>
          <w:rFonts w:ascii="Open Sans" w:hAnsi="Open Sans" w:cs="Open Sans"/>
          <w:color w:val="4F4F4F"/>
        </w:rPr>
      </w:pPr>
      <w:r>
        <w:rPr>
          <w:rFonts w:ascii="Open Sans" w:hAnsi="Open Sans" w:cs="Open Sans"/>
          <w:color w:val="4F4F4F"/>
        </w:rPr>
        <w:t>The following list provides more information about calculating the historical statistics.</w:t>
      </w:r>
    </w:p>
    <w:p w14:paraId="7398F958" w14:textId="77777777" w:rsidR="00B562D3" w:rsidRDefault="00B562D3" w:rsidP="00B562D3">
      <w:pPr>
        <w:widowControl/>
        <w:numPr>
          <w:ilvl w:val="0"/>
          <w:numId w:val="7"/>
        </w:numPr>
        <w:shd w:val="clear" w:color="auto" w:fill="FFFFFF"/>
        <w:autoSpaceDE/>
        <w:autoSpaceDN/>
        <w:spacing w:line="360" w:lineRule="auto"/>
        <w:rPr>
          <w:rFonts w:ascii="Open Sans" w:hAnsi="Open Sans" w:cs="Open Sans"/>
          <w:color w:val="4F4F4F"/>
        </w:rPr>
      </w:pPr>
      <w:r>
        <w:rPr>
          <w:rStyle w:val="Strong"/>
          <w:rFonts w:ascii="Open Sans" w:hAnsi="Open Sans" w:cs="Open Sans"/>
          <w:color w:val="4F4F4F"/>
        </w:rPr>
        <w:t>Revenue Growth (in %) = ((Current Year's Revenue / Previous year's revenue) - 1</w:t>
      </w:r>
    </w:p>
    <w:p w14:paraId="4EA2A34C" w14:textId="77777777" w:rsidR="00B562D3" w:rsidRDefault="00B562D3" w:rsidP="00B562D3">
      <w:pPr>
        <w:widowControl/>
        <w:numPr>
          <w:ilvl w:val="0"/>
          <w:numId w:val="7"/>
        </w:numPr>
        <w:shd w:val="clear" w:color="auto" w:fill="FFFFFF"/>
        <w:autoSpaceDE/>
        <w:autoSpaceDN/>
        <w:spacing w:line="360" w:lineRule="auto"/>
        <w:rPr>
          <w:rFonts w:ascii="Open Sans" w:hAnsi="Open Sans" w:cs="Open Sans"/>
          <w:color w:val="4F4F4F"/>
        </w:rPr>
      </w:pPr>
      <w:r>
        <w:rPr>
          <w:rStyle w:val="Strong"/>
          <w:rFonts w:ascii="Open Sans" w:hAnsi="Open Sans" w:cs="Open Sans"/>
          <w:color w:val="4F4F4F"/>
        </w:rPr>
        <w:t>Gross Margin = (1- (Current Year's Cost of COGS/ Current Year's Total Revenue))</w:t>
      </w:r>
      <w:r>
        <w:rPr>
          <w:rFonts w:ascii="Open Sans" w:hAnsi="Open Sans" w:cs="Open Sans"/>
          <w:color w:val="4F4F4F"/>
        </w:rPr>
        <w:br/>
        <w:t>Keep in mind the two terms COGS and Cost of Revenue can be used interchangeably.</w:t>
      </w:r>
    </w:p>
    <w:p w14:paraId="505F7E0A" w14:textId="77777777" w:rsidR="00B562D3" w:rsidRDefault="00B562D3" w:rsidP="00B562D3">
      <w:pPr>
        <w:widowControl/>
        <w:numPr>
          <w:ilvl w:val="0"/>
          <w:numId w:val="7"/>
        </w:numPr>
        <w:shd w:val="clear" w:color="auto" w:fill="FFFFFF"/>
        <w:autoSpaceDE/>
        <w:autoSpaceDN/>
        <w:spacing w:line="360" w:lineRule="auto"/>
        <w:rPr>
          <w:rFonts w:ascii="Open Sans" w:hAnsi="Open Sans" w:cs="Open Sans"/>
          <w:color w:val="4F4F4F"/>
        </w:rPr>
      </w:pPr>
      <w:r>
        <w:rPr>
          <w:rStyle w:val="Strong"/>
          <w:rFonts w:ascii="Open Sans" w:hAnsi="Open Sans" w:cs="Open Sans"/>
          <w:color w:val="4F4F4F"/>
        </w:rPr>
        <w:t>Operating Margin = Current Year's Operating Income / Current Year's Total Revenue</w:t>
      </w:r>
    </w:p>
    <w:p w14:paraId="7A7320E4" w14:textId="77777777" w:rsidR="00B562D3" w:rsidRDefault="00B562D3" w:rsidP="00B562D3">
      <w:pPr>
        <w:widowControl/>
        <w:numPr>
          <w:ilvl w:val="0"/>
          <w:numId w:val="7"/>
        </w:numPr>
        <w:shd w:val="clear" w:color="auto" w:fill="FFFFFF"/>
        <w:autoSpaceDE/>
        <w:autoSpaceDN/>
        <w:spacing w:line="360" w:lineRule="auto"/>
        <w:rPr>
          <w:rFonts w:ascii="Open Sans" w:hAnsi="Open Sans" w:cs="Open Sans"/>
          <w:color w:val="4F4F4F"/>
        </w:rPr>
      </w:pPr>
      <w:r>
        <w:rPr>
          <w:rStyle w:val="Strong"/>
          <w:rFonts w:ascii="Open Sans" w:hAnsi="Open Sans" w:cs="Open Sans"/>
          <w:color w:val="4F4F4F"/>
        </w:rPr>
        <w:t>Historical Tax Rate</w:t>
      </w:r>
      <w:r>
        <w:rPr>
          <w:rFonts w:ascii="Open Sans" w:hAnsi="Open Sans" w:cs="Open Sans"/>
          <w:color w:val="4F4F4F"/>
        </w:rPr>
        <w:t xml:space="preserve"> is the tax rate from the </w:t>
      </w:r>
      <w:proofErr w:type="gramStart"/>
      <w:r>
        <w:rPr>
          <w:rFonts w:ascii="Open Sans" w:hAnsi="Open Sans" w:cs="Open Sans"/>
          <w:color w:val="4F4F4F"/>
        </w:rPr>
        <w:t>companies</w:t>
      </w:r>
      <w:proofErr w:type="gramEnd"/>
      <w:r>
        <w:rPr>
          <w:rFonts w:ascii="Open Sans" w:hAnsi="Open Sans" w:cs="Open Sans"/>
          <w:color w:val="4F4F4F"/>
        </w:rPr>
        <w:t xml:space="preserve"> previous year's tax rate.</w:t>
      </w:r>
    </w:p>
    <w:p w14:paraId="2DC1D42C" w14:textId="77777777" w:rsidR="00B562D3" w:rsidRDefault="00B562D3" w:rsidP="00B562D3">
      <w:pPr>
        <w:widowControl/>
        <w:numPr>
          <w:ilvl w:val="0"/>
          <w:numId w:val="7"/>
        </w:numPr>
        <w:shd w:val="clear" w:color="auto" w:fill="FFFFFF"/>
        <w:autoSpaceDE/>
        <w:autoSpaceDN/>
        <w:spacing w:line="360" w:lineRule="auto"/>
        <w:rPr>
          <w:rFonts w:ascii="Open Sans" w:hAnsi="Open Sans" w:cs="Open Sans"/>
          <w:color w:val="4F4F4F"/>
        </w:rPr>
      </w:pPr>
      <w:r>
        <w:rPr>
          <w:rStyle w:val="Strong"/>
          <w:rFonts w:ascii="Open Sans" w:hAnsi="Open Sans" w:cs="Open Sans"/>
          <w:color w:val="4F4F4F"/>
        </w:rPr>
        <w:t>Historical Interest Rate</w:t>
      </w:r>
      <w:r>
        <w:rPr>
          <w:rFonts w:ascii="Open Sans" w:hAnsi="Open Sans" w:cs="Open Sans"/>
          <w:color w:val="4F4F4F"/>
        </w:rPr>
        <w:t> is the interest rate coming from the previous year' s Debt Schedule</w:t>
      </w:r>
    </w:p>
    <w:p w14:paraId="53D3E504" w14:textId="5338C517" w:rsidR="00B562D3" w:rsidRDefault="00B562D3" w:rsidP="00B562D3">
      <w:pPr>
        <w:spacing w:line="360" w:lineRule="auto"/>
      </w:pPr>
    </w:p>
    <w:p w14:paraId="0A0D3719" w14:textId="77777777" w:rsidR="00A57047" w:rsidRPr="00A57047" w:rsidRDefault="00A57047" w:rsidP="00A57047">
      <w:pPr>
        <w:pStyle w:val="Heading2"/>
        <w:shd w:val="clear" w:color="auto" w:fill="FFFFFF"/>
        <w:spacing w:before="540" w:after="75" w:line="360" w:lineRule="auto"/>
        <w:rPr>
          <w:rFonts w:ascii="Open Sans" w:eastAsia="Times New Roman" w:hAnsi="Open Sans" w:cs="Open Sans"/>
          <w:color w:val="FF0000"/>
          <w:sz w:val="40"/>
          <w:szCs w:val="40"/>
        </w:rPr>
      </w:pPr>
      <w:r w:rsidRPr="00A57047">
        <w:rPr>
          <w:rFonts w:ascii="Open Sans" w:hAnsi="Open Sans" w:cs="Open Sans"/>
          <w:color w:val="FF0000"/>
          <w:sz w:val="40"/>
          <w:szCs w:val="40"/>
        </w:rPr>
        <w:lastRenderedPageBreak/>
        <w:t>Assumptions and KPIs</w:t>
      </w:r>
    </w:p>
    <w:p w14:paraId="38075E93" w14:textId="77777777" w:rsidR="00A57047" w:rsidRDefault="00A57047" w:rsidP="00A57047">
      <w:pPr>
        <w:pStyle w:val="NormalWeb"/>
        <w:shd w:val="clear" w:color="auto" w:fill="FFFFFF"/>
        <w:spacing w:before="0" w:beforeAutospacing="0" w:after="225" w:afterAutospacing="0" w:line="360" w:lineRule="auto"/>
        <w:rPr>
          <w:rFonts w:ascii="Open Sans" w:hAnsi="Open Sans" w:cs="Open Sans"/>
          <w:color w:val="4F4F4F"/>
        </w:rPr>
      </w:pPr>
      <w:r>
        <w:rPr>
          <w:rFonts w:ascii="Open Sans" w:hAnsi="Open Sans" w:cs="Open Sans"/>
          <w:color w:val="4F4F4F"/>
        </w:rPr>
        <w:t>Here are the formulas used in the sales forecasting example described in the video above.</w:t>
      </w:r>
    </w:p>
    <w:p w14:paraId="0DC3F27D" w14:textId="77777777" w:rsidR="00A57047" w:rsidRDefault="00A57047" w:rsidP="00A57047">
      <w:pPr>
        <w:widowControl/>
        <w:numPr>
          <w:ilvl w:val="0"/>
          <w:numId w:val="8"/>
        </w:numPr>
        <w:shd w:val="clear" w:color="auto" w:fill="FFFFFF"/>
        <w:autoSpaceDE/>
        <w:autoSpaceDN/>
        <w:spacing w:line="360" w:lineRule="auto"/>
        <w:rPr>
          <w:rFonts w:ascii="Open Sans" w:hAnsi="Open Sans" w:cs="Open Sans"/>
          <w:color w:val="4F4F4F"/>
        </w:rPr>
      </w:pPr>
      <w:r>
        <w:rPr>
          <w:rStyle w:val="Strong"/>
          <w:rFonts w:ascii="Open Sans" w:hAnsi="Open Sans" w:cs="Open Sans"/>
          <w:color w:val="4F4F4F"/>
        </w:rPr>
        <w:t>Contract Terms</w:t>
      </w:r>
      <w:r>
        <w:rPr>
          <w:rFonts w:ascii="Open Sans" w:hAnsi="Open Sans" w:cs="Open Sans"/>
          <w:color w:val="4F4F4F"/>
        </w:rPr>
        <w:t> = Number of months in the contract</w:t>
      </w:r>
    </w:p>
    <w:p w14:paraId="313A6B05" w14:textId="49354DBE" w:rsidR="00A57047" w:rsidRDefault="00A57047" w:rsidP="00A57047">
      <w:pPr>
        <w:widowControl/>
        <w:numPr>
          <w:ilvl w:val="0"/>
          <w:numId w:val="8"/>
        </w:numPr>
        <w:shd w:val="clear" w:color="auto" w:fill="FFFFFF"/>
        <w:autoSpaceDE/>
        <w:autoSpaceDN/>
        <w:spacing w:line="360" w:lineRule="auto"/>
        <w:rPr>
          <w:rFonts w:ascii="Open Sans" w:hAnsi="Open Sans" w:cs="Open Sans"/>
          <w:color w:val="4F4F4F"/>
        </w:rPr>
      </w:pPr>
      <w:r>
        <w:rPr>
          <w:rStyle w:val="Strong"/>
          <w:rFonts w:ascii="Open Sans" w:hAnsi="Open Sans" w:cs="Open Sans"/>
          <w:color w:val="4F4F4F"/>
        </w:rPr>
        <w:t>Price per Unit (by mon)</w:t>
      </w:r>
      <w:r>
        <w:rPr>
          <w:rFonts w:ascii="Open Sans" w:hAnsi="Open Sans" w:cs="Open Sans"/>
          <w:color w:val="4F4F4F"/>
        </w:rPr>
        <w:t> = Units needed in 1 month X Price per Unit</w:t>
      </w:r>
    </w:p>
    <w:p w14:paraId="1CF43DB4" w14:textId="584C8000" w:rsidR="007B3CA5" w:rsidRDefault="007B3CA5" w:rsidP="00A57047">
      <w:pPr>
        <w:widowControl/>
        <w:numPr>
          <w:ilvl w:val="0"/>
          <w:numId w:val="8"/>
        </w:numPr>
        <w:shd w:val="clear" w:color="auto" w:fill="FFFFFF"/>
        <w:autoSpaceDE/>
        <w:autoSpaceDN/>
        <w:spacing w:line="360" w:lineRule="auto"/>
        <w:rPr>
          <w:rFonts w:ascii="Open Sans" w:hAnsi="Open Sans" w:cs="Open Sans"/>
          <w:color w:val="4F4F4F"/>
        </w:rPr>
      </w:pPr>
      <w:r>
        <w:rPr>
          <w:rStyle w:val="Strong"/>
          <w:rFonts w:ascii="Open Sans" w:hAnsi="Open Sans" w:cs="Open Sans"/>
          <w:color w:val="4F4F4F"/>
        </w:rPr>
        <w:t xml:space="preserve">Price for all units in 1 mon = </w:t>
      </w:r>
      <w:r>
        <w:rPr>
          <w:rFonts w:ascii="Open Sans" w:hAnsi="Open Sans" w:cs="Open Sans"/>
          <w:color w:val="4F4F4F"/>
        </w:rPr>
        <w:t>Price per Unit X no. Of units</w:t>
      </w:r>
    </w:p>
    <w:p w14:paraId="29286ED7" w14:textId="0A10FF4D" w:rsidR="00A57047" w:rsidRDefault="00A57047" w:rsidP="00A57047">
      <w:pPr>
        <w:widowControl/>
        <w:numPr>
          <w:ilvl w:val="0"/>
          <w:numId w:val="8"/>
        </w:numPr>
        <w:shd w:val="clear" w:color="auto" w:fill="FFFFFF"/>
        <w:autoSpaceDE/>
        <w:autoSpaceDN/>
        <w:spacing w:line="360" w:lineRule="auto"/>
        <w:rPr>
          <w:rFonts w:ascii="Open Sans" w:hAnsi="Open Sans" w:cs="Open Sans"/>
          <w:color w:val="4F4F4F"/>
        </w:rPr>
      </w:pPr>
      <w:r>
        <w:rPr>
          <w:rStyle w:val="Strong"/>
          <w:rFonts w:ascii="Open Sans" w:hAnsi="Open Sans" w:cs="Open Sans"/>
          <w:color w:val="4F4F4F"/>
        </w:rPr>
        <w:t>Bookings Forecast</w:t>
      </w:r>
      <w:r>
        <w:rPr>
          <w:rFonts w:ascii="Open Sans" w:hAnsi="Open Sans" w:cs="Open Sans"/>
          <w:color w:val="4F4F4F"/>
        </w:rPr>
        <w:t xml:space="preserve"> = Price per Unit </w:t>
      </w:r>
      <w:r w:rsidR="00AE27C7">
        <w:rPr>
          <w:rFonts w:ascii="Open Sans" w:hAnsi="Open Sans" w:cs="Open Sans"/>
          <w:color w:val="4F4F4F"/>
        </w:rPr>
        <w:t xml:space="preserve">X no. Of units </w:t>
      </w:r>
      <w:r>
        <w:rPr>
          <w:rFonts w:ascii="Open Sans" w:hAnsi="Open Sans" w:cs="Open Sans"/>
          <w:color w:val="4F4F4F"/>
        </w:rPr>
        <w:t>X Contract Term (month)</w:t>
      </w:r>
    </w:p>
    <w:p w14:paraId="0F3107A6" w14:textId="77777777" w:rsidR="00A57047" w:rsidRDefault="00A57047" w:rsidP="00A57047">
      <w:pPr>
        <w:widowControl/>
        <w:numPr>
          <w:ilvl w:val="0"/>
          <w:numId w:val="8"/>
        </w:numPr>
        <w:shd w:val="clear" w:color="auto" w:fill="FFFFFF"/>
        <w:autoSpaceDE/>
        <w:autoSpaceDN/>
        <w:spacing w:line="360" w:lineRule="auto"/>
        <w:rPr>
          <w:rFonts w:ascii="Open Sans" w:hAnsi="Open Sans" w:cs="Open Sans"/>
          <w:color w:val="4F4F4F"/>
        </w:rPr>
      </w:pPr>
      <w:r>
        <w:rPr>
          <w:rStyle w:val="Strong"/>
          <w:rFonts w:ascii="Open Sans" w:hAnsi="Open Sans" w:cs="Open Sans"/>
          <w:color w:val="4F4F4F"/>
        </w:rPr>
        <w:t>Closed/Won Probability</w:t>
      </w:r>
      <w:r>
        <w:rPr>
          <w:rFonts w:ascii="Open Sans" w:hAnsi="Open Sans" w:cs="Open Sans"/>
          <w:color w:val="4F4F4F"/>
        </w:rPr>
        <w:t> = Probability of Closing the deal</w:t>
      </w:r>
    </w:p>
    <w:p w14:paraId="66FF211A" w14:textId="77777777" w:rsidR="00A57047" w:rsidRDefault="00A57047" w:rsidP="00A57047">
      <w:pPr>
        <w:widowControl/>
        <w:numPr>
          <w:ilvl w:val="0"/>
          <w:numId w:val="8"/>
        </w:numPr>
        <w:shd w:val="clear" w:color="auto" w:fill="FFFFFF"/>
        <w:autoSpaceDE/>
        <w:autoSpaceDN/>
        <w:spacing w:line="360" w:lineRule="auto"/>
        <w:rPr>
          <w:rFonts w:ascii="Open Sans" w:hAnsi="Open Sans" w:cs="Open Sans"/>
          <w:color w:val="4F4F4F"/>
        </w:rPr>
      </w:pPr>
      <w:r>
        <w:rPr>
          <w:rStyle w:val="Strong"/>
          <w:rFonts w:ascii="Open Sans" w:hAnsi="Open Sans" w:cs="Open Sans"/>
          <w:color w:val="4F4F4F"/>
        </w:rPr>
        <w:t>Weighted Bookings Forecast</w:t>
      </w:r>
      <w:r>
        <w:rPr>
          <w:rFonts w:ascii="Open Sans" w:hAnsi="Open Sans" w:cs="Open Sans"/>
          <w:color w:val="4F4F4F"/>
        </w:rPr>
        <w:t> = Bookings Forecast * Closed/Won Probability</w:t>
      </w:r>
    </w:p>
    <w:p w14:paraId="7D1F61CB" w14:textId="77777777" w:rsidR="00A57047" w:rsidRDefault="00A57047" w:rsidP="00A57047">
      <w:pPr>
        <w:spacing w:line="360" w:lineRule="auto"/>
      </w:pPr>
    </w:p>
    <w:sectPr w:rsidR="00A57047">
      <w:pgSz w:w="15840" w:h="12240" w:orient="landscape"/>
      <w:pgMar w:top="1140" w:right="19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w:altName w:val="Noto Sans"/>
    <w:charset w:val="00"/>
    <w:family w:val="swiss"/>
    <w:pitch w:val="variable"/>
    <w:sig w:usb0="E00082FF" w:usb1="400078FF" w:usb2="0000002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C774D"/>
    <w:multiLevelType w:val="multilevel"/>
    <w:tmpl w:val="2520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D2138"/>
    <w:multiLevelType w:val="multilevel"/>
    <w:tmpl w:val="1DB0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C610FC"/>
    <w:multiLevelType w:val="multilevel"/>
    <w:tmpl w:val="B2BA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FC1D8A"/>
    <w:multiLevelType w:val="multilevel"/>
    <w:tmpl w:val="EC62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402816"/>
    <w:multiLevelType w:val="multilevel"/>
    <w:tmpl w:val="F63E6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5A647F"/>
    <w:multiLevelType w:val="multilevel"/>
    <w:tmpl w:val="675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D77354"/>
    <w:multiLevelType w:val="multilevel"/>
    <w:tmpl w:val="6CF4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102480"/>
    <w:multiLevelType w:val="multilevel"/>
    <w:tmpl w:val="DF52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3"/>
  </w:num>
  <w:num w:numId="4">
    <w:abstractNumId w:val="6"/>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6511D"/>
    <w:rsid w:val="00005021"/>
    <w:rsid w:val="000B6676"/>
    <w:rsid w:val="004616AB"/>
    <w:rsid w:val="005A02C0"/>
    <w:rsid w:val="0066511D"/>
    <w:rsid w:val="0069160D"/>
    <w:rsid w:val="00720BB0"/>
    <w:rsid w:val="00790F69"/>
    <w:rsid w:val="007B3CA5"/>
    <w:rsid w:val="00A57047"/>
    <w:rsid w:val="00AE27C7"/>
    <w:rsid w:val="00B562D3"/>
    <w:rsid w:val="00DE4C65"/>
    <w:rsid w:val="00EC14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31DEB"/>
  <w15:docId w15:val="{A9A0CCC5-FB55-4AC0-81AD-299A5E62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2">
    <w:name w:val="heading 2"/>
    <w:basedOn w:val="Normal"/>
    <w:next w:val="Normal"/>
    <w:link w:val="Heading2Char"/>
    <w:uiPriority w:val="9"/>
    <w:semiHidden/>
    <w:unhideWhenUsed/>
    <w:qFormat/>
    <w:rsid w:val="00B562D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0B6676"/>
    <w:pPr>
      <w:widowControl/>
      <w:autoSpaceDE/>
      <w:autoSpaceDN/>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8"/>
      <w:ind w:left="97"/>
    </w:pPr>
  </w:style>
  <w:style w:type="character" w:customStyle="1" w:styleId="Heading4Char">
    <w:name w:val="Heading 4 Char"/>
    <w:basedOn w:val="DefaultParagraphFont"/>
    <w:link w:val="Heading4"/>
    <w:uiPriority w:val="9"/>
    <w:rsid w:val="000B6676"/>
    <w:rPr>
      <w:rFonts w:ascii="Times New Roman" w:eastAsia="Times New Roman" w:hAnsi="Times New Roman" w:cs="Times New Roman"/>
      <w:b/>
      <w:bCs/>
      <w:sz w:val="24"/>
      <w:szCs w:val="24"/>
    </w:rPr>
  </w:style>
  <w:style w:type="character" w:styleId="Strong">
    <w:name w:val="Strong"/>
    <w:basedOn w:val="DefaultParagraphFont"/>
    <w:uiPriority w:val="22"/>
    <w:qFormat/>
    <w:rsid w:val="000B6676"/>
    <w:rPr>
      <w:b/>
      <w:bCs/>
    </w:rPr>
  </w:style>
  <w:style w:type="paragraph" w:styleId="NormalWeb">
    <w:name w:val="Normal (Web)"/>
    <w:basedOn w:val="Normal"/>
    <w:uiPriority w:val="99"/>
    <w:semiHidden/>
    <w:unhideWhenUsed/>
    <w:rsid w:val="000B667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B6676"/>
    <w:rPr>
      <w:i/>
      <w:iCs/>
    </w:rPr>
  </w:style>
  <w:style w:type="character" w:customStyle="1" w:styleId="Heading2Char">
    <w:name w:val="Heading 2 Char"/>
    <w:basedOn w:val="DefaultParagraphFont"/>
    <w:link w:val="Heading2"/>
    <w:uiPriority w:val="9"/>
    <w:semiHidden/>
    <w:rsid w:val="00B562D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11150">
      <w:bodyDiv w:val="1"/>
      <w:marLeft w:val="0"/>
      <w:marRight w:val="0"/>
      <w:marTop w:val="0"/>
      <w:marBottom w:val="0"/>
      <w:divBdr>
        <w:top w:val="none" w:sz="0" w:space="0" w:color="auto"/>
        <w:left w:val="none" w:sz="0" w:space="0" w:color="auto"/>
        <w:bottom w:val="none" w:sz="0" w:space="0" w:color="auto"/>
        <w:right w:val="none" w:sz="0" w:space="0" w:color="auto"/>
      </w:divBdr>
    </w:div>
    <w:div w:id="404837220">
      <w:bodyDiv w:val="1"/>
      <w:marLeft w:val="0"/>
      <w:marRight w:val="0"/>
      <w:marTop w:val="0"/>
      <w:marBottom w:val="0"/>
      <w:divBdr>
        <w:top w:val="none" w:sz="0" w:space="0" w:color="auto"/>
        <w:left w:val="none" w:sz="0" w:space="0" w:color="auto"/>
        <w:bottom w:val="none" w:sz="0" w:space="0" w:color="auto"/>
        <w:right w:val="none" w:sz="0" w:space="0" w:color="auto"/>
      </w:divBdr>
    </w:div>
    <w:div w:id="1215114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05124-89C0-45C3-96AC-6E31631B4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abdelrahman kamal</cp:lastModifiedBy>
  <cp:revision>13</cp:revision>
  <dcterms:created xsi:type="dcterms:W3CDTF">2022-02-18T15:44:00Z</dcterms:created>
  <dcterms:modified xsi:type="dcterms:W3CDTF">2022-02-19T14:40:00Z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2022-02-18T00:00:00Z</vt:filetime>
  </property>
</Properties>
</file>