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995" w:rsidRDefault="00351C11" w:rsidP="00A81995">
      <w:pPr>
        <w:pStyle w:val="MdHeading1"/>
      </w:pPr>
      <w:r>
        <w:t>Summary of Climate Change Semantic Frames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81995" w:rsidTr="00ED0AE4">
        <w:tc>
          <w:tcPr>
            <w:tcW w:w="4508" w:type="dxa"/>
          </w:tcPr>
          <w:p w:rsidR="00A81995" w:rsidRDefault="00A81995" w:rsidP="00ED0AE4">
            <w:pPr>
              <w:pStyle w:val="MdParagraph"/>
            </w:pPr>
            <w:r>
              <w:t xml:space="preserve">Core Frames </w:t>
            </w:r>
          </w:p>
        </w:tc>
        <w:tc>
          <w:tcPr>
            <w:tcW w:w="4508" w:type="dxa"/>
          </w:tcPr>
          <w:p w:rsidR="00A81995" w:rsidRDefault="00A81995" w:rsidP="00ED0AE4">
            <w:pPr>
              <w:pStyle w:val="MdParagraph"/>
            </w:pPr>
            <w:r>
              <w:t>Peripheral Frames</w:t>
            </w:r>
          </w:p>
        </w:tc>
      </w:tr>
      <w:tr w:rsidR="00A81995" w:rsidTr="00ED0AE4">
        <w:tc>
          <w:tcPr>
            <w:tcW w:w="4508" w:type="dxa"/>
          </w:tcPr>
          <w:p w:rsidR="00A81995" w:rsidRDefault="00A81995" w:rsidP="00ED0AE4">
            <w:pPr>
              <w:pStyle w:val="MdParagraph"/>
              <w:numPr>
                <w:ilvl w:val="0"/>
                <w:numId w:val="2"/>
              </w:numPr>
            </w:pPr>
            <w:r>
              <w:t xml:space="preserve">Causal and Attribution effect </w:t>
            </w:r>
          </w:p>
        </w:tc>
        <w:tc>
          <w:tcPr>
            <w:tcW w:w="4508" w:type="dxa"/>
          </w:tcPr>
          <w:p w:rsidR="00A81995" w:rsidRDefault="00A81995" w:rsidP="00ED0AE4">
            <w:pPr>
              <w:pStyle w:val="MdParagraph"/>
            </w:pPr>
            <w:r>
              <w:t>Anthropogenic Causation, Responsibility, Historical and climate debt, sectoral attribution, natural variability and human influence, individual and systemic causation</w:t>
            </w:r>
          </w:p>
        </w:tc>
      </w:tr>
      <w:tr w:rsidR="00A81995" w:rsidTr="00ED0AE4">
        <w:tc>
          <w:tcPr>
            <w:tcW w:w="4508" w:type="dxa"/>
          </w:tcPr>
          <w:p w:rsidR="00A81995" w:rsidRDefault="00A81995" w:rsidP="00ED0AE4">
            <w:pPr>
              <w:pStyle w:val="MdParagraph"/>
              <w:numPr>
                <w:ilvl w:val="0"/>
                <w:numId w:val="2"/>
              </w:numPr>
            </w:pPr>
            <w:r>
              <w:t>Impact and consequences</w:t>
            </w:r>
          </w:p>
        </w:tc>
        <w:tc>
          <w:tcPr>
            <w:tcW w:w="4508" w:type="dxa"/>
          </w:tcPr>
          <w:p w:rsidR="00A81995" w:rsidRDefault="00A81995" w:rsidP="00ED0AE4">
            <w:pPr>
              <w:pStyle w:val="MdParagraph"/>
            </w:pPr>
            <w:r>
              <w:t>Environmental and ecological impact, extreme weather and climate event, human health and public health, economic cost and financial impact, social impact and inequality impact, catastrophic and existential threat</w:t>
            </w:r>
          </w:p>
        </w:tc>
      </w:tr>
      <w:tr w:rsidR="00A81995" w:rsidTr="00ED0AE4">
        <w:tc>
          <w:tcPr>
            <w:tcW w:w="4508" w:type="dxa"/>
          </w:tcPr>
          <w:p w:rsidR="00A81995" w:rsidRDefault="00A81995" w:rsidP="00ED0AE4">
            <w:pPr>
              <w:pStyle w:val="MdParagraph"/>
              <w:numPr>
                <w:ilvl w:val="0"/>
                <w:numId w:val="2"/>
              </w:numPr>
            </w:pPr>
            <w:r>
              <w:t xml:space="preserve">Action and solution </w:t>
            </w:r>
          </w:p>
        </w:tc>
        <w:tc>
          <w:tcPr>
            <w:tcW w:w="4508" w:type="dxa"/>
          </w:tcPr>
          <w:p w:rsidR="00A81995" w:rsidRDefault="00A81995" w:rsidP="00ED0AE4">
            <w:pPr>
              <w:pStyle w:val="MdParagraph"/>
            </w:pPr>
            <w:r>
              <w:t xml:space="preserve">Mitigation and emission reduction, adaptation and resistance, policy and government action, technological innovation solution, individual behavioral action, internal cooperation and climate diplomacy </w:t>
            </w:r>
          </w:p>
        </w:tc>
      </w:tr>
      <w:tr w:rsidR="00A81995" w:rsidTr="00ED0AE4">
        <w:tc>
          <w:tcPr>
            <w:tcW w:w="4508" w:type="dxa"/>
          </w:tcPr>
          <w:p w:rsidR="00A81995" w:rsidRDefault="00A81995" w:rsidP="00ED0AE4">
            <w:pPr>
              <w:pStyle w:val="MdParagraph"/>
              <w:numPr>
                <w:ilvl w:val="0"/>
                <w:numId w:val="2"/>
              </w:numPr>
            </w:pPr>
            <w:r>
              <w:t xml:space="preserve">Epistemic and Scientific Research </w:t>
            </w:r>
          </w:p>
        </w:tc>
        <w:tc>
          <w:tcPr>
            <w:tcW w:w="4508" w:type="dxa"/>
          </w:tcPr>
          <w:p w:rsidR="00A81995" w:rsidRDefault="00A81995" w:rsidP="00ED0AE4">
            <w:pPr>
              <w:pStyle w:val="MdParagraph"/>
            </w:pPr>
            <w:r>
              <w:t>scientific consensus and certainty, scientific uncertainty and debate, climate skepticism and denial, new discovery and scientific progress, climate model and projections, climate monitoring and observation</w:t>
            </w:r>
          </w:p>
        </w:tc>
      </w:tr>
      <w:tr w:rsidR="00A81995" w:rsidTr="00ED0AE4">
        <w:tc>
          <w:tcPr>
            <w:tcW w:w="4508" w:type="dxa"/>
          </w:tcPr>
          <w:p w:rsidR="00A81995" w:rsidRDefault="00A81995" w:rsidP="00ED0AE4">
            <w:pPr>
              <w:pStyle w:val="MdParagraph"/>
              <w:numPr>
                <w:ilvl w:val="0"/>
                <w:numId w:val="2"/>
              </w:numPr>
            </w:pPr>
            <w:r>
              <w:rPr>
                <w:rStyle w:val="MdStrong"/>
              </w:rPr>
              <w:t xml:space="preserve">Socio-Political &amp; Economic </w:t>
            </w:r>
          </w:p>
        </w:tc>
        <w:tc>
          <w:tcPr>
            <w:tcW w:w="4508" w:type="dxa"/>
          </w:tcPr>
          <w:p w:rsidR="00A81995" w:rsidRPr="007D6707" w:rsidRDefault="00A81995" w:rsidP="00ED0AE4">
            <w:pPr>
              <w:pStyle w:val="MdParagraph"/>
            </w:pPr>
            <w:r>
              <w:t>political conflict and partisan divide, economic opportunity and green growth, economic costs and burdens of climate action, moral and ethical responsibility, human interest and personal stories, conflict between stakeholders</w:t>
            </w:r>
          </w:p>
        </w:tc>
      </w:tr>
      <w:tr w:rsidR="00A81995" w:rsidTr="00ED0AE4">
        <w:tc>
          <w:tcPr>
            <w:tcW w:w="4508" w:type="dxa"/>
          </w:tcPr>
          <w:p w:rsidR="00A81995" w:rsidRDefault="00A81995" w:rsidP="00ED0AE4">
            <w:pPr>
              <w:pStyle w:val="MdParagraph"/>
              <w:numPr>
                <w:ilvl w:val="0"/>
                <w:numId w:val="2"/>
              </w:numPr>
            </w:pPr>
            <w:r>
              <w:t xml:space="preserve">Temporal and Scalar Frames </w:t>
            </w:r>
          </w:p>
        </w:tc>
        <w:tc>
          <w:tcPr>
            <w:tcW w:w="4508" w:type="dxa"/>
          </w:tcPr>
          <w:p w:rsidR="00A81995" w:rsidRDefault="00A81995" w:rsidP="00ED0AE4">
            <w:pPr>
              <w:pStyle w:val="MdParagraph"/>
            </w:pPr>
            <w:r>
              <w:t xml:space="preserve">Urgency, international impact, Global scale, local manifestation, Tipping cascade, irreversibility, Transformation </w:t>
            </w:r>
          </w:p>
        </w:tc>
      </w:tr>
    </w:tbl>
    <w:p w:rsidR="00A81995" w:rsidRDefault="00A81995" w:rsidP="00A81995">
      <w:pPr>
        <w:pStyle w:val="MdHeading1"/>
      </w:pPr>
    </w:p>
    <w:p w:rsidR="00B15B6B" w:rsidRDefault="00B15B6B">
      <w:pPr>
        <w:pStyle w:val="MdSpace"/>
        <w:spacing w:after="60"/>
      </w:pPr>
    </w:p>
    <w:p w:rsidR="00B15B6B" w:rsidRDefault="00351C11">
      <w:pPr>
        <w:pStyle w:val="MdHeading2"/>
      </w:pPr>
      <w:r>
        <w:lastRenderedPageBreak/>
        <w:t>Main Categories and Frames</w:t>
      </w:r>
    </w:p>
    <w:p w:rsidR="00B15B6B" w:rsidRDefault="00351C11">
      <w:pPr>
        <w:pStyle w:val="MdParagraph"/>
      </w:pPr>
      <w:r>
        <w:t>The table below outlines the five primary categories and their respective frames. Each category represents a distinct dimension of how climate change is framed in media and public discourse.</w:t>
      </w:r>
    </w:p>
    <w:p w:rsidR="00B15B6B" w:rsidRDefault="00B15B6B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4"/>
        <w:gridCol w:w="2476"/>
        <w:gridCol w:w="4726"/>
      </w:tblGrid>
      <w:tr w:rsidR="00B15B6B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5B6B" w:rsidRDefault="00351C11">
            <w:pPr>
              <w:pStyle w:val="MdTableHeader"/>
            </w:pPr>
            <w:r>
              <w:t>Category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5B6B" w:rsidRDefault="00351C11">
            <w:pPr>
              <w:pStyle w:val="MdTableHeader"/>
            </w:pPr>
            <w:r>
              <w:t>Description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5B6B" w:rsidRDefault="00351C11">
            <w:pPr>
              <w:pStyle w:val="MdTableHeader"/>
            </w:pPr>
            <w:r>
              <w:t>Included Frames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rPr>
                <w:rStyle w:val="MdStrong"/>
              </w:rPr>
              <w:t>I. Causal Attribution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Focuses on who or what is responsible for climate change.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Anthropogenic Causation, Responsibility Attribution, Historical Emissions, Sectoral Attribution, Natural vs. Human Influence, Individual vs. Systemic Causation.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rPr>
                <w:rStyle w:val="MdStrong"/>
              </w:rPr>
              <w:t>II. Impact &amp; Consequences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Highlights the effects on the environment, society, and economy.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Environmental Impacts, Extreme Weather, Human Health, Economic Costs, Social Justice, Catastrophe &amp; Existential Threat.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rPr>
                <w:rStyle w:val="MdStrong"/>
              </w:rPr>
              <w:t>III. Action &amp; Solutions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Details mitigation, adaptation, and policy responses.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Mitigation, Adaptation, Policy &amp; Governance, Technological Innovation, Individual Action, International Cooperation.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rPr>
                <w:rStyle w:val="MdStrong"/>
              </w:rPr>
              <w:t>IV. Epistemic &amp; Scientific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Covers knowledge, uncertainty, and scientific consensus.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Scientific Consensus, Scientific Uncertainty, Skepticism &amp; Denial, New Discoveries, Models &amp; Projections, Monitoring &amp; Observation.</w:t>
            </w:r>
          </w:p>
        </w:tc>
      </w:tr>
      <w:tr w:rsidR="00B15B6B" w:rsidTr="00D43AC9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rPr>
                <w:rStyle w:val="MdStrong"/>
              </w:rPr>
              <w:t>V. Socio-Political &amp; Economic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Examines conflict, governance, and economic dimensions.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Political Conflict, Green Growth, Costs of Action, Moral Responsibility, Human Interest, Stakeholder Conflict.</w:t>
            </w:r>
          </w:p>
        </w:tc>
      </w:tr>
      <w:tr w:rsidR="00D43AC9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3AC9" w:rsidRDefault="00D43AC9">
            <w:pPr>
              <w:pStyle w:val="MdTableCell"/>
              <w:rPr>
                <w:rStyle w:val="MdStrong"/>
              </w:rPr>
            </w:pPr>
            <w:r>
              <w:rPr>
                <w:rStyle w:val="MdStrong"/>
              </w:rPr>
              <w:t>Temporal and Scalar Frames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3AC9" w:rsidRDefault="00D43AC9">
            <w:pPr>
              <w:pStyle w:val="MdTableCell"/>
            </w:pP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43AC9" w:rsidRDefault="00D43AC9">
            <w:pPr>
              <w:pStyle w:val="MdTableCell"/>
            </w:pPr>
          </w:p>
        </w:tc>
      </w:tr>
    </w:tbl>
    <w:p w:rsidR="00B15B6B" w:rsidRDefault="00351C11">
      <w:pPr>
        <w:pStyle w:val="MdHeading2"/>
      </w:pPr>
      <w:r>
        <w:t>Peripheral Frames and Relationships</w:t>
      </w:r>
    </w:p>
    <w:p w:rsidR="00B15B6B" w:rsidRDefault="00351C11">
      <w:pPr>
        <w:pStyle w:val="MdParagraph"/>
      </w:pPr>
      <w:r>
        <w:t xml:space="preserve">While the frames are categorized, they often interact through specific discourse relations. For example, </w:t>
      </w:r>
      <w:r>
        <w:rPr>
          <w:rStyle w:val="MdStrong"/>
        </w:rPr>
        <w:t>Scientific Monitoring</w:t>
      </w:r>
      <w:r>
        <w:t xml:space="preserve"> (Frame 24) provides the </w:t>
      </w:r>
      <w:r>
        <w:rPr>
          <w:rStyle w:val="MdStrong"/>
        </w:rPr>
        <w:t>Evidence</w:t>
      </w:r>
      <w:r>
        <w:t xml:space="preserve"> for </w:t>
      </w:r>
      <w:r>
        <w:rPr>
          <w:rStyle w:val="MdStrong"/>
        </w:rPr>
        <w:t>Scientific Consensus</w:t>
      </w:r>
      <w:r>
        <w:t xml:space="preserve"> (Frame 19). Similarly, the </w:t>
      </w:r>
      <w:r>
        <w:rPr>
          <w:rStyle w:val="MdStrong"/>
        </w:rPr>
        <w:t>Catastrophe</w:t>
      </w:r>
      <w:r>
        <w:t xml:space="preserve"> frame (Frame 12) often serves as the </w:t>
      </w:r>
      <w:r>
        <w:rPr>
          <w:rStyle w:val="MdStrong"/>
        </w:rPr>
        <w:t>Motivation</w:t>
      </w:r>
      <w:r>
        <w:t xml:space="preserve"> for </w:t>
      </w:r>
      <w:r>
        <w:rPr>
          <w:rStyle w:val="MdStrong"/>
        </w:rPr>
        <w:t>Mitigation</w:t>
      </w:r>
      <w:r>
        <w:t xml:space="preserve"> actions (Frame 13).</w:t>
      </w:r>
    </w:p>
    <w:p w:rsidR="00B15B6B" w:rsidRDefault="00B15B6B">
      <w:pPr>
        <w:pStyle w:val="MdSpace"/>
        <w:spacing w:after="60"/>
      </w:pPr>
    </w:p>
    <w:p w:rsidR="00B15B6B" w:rsidRDefault="00351C11">
      <w:pPr>
        <w:pStyle w:val="MdBlockquote"/>
      </w:pPr>
      <w:r>
        <w:t xml:space="preserve">"The framework presented here bridges classical frame semantics—rooted in </w:t>
      </w:r>
      <w:proofErr w:type="spellStart"/>
      <w:r>
        <w:t>FrameNet's</w:t>
      </w:r>
      <w:proofErr w:type="spellEnd"/>
      <w:r>
        <w:t xml:space="preserve"> lexical-semantic approach—with neural language models, enabling hybrid methods that combine symbolic knowledge with distributed representations."</w:t>
      </w:r>
    </w:p>
    <w:p w:rsidR="00B15B6B" w:rsidRDefault="00B15B6B">
      <w:pPr>
        <w:pStyle w:val="MdSpace"/>
        <w:spacing w:after="60"/>
      </w:pPr>
    </w:p>
    <w:p w:rsidR="00B15B6B" w:rsidRDefault="00351C11">
      <w:pPr>
        <w:pStyle w:val="MdHeading2"/>
      </w:pPr>
      <w:r>
        <w:t>Summary Table of the Top 30 Frames</w:t>
      </w:r>
    </w:p>
    <w:p w:rsidR="00B15B6B" w:rsidRDefault="00351C11">
      <w:pPr>
        <w:pStyle w:val="MdParagraph"/>
      </w:pPr>
      <w:r>
        <w:t>The following table provides a concise summary of all 30 frames identified in the document, ranked by their prevalence and impact.</w:t>
      </w:r>
    </w:p>
    <w:p w:rsidR="00B15B6B" w:rsidRDefault="00B15B6B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3074"/>
        <w:gridCol w:w="5047"/>
      </w:tblGrid>
      <w:tr w:rsidR="00B15B6B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5B6B" w:rsidRDefault="00351C11">
            <w:pPr>
              <w:pStyle w:val="MdTableHeader"/>
            </w:pPr>
            <w:r>
              <w:lastRenderedPageBreak/>
              <w:t>Rank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5B6B" w:rsidRDefault="00351C11">
            <w:pPr>
              <w:pStyle w:val="MdTableHeader"/>
            </w:pPr>
            <w:r>
              <w:t>Frame Name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B15B6B" w:rsidRDefault="00351C11">
            <w:pPr>
              <w:pStyle w:val="MdTableHeader"/>
            </w:pPr>
            <w:r>
              <w:t>Key Focus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Anthropogenic Causation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Human activities as the primary cause.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Responsibility Attribution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Accountability of governments and corporations.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Historical Emissions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Climate debt of developed nations.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Sectoral Attribution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Emissions from specific industries (e.g., energy).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Natural vs. Human Influence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Contrasting natural cycles with human forcing.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Individual vs. Systemic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Personal choices vs. structural changes.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Environmental Impacts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Biodiversity loss and ecosystem degradation.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Extreme Weather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Immediate, tangible impacts like floods and fires.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Human Health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Public health risks and disease spread.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10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Economic Costs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Financial losses and GDP impacts.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11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Social Justice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Disproportionate impacts on vulnerable groups.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12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Catastrophe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Existential crisis and tipping points.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13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Mitigation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Actions to reduce greenhouse gas emissions.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14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Adaptation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Building resilience and infrastructure.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15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Policy &amp; Governance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Legislation and international agreements.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16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Tech Innovation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Renewables and green technology solutions.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17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Individual Action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Lifestyle changes and personal activism.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lastRenderedPageBreak/>
              <w:t>18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International Cooperation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Diplomacy and multilateral agreements.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19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Scientific Consensus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Agreement among the scientific community.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20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Scientific Uncertainty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Unknowns and model limitations.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21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Skepticism &amp; Denial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Questioning evidence or claiming a hoax.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22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New Discoveries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Recent research breakthroughs.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23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Models &amp; Projections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Future scenarios and temperature forecasts.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24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Monitoring &amp; Observation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Empirical data and temperature records.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25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Political Conflict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Partisan divide and ideological clashes.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Green Growth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Economic opportunities in clean energy.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27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Costs of Action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Financial burdens of implementing policies.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28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Moral Responsibility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Ethical obligations and stewardship.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29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Human Interest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Personal stories and emotional narratives.</w:t>
            </w:r>
          </w:p>
        </w:tc>
      </w:tr>
      <w:tr w:rsidR="00B15B6B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30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Stakeholder Conflict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B15B6B" w:rsidRDefault="00351C11">
            <w:pPr>
              <w:pStyle w:val="MdTableCell"/>
            </w:pPr>
            <w:r>
              <w:t>Disagreements between various interest groups.</w:t>
            </w:r>
          </w:p>
        </w:tc>
      </w:tr>
    </w:tbl>
    <w:p w:rsidR="00956DF8" w:rsidRDefault="00956DF8">
      <w:pPr>
        <w:pStyle w:val="MdParagraph"/>
      </w:pPr>
      <w:bookmarkStart w:id="0" w:name="_GoBack"/>
      <w:bookmarkEnd w:id="0"/>
    </w:p>
    <w:p w:rsidR="00956DF8" w:rsidRDefault="00956DF8">
      <w:pPr>
        <w:pStyle w:val="MdParagraph"/>
      </w:pPr>
    </w:p>
    <w:p w:rsidR="00956DF8" w:rsidRDefault="00956DF8">
      <w:pPr>
        <w:pStyle w:val="MdParagraph"/>
      </w:pPr>
    </w:p>
    <w:sectPr w:rsidR="00956DF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F043C"/>
    <w:multiLevelType w:val="hybridMultilevel"/>
    <w:tmpl w:val="27A0A57C"/>
    <w:lvl w:ilvl="0" w:tplc="38404A9A">
      <w:start w:val="1"/>
      <w:numFmt w:val="bullet"/>
      <w:lvlText w:val="●"/>
      <w:lvlJc w:val="left"/>
      <w:pPr>
        <w:ind w:left="720" w:hanging="360"/>
      </w:pPr>
    </w:lvl>
    <w:lvl w:ilvl="1" w:tplc="8932C3CE">
      <w:start w:val="1"/>
      <w:numFmt w:val="bullet"/>
      <w:lvlText w:val="○"/>
      <w:lvlJc w:val="left"/>
      <w:pPr>
        <w:ind w:left="1440" w:hanging="360"/>
      </w:pPr>
    </w:lvl>
    <w:lvl w:ilvl="2" w:tplc="6074C684">
      <w:start w:val="1"/>
      <w:numFmt w:val="bullet"/>
      <w:lvlText w:val="■"/>
      <w:lvlJc w:val="left"/>
      <w:pPr>
        <w:ind w:left="2160" w:hanging="360"/>
      </w:pPr>
    </w:lvl>
    <w:lvl w:ilvl="3" w:tplc="70FC132A">
      <w:start w:val="1"/>
      <w:numFmt w:val="bullet"/>
      <w:lvlText w:val="●"/>
      <w:lvlJc w:val="left"/>
      <w:pPr>
        <w:ind w:left="2880" w:hanging="360"/>
      </w:pPr>
    </w:lvl>
    <w:lvl w:ilvl="4" w:tplc="92DA1A6A">
      <w:start w:val="1"/>
      <w:numFmt w:val="bullet"/>
      <w:lvlText w:val="○"/>
      <w:lvlJc w:val="left"/>
      <w:pPr>
        <w:ind w:left="3600" w:hanging="360"/>
      </w:pPr>
    </w:lvl>
    <w:lvl w:ilvl="5" w:tplc="C354E586">
      <w:start w:val="1"/>
      <w:numFmt w:val="bullet"/>
      <w:lvlText w:val="■"/>
      <w:lvlJc w:val="left"/>
      <w:pPr>
        <w:ind w:left="4320" w:hanging="360"/>
      </w:pPr>
    </w:lvl>
    <w:lvl w:ilvl="6" w:tplc="CABC180A">
      <w:start w:val="1"/>
      <w:numFmt w:val="bullet"/>
      <w:lvlText w:val="●"/>
      <w:lvlJc w:val="left"/>
      <w:pPr>
        <w:ind w:left="5040" w:hanging="360"/>
      </w:pPr>
    </w:lvl>
    <w:lvl w:ilvl="7" w:tplc="7CE4CE0C">
      <w:start w:val="1"/>
      <w:numFmt w:val="bullet"/>
      <w:lvlText w:val="●"/>
      <w:lvlJc w:val="left"/>
      <w:pPr>
        <w:ind w:left="5760" w:hanging="360"/>
      </w:pPr>
    </w:lvl>
    <w:lvl w:ilvl="8" w:tplc="2E8C39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EB716B"/>
    <w:multiLevelType w:val="hybridMultilevel"/>
    <w:tmpl w:val="4204F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4D0382"/>
    <w:multiLevelType w:val="hybridMultilevel"/>
    <w:tmpl w:val="A85E870C"/>
    <w:lvl w:ilvl="0" w:tplc="41C4469C">
      <w:start w:val="1"/>
      <w:numFmt w:val="bullet"/>
      <w:lvlText w:val="•"/>
      <w:lvlJc w:val="left"/>
      <w:pPr>
        <w:ind w:left="720" w:hanging="360"/>
      </w:pPr>
    </w:lvl>
    <w:lvl w:ilvl="1" w:tplc="2A8CB818">
      <w:start w:val="1"/>
      <w:numFmt w:val="bullet"/>
      <w:lvlText w:val="◦"/>
      <w:lvlJc w:val="left"/>
      <w:pPr>
        <w:ind w:left="1440" w:hanging="360"/>
      </w:pPr>
    </w:lvl>
    <w:lvl w:ilvl="2" w:tplc="1988CF02">
      <w:start w:val="1"/>
      <w:numFmt w:val="bullet"/>
      <w:lvlText w:val="•"/>
      <w:lvlJc w:val="left"/>
      <w:pPr>
        <w:ind w:left="2160" w:hanging="360"/>
      </w:pPr>
    </w:lvl>
    <w:lvl w:ilvl="3" w:tplc="22F45394">
      <w:start w:val="1"/>
      <w:numFmt w:val="bullet"/>
      <w:lvlText w:val="◦"/>
      <w:lvlJc w:val="left"/>
      <w:pPr>
        <w:ind w:left="2880" w:hanging="360"/>
      </w:pPr>
    </w:lvl>
    <w:lvl w:ilvl="4" w:tplc="CF44FB6E">
      <w:start w:val="1"/>
      <w:numFmt w:val="bullet"/>
      <w:lvlText w:val="•"/>
      <w:lvlJc w:val="left"/>
      <w:pPr>
        <w:ind w:left="3600" w:hanging="360"/>
      </w:pPr>
    </w:lvl>
    <w:lvl w:ilvl="5" w:tplc="3D541BF6">
      <w:start w:val="1"/>
      <w:numFmt w:val="bullet"/>
      <w:lvlText w:val="◦"/>
      <w:lvlJc w:val="left"/>
      <w:pPr>
        <w:ind w:left="4320" w:hanging="360"/>
      </w:pPr>
    </w:lvl>
    <w:lvl w:ilvl="6" w:tplc="FEF0D60C">
      <w:start w:val="1"/>
      <w:numFmt w:val="bullet"/>
      <w:lvlText w:val="•"/>
      <w:lvlJc w:val="left"/>
      <w:pPr>
        <w:ind w:left="5040" w:hanging="360"/>
      </w:pPr>
    </w:lvl>
    <w:lvl w:ilvl="7" w:tplc="0C5A4FF0">
      <w:numFmt w:val="decimal"/>
      <w:lvlText w:val=""/>
      <w:lvlJc w:val="left"/>
    </w:lvl>
    <w:lvl w:ilvl="8" w:tplc="0CBA991E">
      <w:numFmt w:val="decimal"/>
      <w:lvlText w:val=""/>
      <w:lvlJc w:val="left"/>
    </w:lvl>
  </w:abstractNum>
  <w:abstractNum w:abstractNumId="3" w15:restartNumberingAfterBreak="0">
    <w:nsid w:val="6DCC0B12"/>
    <w:multiLevelType w:val="multilevel"/>
    <w:tmpl w:val="B94647D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B6B"/>
    <w:rsid w:val="00351C11"/>
    <w:rsid w:val="007D6707"/>
    <w:rsid w:val="008D1F91"/>
    <w:rsid w:val="00956DF8"/>
    <w:rsid w:val="009875A2"/>
    <w:rsid w:val="00A81995"/>
    <w:rsid w:val="00B15B6B"/>
    <w:rsid w:val="00D4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29C7"/>
  <w15:docId w15:val="{8C4927A6-EB72-4D7A-B9EE-50C15E3BF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table" w:styleId="TableGrid">
    <w:name w:val="Table Grid"/>
    <w:basedOn w:val="TableNormal"/>
    <w:uiPriority w:val="39"/>
    <w:rsid w:val="009875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4E7F0-670E-4DCB-8C6B-E24ED2DF8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4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>SACC</Company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mohamed elsanhoury</cp:lastModifiedBy>
  <cp:revision>3</cp:revision>
  <dcterms:created xsi:type="dcterms:W3CDTF">2026-03-07T01:54:00Z</dcterms:created>
  <dcterms:modified xsi:type="dcterms:W3CDTF">2026-03-09T04:05:00Z</dcterms:modified>
</cp:coreProperties>
</file>