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37A8B2E1" w14:textId="77777777">
        <w:tc>
          <w:tcPr>
            <w:tcW w:w="2500" w:type="pct"/>
            <w:tcBorders>
              <w:top w:val="nil"/>
              <w:left w:val="nil"/>
              <w:bottom w:val="nil"/>
              <w:right w:val="nil"/>
            </w:tcBorders>
            <w:tcMar>
              <w:top w:w="90" w:type="dxa"/>
              <w:left w:w="150" w:type="dxa"/>
              <w:bottom w:w="225" w:type="dxa"/>
              <w:right w:w="150" w:type="dxa"/>
            </w:tcMar>
            <w:vAlign w:val="center"/>
            <w:hideMark/>
          </w:tcPr>
          <w:p w14:paraId="17691938" w14:textId="77777777" w:rsidR="00000000" w:rsidRDefault="00000000">
            <w:pPr>
              <w:bidi/>
              <w:spacing w:before="225" w:after="300"/>
              <w:rPr>
                <w:rFonts w:ascii="Traditional Arabic" w:eastAsia="Times New Roman" w:hAnsi="Traditional Arabic" w:cs="Traditional Arabic"/>
              </w:rPr>
            </w:pPr>
            <w:r>
              <w:rPr>
                <w:rFonts w:ascii="Traditional Arabic" w:eastAsia="Times New Roman" w:hAnsi="Traditional Arabic" w:cs="Traditional Arabic"/>
                <w:noProof/>
              </w:rPr>
              <w:drawing>
                <wp:inline distT="0" distB="0" distL="0" distR="0" wp14:anchorId="38C28FCE" wp14:editId="18280AF8">
                  <wp:extent cx="1426845" cy="762000"/>
                  <wp:effectExtent l="0" t="0" r="1905"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6845" cy="762000"/>
                          </a:xfrm>
                          <a:prstGeom prst="rect">
                            <a:avLst/>
                          </a:prstGeom>
                          <a:noFill/>
                          <a:ln>
                            <a:noFill/>
                          </a:ln>
                        </pic:spPr>
                      </pic:pic>
                    </a:graphicData>
                  </a:graphic>
                </wp:inline>
              </w:drawing>
            </w:r>
          </w:p>
        </w:tc>
        <w:tc>
          <w:tcPr>
            <w:tcW w:w="2500" w:type="pct"/>
            <w:tcBorders>
              <w:top w:val="nil"/>
              <w:left w:val="nil"/>
              <w:bottom w:val="nil"/>
              <w:right w:val="nil"/>
            </w:tcBorders>
            <w:tcMar>
              <w:top w:w="90" w:type="dxa"/>
              <w:left w:w="150" w:type="dxa"/>
              <w:bottom w:w="225" w:type="dxa"/>
              <w:right w:w="150" w:type="dxa"/>
            </w:tcMar>
            <w:vAlign w:val="center"/>
            <w:hideMark/>
          </w:tcPr>
          <w:p w14:paraId="35F94A6B" w14:textId="77777777" w:rsidR="00000000" w:rsidRDefault="00000000">
            <w:pPr>
              <w:bidi/>
              <w:spacing w:before="225" w:after="300"/>
              <w:jc w:val="right"/>
              <w:rPr>
                <w:rFonts w:ascii="Traditional Arabic" w:eastAsia="Times New Roman" w:hAnsi="Traditional Arabic" w:cs="Traditional Arabic"/>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rPr>
              <w:t xml:space="preserve"> </w:t>
            </w:r>
          </w:p>
        </w:tc>
      </w:tr>
    </w:tbl>
    <w:p w14:paraId="5DE32A91" w14:textId="77777777" w:rsidR="00000000" w:rsidRDefault="00000000">
      <w:pPr>
        <w:bidi/>
        <w:spacing w:before="600" w:after="100" w:afterAutospacing="1"/>
        <w:jc w:val="center"/>
        <w:outlineLvl w:val="1"/>
        <w:divId w:val="1616210441"/>
        <w:rPr>
          <w:rFonts w:ascii="Traditional Arabic" w:eastAsia="Times New Roman" w:hAnsi="Traditional Arabic" w:cs="Traditional Arabic"/>
          <w:b/>
          <w:bCs/>
          <w:kern w:val="36"/>
          <w:sz w:val="39"/>
          <w:szCs w:val="39"/>
          <w:lang w:bidi="ar"/>
        </w:rPr>
      </w:pPr>
      <w:r>
        <w:rPr>
          <w:rFonts w:ascii="Traditional Arabic" w:eastAsia="Times New Roman" w:hAnsi="Traditional Arabic" w:cs="Traditional Arabic"/>
          <w:b/>
          <w:bCs/>
          <w:kern w:val="36"/>
          <w:sz w:val="39"/>
          <w:szCs w:val="39"/>
          <w:rtl/>
          <w:lang w:bidi="ar"/>
        </w:rPr>
        <w:t>سياسة الإبلاغ عن المخالفات وحماية مقدمي البلاغات</w:t>
      </w:r>
    </w:p>
    <w:p w14:paraId="6EE4EBCB" w14:textId="77777777" w:rsidR="00000000" w:rsidRDefault="00000000">
      <w:pPr>
        <w:bidi/>
        <w:spacing w:before="120" w:after="120"/>
        <w:jc w:val="center"/>
        <w:divId w:val="1616210441"/>
        <w:rPr>
          <w:rFonts w:ascii="Traditional Arabic" w:hAnsi="Traditional Arabic" w:cs="Traditional Arabic"/>
          <w:rtl/>
          <w:lang w:bidi="ar"/>
        </w:rPr>
      </w:pPr>
      <w:r>
        <w:rPr>
          <w:rFonts w:ascii="Traditional Arabic" w:hAnsi="Traditional Arabic" w:cs="Traditional Arabic"/>
          <w:rtl/>
          <w:lang w:bidi="ar"/>
        </w:rPr>
        <w:t>هذه السياسة معتمدة من قبل مجلس الأمناء بتاريخ ...... / ...... / 144.. هـ</w:t>
      </w:r>
    </w:p>
    <w:p w14:paraId="5F36B2E5" w14:textId="77777777" w:rsidR="00000000" w:rsidRDefault="00000000">
      <w:pPr>
        <w:bidi/>
        <w:spacing w:before="120" w:after="120"/>
        <w:jc w:val="center"/>
        <w:divId w:val="1616210441"/>
        <w:rPr>
          <w:rFonts w:ascii="Traditional Arabic" w:hAnsi="Traditional Arabic" w:cs="Traditional Arabic"/>
          <w:rtl/>
          <w:lang w:bidi="ar"/>
        </w:rPr>
      </w:pPr>
      <w:r>
        <w:rPr>
          <w:rFonts w:ascii="Traditional Arabic" w:hAnsi="Traditional Arabic" w:cs="Traditional Arabic"/>
          <w:rtl/>
          <w:lang w:bidi="ar"/>
        </w:rPr>
        <w:t>نسخة رقم (1)</w:t>
      </w:r>
    </w:p>
    <w:p w14:paraId="5079E79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المادة الأولى: التمهيد</w:t>
      </w:r>
    </w:p>
    <w:p w14:paraId="6FB7458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توجب سياسة الإبلاغ عن المخالفات وحماية مقدمي البلاغات للصندوق العائلي على أعضاء مجلس الأمناء والمسؤول التنفيذي وموظفي ومتطوعي الصندوق العائلي الالتزام بمعايير عالية من الأخلاق الشخصية أثناء العمل وممارسة واجباتهم ومسؤولياتهم. وتضمن هذه السياسة أن يتم الإبلاغ في وقت مبكر عن أي مخالفة أو خطر جدي أو سوء تصرف محتمل قد تتعرض له الصندوق العائلي أو أصحاب المصلحة أو المستفيدون ومعالجة ذلك بشكل مناسب. كما يجب على كافة من يعمل لصالح الصندوق العائلي مراعاة قواعد الصدق والنزاهة أثناء أداء مسؤولياتهم والالتزام بكافة القوانين واللوائح المعمول بها. تهدف هذه السياسة إلى تشجيع كل من يعمل لصالح الصندوق العائلي على الإبلاغ عن أية مخاطر أو مخالفات، وطمأنتهم إلى أن القيام بهذا الأمر آمن ومقبول ولا ينطوي على أي مسؤولية. </w:t>
      </w:r>
    </w:p>
    <w:p w14:paraId="64F24D0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النطاق</w:t>
      </w:r>
    </w:p>
    <w:p w14:paraId="3E82571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تحدد هذه المادة الفئات التي تسري عليها السياسة، وهي تشمل:</w:t>
      </w:r>
    </w:p>
    <w:p w14:paraId="2954F59D"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جميع من يعمل لصالح الصندوق العائلي دون استثناء.</w:t>
      </w:r>
    </w:p>
    <w:p w14:paraId="3B5F4819"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أعضاء مجلس الأمناء، المسؤولين التنفيذيين، الموظفين، المتطوعين، والمستشارين.</w:t>
      </w:r>
    </w:p>
    <w:p w14:paraId="515DCC89"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أصحاب المصلحة الخارجيين مثل المستفيدين، المانحين، والمتبرعين.</w:t>
      </w:r>
    </w:p>
    <w:p w14:paraId="167C7B5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المخالفات</w:t>
      </w:r>
    </w:p>
    <w:p w14:paraId="40955F3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تشمل الممارسات الخاطئة أي مخالفات جنائية أو مالية أو إخلال بأي التزامات نظامية أو تشريعية أو متطلبات تنظيمية داخلية، أو تلك التي تشكل خطراً على الصحة أو السلامة أو البيئة. وتشمل المخالفات التي يتوجب الإبلاغ عنها، على سبيل المثال لا الحصر، ما يلي: </w:t>
      </w:r>
    </w:p>
    <w:p w14:paraId="3D72EFA4"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السلوك غير القانوني (بما في ذلك الرشوة أو الفساد) أو سوء التصرف.</w:t>
      </w:r>
    </w:p>
    <w:p w14:paraId="7D602990"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سوء التصرف المالي (بما في ذلك ادعاء النفقات الكاذبة، إساءة استخدام الأشياء القيّمة، عمليات غسل الأموال أو دعم لجهات مشبوهة).</w:t>
      </w:r>
    </w:p>
    <w:p w14:paraId="6D2761FC"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الإفصاح عن حالات تعارض المصالح، مثل استخدام شخص منصبه في الصندوق العائلي لتعزيز مصالحه الخاصة أو مصالح الآخرين فوق مصلحة الصندوق العائلي.</w:t>
      </w:r>
    </w:p>
    <w:p w14:paraId="1AE6F750"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إمكانية الاحتيال (بما في ذلك إضاعة أو إخفاء أو إتلاف الوثائق الرسمية).</w:t>
      </w:r>
    </w:p>
    <w:p w14:paraId="29AA67CB"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الجرائم الجنائية المرتكبة، أو التي يتم ارتكابها، أو التي يُحتمل ارتكابها أياً كان نوعها.</w:t>
      </w:r>
    </w:p>
    <w:p w14:paraId="095CA546"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الالتزام بالسياسات وأنظمة وقواعد الرقابة الداخلية أو تطبيقها بصورة غير صحيحة.</w:t>
      </w:r>
    </w:p>
    <w:p w14:paraId="423D2FB1"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الحصول على منافع أو مكافآت غير مستحقة من جهة خارجية لمنح تلك الجهة معاملة تفضيلية غير مبررة.</w:t>
      </w:r>
    </w:p>
    <w:p w14:paraId="405B7B28"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الإفصاح عن معلومات سرية بطريقة غير قانونية.</w:t>
      </w:r>
    </w:p>
    <w:p w14:paraId="10908FEA"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التلاعب بالبيانات المحاسبية.</w:t>
      </w:r>
    </w:p>
    <w:p w14:paraId="14EDCA72"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تهديد صحة الموظفين وسلامتهم.</w:t>
      </w:r>
    </w:p>
    <w:p w14:paraId="017C2101"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انتهاك قواعد السلوك المهني والسلوك غير الأخلاقي.</w:t>
      </w:r>
    </w:p>
    <w:p w14:paraId="120ACF93"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سوء استخدام الصلاحيات أو السلطات القانونية.</w:t>
      </w:r>
    </w:p>
    <w:p w14:paraId="43C9F453"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مؤامرة الصمت والتستر فيما يتعلق بأي من المسائل المذكورة أعلاه.</w:t>
      </w:r>
    </w:p>
    <w:p w14:paraId="35AEE2C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الضمانات وحماية المُبلِّغ</w:t>
      </w:r>
    </w:p>
    <w:p w14:paraId="113F3E3F"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الأهداف الأساسية:</w:t>
      </w:r>
      <w:r>
        <w:rPr>
          <w:rFonts w:ascii="Traditional Arabic" w:eastAsia="Times New Roman" w:hAnsi="Traditional Arabic" w:cs="Traditional Arabic"/>
          <w:rtl/>
          <w:lang w:bidi="ar"/>
        </w:rPr>
        <w:t xml:space="preserve"> تهدف هذه السياسة إلى إتاحة الفرصة لكل من يعمل لصالح الصندوق العائلي للإبلاغ عن المخالفات.</w:t>
      </w:r>
    </w:p>
    <w:p w14:paraId="4243A8B7"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الحماية من الانتقام:</w:t>
      </w:r>
      <w:r>
        <w:rPr>
          <w:rFonts w:ascii="Traditional Arabic" w:eastAsia="Times New Roman" w:hAnsi="Traditional Arabic" w:cs="Traditional Arabic"/>
          <w:rtl/>
          <w:lang w:bidi="ar"/>
        </w:rPr>
        <w:t xml:space="preserve"> تضمن السياسة عدم تعرض مقدم البلاغ للانتقام أو الإيذاء.</w:t>
      </w:r>
    </w:p>
    <w:p w14:paraId="38AC464E"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الأمان الوظيفي والاجتماعي:</w:t>
      </w:r>
      <w:r>
        <w:rPr>
          <w:rFonts w:ascii="Traditional Arabic" w:eastAsia="Times New Roman" w:hAnsi="Traditional Arabic" w:cs="Traditional Arabic"/>
          <w:rtl/>
          <w:lang w:bidi="ar"/>
        </w:rPr>
        <w:t xml:space="preserve"> تضمن السياسة عدم تعرض المُبلِّغ لخطر فقدان وظيفته، منصبه، مكانته الاجتماعية، أو أي شكل من أشكال العقاب.</w:t>
      </w:r>
    </w:p>
    <w:p w14:paraId="4411DF4D"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شرط حسن النية:</w:t>
      </w:r>
      <w:r>
        <w:rPr>
          <w:rFonts w:ascii="Traditional Arabic" w:eastAsia="Times New Roman" w:hAnsi="Traditional Arabic" w:cs="Traditional Arabic"/>
          <w:rtl/>
          <w:lang w:bidi="ar"/>
        </w:rPr>
        <w:t xml:space="preserve"> تُفعَّل هذه الحماية شريطة الإبلاغ بحسن نية وتوفر معطيات اشتباه صادقة، ولا يضر إذا اتضح لاحقاً أن المُبلِّغ كان مخطئاً.</w:t>
      </w:r>
    </w:p>
    <w:p w14:paraId="7CB052F4"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سرية الهوية:</w:t>
      </w:r>
      <w:r>
        <w:rPr>
          <w:rFonts w:ascii="Traditional Arabic" w:eastAsia="Times New Roman" w:hAnsi="Traditional Arabic" w:cs="Traditional Arabic"/>
          <w:rtl/>
          <w:lang w:bidi="ar"/>
        </w:rPr>
        <w:t xml:space="preserve"> تضمن السياسة عدم الكشف عن هوية مقدم البلاغ عند رغبته في ذلك، ما لم ينص القانون على خلاف ذلك.</w:t>
      </w:r>
    </w:p>
    <w:p w14:paraId="136B4D82"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بذل الجهود للمحافظة على الكتمان:</w:t>
      </w:r>
      <w:r>
        <w:rPr>
          <w:rFonts w:ascii="Traditional Arabic" w:eastAsia="Times New Roman" w:hAnsi="Traditional Arabic" w:cs="Traditional Arabic"/>
          <w:rtl/>
          <w:lang w:bidi="ar"/>
        </w:rPr>
        <w:t xml:space="preserve"> سيتم بذل كل جهد ممكن ومناسب للمحافظة على سرية هوية المُبلِّغ.</w:t>
      </w:r>
    </w:p>
    <w:p w14:paraId="1689393D"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الاستثناءات القانونية:</w:t>
      </w:r>
      <w:r>
        <w:rPr>
          <w:rFonts w:ascii="Traditional Arabic" w:eastAsia="Times New Roman" w:hAnsi="Traditional Arabic" w:cs="Traditional Arabic"/>
          <w:rtl/>
          <w:lang w:bidi="ar"/>
        </w:rPr>
        <w:t xml:space="preserve"> في حالات معينة، قد يتوجب كشف الهوية، مثل الضرورة أمام محكمة مختصة.</w:t>
      </w:r>
    </w:p>
    <w:p w14:paraId="296597CD"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مسؤوليات مقدم البلاغ:</w:t>
      </w:r>
      <w:r>
        <w:rPr>
          <w:rFonts w:ascii="Traditional Arabic" w:eastAsia="Times New Roman" w:hAnsi="Traditional Arabic" w:cs="Traditional Arabic"/>
          <w:rtl/>
          <w:lang w:bidi="ar"/>
        </w:rPr>
        <w:t xml:space="preserve"> يتوجب على المُبلِّغ المحافظة على سرية البلاغ وعدم كشفه لأي موظف أو شخص آخر.</w:t>
      </w:r>
    </w:p>
    <w:p w14:paraId="397D679E"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يُحظر على المُبلِّغ إجراء أية تحقيقات بنفسه حول البلاغ.</w:t>
      </w:r>
    </w:p>
    <w:p w14:paraId="1AFCF191"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ضمان عدم الإيذاء:</w:t>
      </w:r>
      <w:r>
        <w:rPr>
          <w:rFonts w:ascii="Traditional Arabic" w:eastAsia="Times New Roman" w:hAnsi="Traditional Arabic" w:cs="Traditional Arabic"/>
          <w:rtl/>
          <w:lang w:bidi="ar"/>
        </w:rPr>
        <w:t xml:space="preserve"> تؤكد السياسة مجدداً التزامها بعدم إيذاء مقدم البلاغ بسبب إبلاغه عن المخالفات وفقاً لهذه المعايير.</w:t>
      </w:r>
    </w:p>
    <w:p w14:paraId="74CC00F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إجراءات الإبلاغ عن مخالفة</w:t>
      </w:r>
    </w:p>
    <w:p w14:paraId="514F0EC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يجب على "مقدم البلاغ" اتباع ما يلي:</w:t>
      </w:r>
    </w:p>
    <w:p w14:paraId="60F5CCF7"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يُفضَّل الإبلاغ عن المخالفة بصورة مبكرة لتسهيل اتخاذ الإجراء المناسب في حينه.</w:t>
      </w:r>
    </w:p>
    <w:p w14:paraId="50C50B2D"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يُشترط من مقدم البلاغ إثبات صحة البلاغ، ولكن يجب أن يثبت أنه قدّمه بحسن نية.</w:t>
      </w:r>
    </w:p>
    <w:p w14:paraId="324AA952"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تقديم البلاغ خطياً باستخدام النموذج المرفق.</w:t>
      </w:r>
    </w:p>
    <w:p w14:paraId="754E7ECF"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يُرسَل البلاغ إلى البريد الإلكتروني الخاص بالصندوق والمُعَد لهذا الغرض.</w:t>
      </w:r>
    </w:p>
    <w:p w14:paraId="5F63CB1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معالجة البلاغ</w:t>
      </w:r>
    </w:p>
    <w:p w14:paraId="127380A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يعتمد الإجراء المتخذ بخصوص الإبلاغ عن أي مخالفة وفق هذه السياسة على طبيعة المخالفة ذاتها؛ إذ قد يتطلب ذلك إجراء مراجعة غير رسمية أو تدقيقاً داخلياً أو تحقيقاً رسمياً. ويتم اتباع الخطوات التالية في معالجة أي بلاغ: </w:t>
      </w:r>
    </w:p>
    <w:p w14:paraId="741C840D"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يقوم المسؤول المختص عند استلام البلاغات بإطلاع رئيس مجلس الأمناء والمسؤول التنفيذي للصندوق العائلي - إذا لم يكن البلاغ موجهاً ضد الآخرين - على مضمون البلاغ خلال أسبوع من استلامه.</w:t>
      </w:r>
    </w:p>
    <w:p w14:paraId="0502D5B2"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إجراء مراجعة أولية لتحديد ما إذا كان يتوجب إجراء تحقيق، والشكل الذي يجب أن يتخذه. ويمكن حل بعض البلاغات دون الحاجة إلى إجراء تحقيق.</w:t>
      </w:r>
    </w:p>
    <w:p w14:paraId="58CCC197"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تُزوَّد مقدم البلاغ خلال 10 أيام بإشعار استلام البلاغ ورقمه للتواصل.</w:t>
      </w:r>
    </w:p>
    <w:p w14:paraId="422B92F9"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تبيّن أن البلاغ غير مبرر، فلن يتم إجراء أي تحقيق إضافي، ويكون هذا القرار نهائياً وغير قابل لإعادة النظر ما لم تُقدَّم إثباتات إضافية بخصوص البلاغ.</w:t>
      </w:r>
    </w:p>
    <w:p w14:paraId="1CB2417C"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تبيّن أن البلاغ يستند إلى معطيات معقولة ومبررة، يتم إحالة البلاغ إلى المسؤول المختص للتحقيق فيه وإصدار التوصية المناسبة.</w:t>
      </w:r>
    </w:p>
    <w:p w14:paraId="7D870284"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يجب على المسؤول المختص الانتهاء من التحقيق في البلاغ وإصدار التوصية خلال عشرة أيام عمل من تاريخ إحالة البلاغ.</w:t>
      </w:r>
    </w:p>
    <w:p w14:paraId="3F78854E"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يرفع المسؤول المختص توصياته إلى رئيس المجلس للمصادقة والاعتماد.</w:t>
      </w:r>
    </w:p>
    <w:p w14:paraId="0D9EC4DA"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تحديد الإجراءات التأديبية المترتبة على المخالفة وفق سياسة الجزاءات الإدارية في الصندوق العائلي وقانون العمل الساري المفعول.</w:t>
      </w:r>
    </w:p>
    <w:p w14:paraId="1EF28590"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متى كان ذلك ممكناً، يُزوَّد مقدم البلاغ بمعطيات عن أي تحقيق يتم إجراؤه. ومع ذلك، لا يجوز إعلام مقدم البلاغ بأي إجراءات تأديبية أو غيرها مما قد يترتب عليه إخلال الصندوق العائلي بالتزامات السرية تجاه شخص آخر.</w:t>
      </w:r>
    </w:p>
    <w:p w14:paraId="58FA98C9"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يلتزم الصندوق العائلي بالتعامل مع الإبلاغ عن أي مخالفة بطريقة عادلة ومناسبة، ولكنها لا تضمن أن تنسجم طريقة معالجة البلاغ مع رغبات مقدم البلاغ.</w:t>
      </w:r>
    </w:p>
    <w:p w14:paraId="20C44F0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نموذج إبلاغ عن مخالفة</w:t>
      </w:r>
    </w:p>
    <w:p w14:paraId="2619A57A" w14:textId="77777777" w:rsidR="00000000" w:rsidRDefault="00000000">
      <w:pPr>
        <w:pStyle w:val="Heading2"/>
        <w:bidi/>
        <w:rPr>
          <w:rFonts w:ascii="Traditional Arabic" w:eastAsia="Times New Roman" w:hAnsi="Traditional Arabic" w:cs="Traditional Arabic"/>
          <w:sz w:val="24"/>
          <w:szCs w:val="24"/>
          <w:rtl/>
          <w:lang w:bidi="ar"/>
        </w:rPr>
      </w:pPr>
      <w:r>
        <w:rPr>
          <w:rFonts w:ascii="Traditional Arabic" w:eastAsia="Times New Roman" w:hAnsi="Traditional Arabic" w:cs="Traditional Arabic"/>
          <w:sz w:val="24"/>
          <w:szCs w:val="24"/>
          <w:rtl/>
          <w:lang w:bidi="ar"/>
        </w:rPr>
        <w:t>معلومات مقدم البلاغ (هذا الجزء يمكن عدم تعبئته إذا لم يرغب مقدم البلاغ بكشف هويته)</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68DBC003" w14:textId="77777777">
        <w:tc>
          <w:tcPr>
            <w:tcW w:w="1500" w:type="pc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EE078C" w14:textId="77777777" w:rsidR="00000000" w:rsidRDefault="00000000">
            <w:pPr>
              <w:bidi/>
              <w:spacing w:before="225" w:after="225"/>
              <w:rPr>
                <w:rFonts w:ascii="Traditional Arabic" w:eastAsia="Times New Roman" w:hAnsi="Traditional Arabic" w:cs="Traditional Arabic"/>
                <w:rtl/>
              </w:rPr>
            </w:pPr>
            <w:r>
              <w:rPr>
                <w:rFonts w:ascii="Traditional Arabic" w:eastAsia="Times New Roman" w:hAnsi="Traditional Arabic" w:cs="Traditional Arabic"/>
                <w:rtl/>
              </w:rPr>
              <w:t>الاسم</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A4519E" w14:textId="77777777" w:rsidR="00000000" w:rsidRDefault="00000000">
            <w:pPr>
              <w:bidi/>
              <w:spacing w:before="225" w:after="225"/>
              <w:rPr>
                <w:rFonts w:ascii="Traditional Arabic" w:eastAsia="Times New Roman" w:hAnsi="Traditional Arabic" w:cs="Traditional Arabic"/>
              </w:rPr>
            </w:pPr>
          </w:p>
        </w:tc>
      </w:tr>
      <w:tr w:rsidR="00000000" w14:paraId="68C94B76"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6213F9"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الدور الوظيفي</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A50BFA" w14:textId="77777777" w:rsidR="00000000" w:rsidRDefault="00000000">
            <w:pPr>
              <w:bidi/>
              <w:spacing w:before="225" w:after="225"/>
              <w:rPr>
                <w:rFonts w:ascii="Traditional Arabic" w:eastAsia="Times New Roman" w:hAnsi="Traditional Arabic" w:cs="Traditional Arabic"/>
              </w:rPr>
            </w:pPr>
          </w:p>
        </w:tc>
      </w:tr>
      <w:tr w:rsidR="00000000" w14:paraId="03F1468D"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60DF50"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الإدارة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63B3B0" w14:textId="77777777" w:rsidR="00000000" w:rsidRDefault="00000000">
            <w:pPr>
              <w:bidi/>
              <w:spacing w:before="225" w:after="225"/>
              <w:rPr>
                <w:rFonts w:ascii="Traditional Arabic" w:eastAsia="Times New Roman" w:hAnsi="Traditional Arabic" w:cs="Traditional Arabic"/>
              </w:rPr>
            </w:pPr>
          </w:p>
        </w:tc>
      </w:tr>
      <w:tr w:rsidR="00000000" w14:paraId="1A78171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2C3A01"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رقم الهاتف</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BA2DB3" w14:textId="77777777" w:rsidR="00000000" w:rsidRDefault="00000000">
            <w:pPr>
              <w:bidi/>
              <w:spacing w:before="225" w:after="225"/>
              <w:rPr>
                <w:rFonts w:ascii="Traditional Arabic" w:eastAsia="Times New Roman" w:hAnsi="Traditional Arabic" w:cs="Traditional Arabic"/>
              </w:rPr>
            </w:pPr>
          </w:p>
        </w:tc>
      </w:tr>
      <w:tr w:rsidR="00000000" w14:paraId="41EB417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1B09A7"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البريد الإلكتروني</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4E10E8" w14:textId="77777777" w:rsidR="00000000" w:rsidRDefault="00000000">
            <w:pPr>
              <w:bidi/>
              <w:spacing w:before="225" w:after="225"/>
              <w:rPr>
                <w:rFonts w:ascii="Traditional Arabic" w:eastAsia="Times New Roman" w:hAnsi="Traditional Arabic" w:cs="Traditional Arabic"/>
              </w:rPr>
            </w:pPr>
          </w:p>
        </w:tc>
      </w:tr>
    </w:tbl>
    <w:p w14:paraId="793B3A02" w14:textId="77777777" w:rsidR="00000000" w:rsidRDefault="00000000">
      <w:pPr>
        <w:pStyle w:val="Heading2"/>
        <w:bidi/>
        <w:rPr>
          <w:rFonts w:ascii="Traditional Arabic" w:eastAsia="Times New Roman" w:hAnsi="Traditional Arabic" w:cs="Traditional Arabic"/>
          <w:sz w:val="24"/>
          <w:szCs w:val="24"/>
          <w:lang w:bidi="ar"/>
        </w:rPr>
      </w:pPr>
      <w:r>
        <w:rPr>
          <w:rFonts w:ascii="Traditional Arabic" w:eastAsia="Times New Roman" w:hAnsi="Traditional Arabic" w:cs="Traditional Arabic"/>
          <w:sz w:val="24"/>
          <w:szCs w:val="24"/>
          <w:rtl/>
          <w:lang w:bidi="ar"/>
        </w:rPr>
        <w:t>التفاصيل</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77C52707" w14:textId="77777777">
        <w:tc>
          <w:tcPr>
            <w:tcW w:w="1500" w:type="pc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2D5F60" w14:textId="77777777" w:rsidR="00000000" w:rsidRDefault="00000000">
            <w:pPr>
              <w:bidi/>
              <w:spacing w:before="225" w:after="225"/>
              <w:rPr>
                <w:rFonts w:ascii="Traditional Arabic" w:eastAsia="Times New Roman" w:hAnsi="Traditional Arabic" w:cs="Traditional Arabic"/>
                <w:rtl/>
              </w:rPr>
            </w:pPr>
            <w:r>
              <w:rPr>
                <w:rFonts w:ascii="Traditional Arabic" w:eastAsia="Times New Roman" w:hAnsi="Traditional Arabic" w:cs="Traditional Arabic"/>
                <w:rtl/>
              </w:rPr>
              <w:t>طبيعة ونوع المخالفة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B0E16F" w14:textId="77777777" w:rsidR="00000000" w:rsidRDefault="00000000">
            <w:pPr>
              <w:bidi/>
              <w:spacing w:before="225" w:after="225"/>
              <w:rPr>
                <w:rFonts w:ascii="Traditional Arabic" w:eastAsia="Times New Roman" w:hAnsi="Traditional Arabic" w:cs="Traditional Arabic"/>
              </w:rPr>
            </w:pPr>
          </w:p>
        </w:tc>
      </w:tr>
      <w:tr w:rsidR="00000000" w14:paraId="392A585A"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77313A"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تاريخ ارتكاب المخالفة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A85750" w14:textId="77777777" w:rsidR="00000000" w:rsidRDefault="00000000">
            <w:pPr>
              <w:bidi/>
              <w:spacing w:before="225" w:after="225"/>
              <w:rPr>
                <w:rFonts w:ascii="Traditional Arabic" w:eastAsia="Times New Roman" w:hAnsi="Traditional Arabic" w:cs="Traditional Arabic"/>
              </w:rPr>
            </w:pPr>
          </w:p>
        </w:tc>
      </w:tr>
      <w:tr w:rsidR="00000000" w14:paraId="6DBC17F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8C48B1"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مكان حدوث المخالفة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CD7988" w14:textId="77777777" w:rsidR="00000000" w:rsidRDefault="00000000">
            <w:pPr>
              <w:bidi/>
              <w:spacing w:before="225" w:after="225"/>
              <w:rPr>
                <w:rFonts w:ascii="Traditional Arabic" w:eastAsia="Times New Roman" w:hAnsi="Traditional Arabic" w:cs="Traditional Arabic"/>
              </w:rPr>
            </w:pPr>
          </w:p>
        </w:tc>
      </w:tr>
      <w:tr w:rsidR="00000000" w14:paraId="0BE8A2E1"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F05C75"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معلومات مرتكب المخالفة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17ECEB" w14:textId="77777777" w:rsidR="00000000" w:rsidRDefault="00000000">
            <w:pPr>
              <w:bidi/>
              <w:spacing w:before="225" w:after="225"/>
              <w:rPr>
                <w:rFonts w:ascii="Traditional Arabic" w:eastAsia="Times New Roman" w:hAnsi="Traditional Arabic" w:cs="Traditional Arabic"/>
              </w:rPr>
            </w:pPr>
          </w:p>
        </w:tc>
      </w:tr>
      <w:tr w:rsidR="00000000" w14:paraId="56206B17"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BD4B5B"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معلومات الشهود إن وجدوا (بالإمكان إرفاق ورقة إضافية في حال وجود أكثر من شاهد)</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00D60C" w14:textId="77777777" w:rsidR="00000000" w:rsidRDefault="00000000">
            <w:pPr>
              <w:bidi/>
              <w:spacing w:before="225" w:after="225"/>
              <w:rPr>
                <w:rFonts w:ascii="Traditional Arabic" w:eastAsia="Times New Roman" w:hAnsi="Traditional Arabic" w:cs="Traditional Arabic"/>
              </w:rPr>
            </w:pPr>
          </w:p>
        </w:tc>
      </w:tr>
      <w:tr w:rsidR="00000000" w14:paraId="7C8CDB3F"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B93E4D"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بيانات أو مستندات تثبت ارتكاب المخالفة (مرفقة)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97EDDC" w14:textId="77777777" w:rsidR="00000000" w:rsidRDefault="00000000">
            <w:pPr>
              <w:bidi/>
              <w:spacing w:before="225" w:after="225"/>
              <w:rPr>
                <w:rFonts w:ascii="Traditional Arabic" w:eastAsia="Times New Roman" w:hAnsi="Traditional Arabic" w:cs="Traditional Arabic"/>
              </w:rPr>
            </w:pPr>
          </w:p>
        </w:tc>
      </w:tr>
      <w:tr w:rsidR="00000000" w14:paraId="545D2F4E"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C40748"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أسماء أشخاص آخرين اشتركوا في ارتكاب المخالفة</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5837AF" w14:textId="77777777" w:rsidR="00000000" w:rsidRDefault="00000000">
            <w:pPr>
              <w:bidi/>
              <w:spacing w:before="225" w:after="225"/>
              <w:rPr>
                <w:rFonts w:ascii="Traditional Arabic" w:eastAsia="Times New Roman" w:hAnsi="Traditional Arabic" w:cs="Traditional Arabic"/>
              </w:rPr>
            </w:pPr>
          </w:p>
        </w:tc>
      </w:tr>
      <w:tr w:rsidR="00000000" w14:paraId="0D09B078" w14:textId="77777777">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ECB18F" w14:textId="77777777" w:rsidR="00000000" w:rsidRDefault="00000000">
            <w:pPr>
              <w:bidi/>
              <w:spacing w:before="225" w:after="225"/>
              <w:rPr>
                <w:rFonts w:ascii="Traditional Arabic" w:eastAsia="Times New Roman" w:hAnsi="Traditional Arabic" w:cs="Traditional Arabic"/>
              </w:rPr>
            </w:pPr>
            <w:r>
              <w:rPr>
                <w:rFonts w:ascii="Traditional Arabic" w:eastAsia="Times New Roman" w:hAnsi="Traditional Arabic" w:cs="Traditional Arabic"/>
                <w:rtl/>
              </w:rPr>
              <w:t>أية معلومات أو تفاصيل أخرى</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6475D8" w14:textId="77777777" w:rsidR="00000000" w:rsidRDefault="00000000">
            <w:pPr>
              <w:bidi/>
              <w:spacing w:before="225" w:after="225"/>
              <w:rPr>
                <w:rFonts w:ascii="Traditional Arabic" w:eastAsia="Times New Roman" w:hAnsi="Traditional Arabic" w:cs="Traditional Arabic"/>
              </w:rPr>
            </w:pPr>
          </w:p>
        </w:tc>
      </w:tr>
    </w:tbl>
    <w:p w14:paraId="47C3ACA2" w14:textId="77777777" w:rsidR="00242C1C" w:rsidRDefault="00000000">
      <w:pPr>
        <w:pStyle w:val="sig-line"/>
        <w:bidi/>
        <w:spacing w:after="120"/>
        <w:jc w:val="both"/>
        <w:rPr>
          <w:rFonts w:ascii="Traditional Arabic" w:hAnsi="Traditional Arabic" w:cs="Traditional Arabic"/>
          <w:lang w:bidi="ar"/>
        </w:rPr>
      </w:pPr>
      <w:r>
        <w:rPr>
          <w:rFonts w:ascii="Traditional Arabic" w:hAnsi="Traditional Arabic" w:cs="Traditional Arabic"/>
          <w:rtl/>
          <w:lang w:bidi="ar"/>
        </w:rPr>
        <w:t>تاريخ تقديم البلاغ بتاريخ: ...... / ...... / 1447 هـ        التوقيع: ..........................</w:t>
      </w:r>
    </w:p>
    <w:sectPr w:rsidR="00242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8D6"/>
    <w:multiLevelType w:val="multilevel"/>
    <w:tmpl w:val="D44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C9F"/>
    <w:multiLevelType w:val="multilevel"/>
    <w:tmpl w:val="493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50508"/>
    <w:multiLevelType w:val="multilevel"/>
    <w:tmpl w:val="4AC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F50B7"/>
    <w:multiLevelType w:val="multilevel"/>
    <w:tmpl w:val="77D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F3DBA"/>
    <w:multiLevelType w:val="multilevel"/>
    <w:tmpl w:val="780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80548"/>
    <w:multiLevelType w:val="multilevel"/>
    <w:tmpl w:val="06B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347750">
    <w:abstractNumId w:val="5"/>
  </w:num>
  <w:num w:numId="2" w16cid:durableId="585503132">
    <w:abstractNumId w:val="4"/>
  </w:num>
  <w:num w:numId="3" w16cid:durableId="222257124">
    <w:abstractNumId w:val="3"/>
  </w:num>
  <w:num w:numId="4" w16cid:durableId="1400710746">
    <w:abstractNumId w:val="1"/>
  </w:num>
  <w:num w:numId="5" w16cid:durableId="2087460836">
    <w:abstractNumId w:val="0"/>
  </w:num>
  <w:num w:numId="6" w16cid:durableId="414515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4F0"/>
    <w:rsid w:val="00242C1C"/>
    <w:rsid w:val="004E34F0"/>
    <w:rsid w:val="00DE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20CF6"/>
  <w15:chartTrackingRefBased/>
  <w15:docId w15:val="{7DF96F7B-1904-491C-9E41-36EF1BF2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100" w:afterAutospacing="1"/>
      <w:jc w:val="center"/>
      <w:outlineLvl w:val="0"/>
    </w:pPr>
    <w:rPr>
      <w:b/>
      <w:bCs/>
      <w:kern w:val="36"/>
      <w:sz w:val="33"/>
      <w:szCs w:val="33"/>
    </w:rPr>
  </w:style>
  <w:style w:type="paragraph" w:styleId="Heading2">
    <w:name w:val="heading 2"/>
    <w:basedOn w:val="Normal"/>
    <w:link w:val="Heading2Char"/>
    <w:uiPriority w:val="9"/>
    <w:qFormat/>
    <w:pPr>
      <w:spacing w:before="375" w:after="100" w:afterAutospacing="1"/>
      <w:outlineLvl w:val="1"/>
    </w:pPr>
    <w:rPr>
      <w:b/>
      <w:bCs/>
      <w:color w:val="1F4E79"/>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
    <w:name w:val="cover"/>
    <w:basedOn w:val="Normal"/>
    <w:pPr>
      <w:spacing w:before="3300" w:after="60"/>
      <w:jc w:val="center"/>
    </w:pPr>
  </w:style>
  <w:style w:type="paragraph" w:customStyle="1" w:styleId="sig-line">
    <w:name w:val="sig-line"/>
    <w:basedOn w:val="Normal"/>
    <w:pPr>
      <w:spacing w:before="900" w:after="6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210441">
      <w:marLeft w:val="0"/>
      <w:marRight w:val="0"/>
      <w:marTop w:val="33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الإبلاغ عن المخالفات وحماية مقدمي البلاغات</dc:title>
  <dc:subject/>
  <dc:creator>Abdelrahman Wael Mohamed Salman Soliman</dc:creator>
  <cp:keywords/>
  <dc:description/>
  <cp:lastModifiedBy>Abdelrahman Wael Mohamed Salman Soliman</cp:lastModifiedBy>
  <cp:revision>2</cp:revision>
  <dcterms:created xsi:type="dcterms:W3CDTF">2026-08-19T19:37:00Z</dcterms:created>
  <dcterms:modified xsi:type="dcterms:W3CDTF">2026-08-19T19:37:00Z</dcterms:modified>
</cp:coreProperties>
</file>