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Borders>
          <w:bottom w:val="single" w:sz="12" w:space="0" w:color="000000"/>
        </w:tblBorders>
        <w:tblCellMar>
          <w:left w:w="0" w:type="dxa"/>
          <w:right w:w="0" w:type="dxa"/>
        </w:tblCellMar>
        <w:tblLook w:val="04A0" w:firstRow="1" w:lastRow="0" w:firstColumn="1" w:lastColumn="0" w:noHBand="0" w:noVBand="1"/>
      </w:tblPr>
      <w:tblGrid>
        <w:gridCol w:w="4680"/>
        <w:gridCol w:w="4680"/>
      </w:tblGrid>
      <w:tr w:rsidR="00000000" w14:paraId="53D29B77" w14:textId="77777777">
        <w:tc>
          <w:tcPr>
            <w:tcW w:w="2500" w:type="pct"/>
            <w:tcBorders>
              <w:top w:val="nil"/>
              <w:left w:val="nil"/>
              <w:bottom w:val="nil"/>
              <w:right w:val="nil"/>
            </w:tcBorders>
            <w:tcMar>
              <w:top w:w="90" w:type="dxa"/>
              <w:left w:w="150" w:type="dxa"/>
              <w:bottom w:w="225" w:type="dxa"/>
              <w:right w:w="150" w:type="dxa"/>
            </w:tcMar>
            <w:vAlign w:val="center"/>
            <w:hideMark/>
          </w:tcPr>
          <w:p w14:paraId="2CA49DBE" w14:textId="77777777" w:rsidR="00000000" w:rsidRDefault="00000000">
            <w:pPr>
              <w:bidi/>
              <w:spacing w:before="225" w:after="300"/>
              <w:rPr>
                <w:rFonts w:ascii="Traditional Arabic" w:eastAsia="Times New Roman" w:hAnsi="Traditional Arabic" w:cs="Traditional Arabic"/>
              </w:rPr>
            </w:pPr>
            <w:r>
              <w:rPr>
                <w:rFonts w:ascii="Traditional Arabic" w:eastAsia="Times New Roman" w:hAnsi="Traditional Arabic" w:cs="Traditional Arabic"/>
                <w:noProof/>
              </w:rPr>
              <w:drawing>
                <wp:inline distT="0" distB="0" distL="0" distR="0" wp14:anchorId="4D45D8EC" wp14:editId="7C830BB1">
                  <wp:extent cx="1426845" cy="762000"/>
                  <wp:effectExtent l="0" t="0" r="1905"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6845" cy="762000"/>
                          </a:xfrm>
                          <a:prstGeom prst="rect">
                            <a:avLst/>
                          </a:prstGeom>
                          <a:noFill/>
                          <a:ln>
                            <a:noFill/>
                          </a:ln>
                        </pic:spPr>
                      </pic:pic>
                    </a:graphicData>
                  </a:graphic>
                </wp:inline>
              </w:drawing>
            </w:r>
          </w:p>
        </w:tc>
        <w:tc>
          <w:tcPr>
            <w:tcW w:w="2500" w:type="pct"/>
            <w:tcBorders>
              <w:top w:val="nil"/>
              <w:left w:val="nil"/>
              <w:bottom w:val="nil"/>
              <w:right w:val="nil"/>
            </w:tcBorders>
            <w:tcMar>
              <w:top w:w="90" w:type="dxa"/>
              <w:left w:w="150" w:type="dxa"/>
              <w:bottom w:w="225" w:type="dxa"/>
              <w:right w:w="150" w:type="dxa"/>
            </w:tcMar>
            <w:vAlign w:val="center"/>
            <w:hideMark/>
          </w:tcPr>
          <w:p w14:paraId="42445DE3" w14:textId="77777777" w:rsidR="00000000" w:rsidRDefault="00000000">
            <w:pPr>
              <w:bidi/>
              <w:spacing w:before="225" w:after="300"/>
              <w:jc w:val="right"/>
              <w:rPr>
                <w:rFonts w:ascii="Traditional Arabic" w:eastAsia="Times New Roman" w:hAnsi="Traditional Arabic" w:cs="Traditional Arabic"/>
              </w:rPr>
            </w:pPr>
            <w:r>
              <w:rPr>
                <w:rStyle w:val="Strong"/>
                <w:rFonts w:ascii="Traditional Arabic" w:eastAsia="Times New Roman" w:hAnsi="Traditional Arabic" w:cs="Traditional Arabic"/>
                <w:color w:val="000000"/>
                <w:sz w:val="27"/>
                <w:szCs w:val="27"/>
                <w:rtl/>
              </w:rPr>
              <w:t>صندوق آل هويمل ( الألفة )</w:t>
            </w:r>
            <w:r>
              <w:rPr>
                <w:rFonts w:ascii="Traditional Arabic" w:eastAsia="Times New Roman" w:hAnsi="Traditional Arabic" w:cs="Traditional Arabic"/>
              </w:rPr>
              <w:br/>
            </w:r>
            <w:r>
              <w:rPr>
                <w:rStyle w:val="Strong"/>
                <w:rFonts w:ascii="Traditional Arabic" w:eastAsia="Times New Roman" w:hAnsi="Traditional Arabic" w:cs="Traditional Arabic"/>
                <w:color w:val="000000"/>
                <w:sz w:val="21"/>
                <w:szCs w:val="21"/>
                <w:rtl/>
              </w:rPr>
              <w:t>رقم الترخيص: ١٢٠٠٧٣٠٧٠٠</w:t>
            </w:r>
            <w:r>
              <w:rPr>
                <w:rFonts w:ascii="Traditional Arabic" w:eastAsia="Times New Roman" w:hAnsi="Traditional Arabic" w:cs="Traditional Arabic"/>
              </w:rPr>
              <w:t xml:space="preserve"> </w:t>
            </w:r>
          </w:p>
        </w:tc>
      </w:tr>
    </w:tbl>
    <w:p w14:paraId="51A30171" w14:textId="77777777" w:rsidR="00000000" w:rsidRDefault="00000000">
      <w:pPr>
        <w:bidi/>
        <w:spacing w:before="600" w:after="100" w:afterAutospacing="1"/>
        <w:jc w:val="center"/>
        <w:outlineLvl w:val="1"/>
        <w:divId w:val="201552023"/>
        <w:rPr>
          <w:rFonts w:ascii="Traditional Arabic" w:eastAsia="Times New Roman" w:hAnsi="Traditional Arabic" w:cs="Traditional Arabic"/>
          <w:b/>
          <w:bCs/>
          <w:kern w:val="36"/>
          <w:sz w:val="39"/>
          <w:szCs w:val="39"/>
          <w:lang w:bidi="ar"/>
        </w:rPr>
      </w:pPr>
      <w:r>
        <w:rPr>
          <w:rFonts w:ascii="Traditional Arabic" w:eastAsia="Times New Roman" w:hAnsi="Traditional Arabic" w:cs="Traditional Arabic"/>
          <w:b/>
          <w:bCs/>
          <w:kern w:val="36"/>
          <w:sz w:val="39"/>
          <w:szCs w:val="39"/>
          <w:rtl/>
          <w:lang w:bidi="ar"/>
        </w:rPr>
        <w:t>سياسة الاستثمار وتنمية الموارد</w:t>
      </w:r>
    </w:p>
    <w:p w14:paraId="757B2463" w14:textId="77777777" w:rsidR="00000000" w:rsidRDefault="00000000">
      <w:pPr>
        <w:bidi/>
        <w:spacing w:before="120" w:after="120"/>
        <w:jc w:val="center"/>
        <w:divId w:val="201552023"/>
        <w:rPr>
          <w:rFonts w:ascii="Traditional Arabic" w:hAnsi="Traditional Arabic" w:cs="Traditional Arabic"/>
          <w:rtl/>
          <w:lang w:bidi="ar"/>
        </w:rPr>
      </w:pPr>
      <w:r>
        <w:rPr>
          <w:rFonts w:ascii="Traditional Arabic" w:hAnsi="Traditional Arabic" w:cs="Traditional Arabic"/>
          <w:rtl/>
          <w:lang w:bidi="ar"/>
        </w:rPr>
        <w:t>هذه السياسة معتمدة من قبل مجلس الأمناء بتاريخ ...... / ...... / 1447 هـ</w:t>
      </w:r>
    </w:p>
    <w:p w14:paraId="102FF017" w14:textId="77777777" w:rsidR="00000000" w:rsidRDefault="00000000">
      <w:pPr>
        <w:bidi/>
        <w:spacing w:before="120" w:after="120"/>
        <w:jc w:val="center"/>
        <w:divId w:val="201552023"/>
        <w:rPr>
          <w:rFonts w:ascii="Traditional Arabic" w:hAnsi="Traditional Arabic" w:cs="Traditional Arabic"/>
          <w:rtl/>
          <w:lang w:bidi="ar"/>
        </w:rPr>
      </w:pPr>
      <w:r>
        <w:rPr>
          <w:rFonts w:ascii="Traditional Arabic" w:hAnsi="Traditional Arabic" w:cs="Traditional Arabic"/>
          <w:rtl/>
          <w:lang w:bidi="ar"/>
        </w:rPr>
        <w:t>نسخة رقم (1)</w:t>
      </w:r>
    </w:p>
    <w:p w14:paraId="1A1A5B3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r>
      <w:r>
        <w:rPr>
          <w:rFonts w:ascii="Traditional Arabic" w:eastAsia="Times New Roman" w:hAnsi="Traditional Arabic" w:cs="Traditional Arabic"/>
          <w:rtl/>
          <w:lang w:bidi="ar"/>
        </w:rPr>
        <w:lastRenderedPageBreak/>
        <w:t>المادة الأولى: التعريفات</w:t>
      </w:r>
    </w:p>
    <w:p w14:paraId="002A94BE"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الصندوق:</w:t>
      </w:r>
      <w:r>
        <w:rPr>
          <w:rFonts w:ascii="Traditional Arabic" w:hAnsi="Traditional Arabic" w:cs="Traditional Arabic"/>
          <w:rtl/>
          <w:lang w:bidi="ar"/>
        </w:rPr>
        <w:t xml:space="preserve"> صندوق آل هويمل (الألفة).</w:t>
      </w:r>
    </w:p>
    <w:p w14:paraId="7C98FA3D"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المجلس:</w:t>
      </w:r>
      <w:r>
        <w:rPr>
          <w:rFonts w:ascii="Traditional Arabic" w:hAnsi="Traditional Arabic" w:cs="Traditional Arabic"/>
          <w:rtl/>
          <w:lang w:bidi="ar"/>
        </w:rPr>
        <w:t xml:space="preserve"> مجلس أمناء الصندوق.</w:t>
      </w:r>
    </w:p>
    <w:p w14:paraId="13C4DF5D"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لجنة الاستثمار:</w:t>
      </w:r>
      <w:r>
        <w:rPr>
          <w:rFonts w:ascii="Traditional Arabic" w:hAnsi="Traditional Arabic" w:cs="Traditional Arabic"/>
          <w:rtl/>
          <w:lang w:bidi="ar"/>
        </w:rPr>
        <w:t xml:space="preserve"> لجنة يشكلها مجلس الأمناء للإشراف على استثمار أموال الصندوق وإدارتها.</w:t>
      </w:r>
    </w:p>
    <w:p w14:paraId="02B9B58D"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الاستثمار:</w:t>
      </w:r>
      <w:r>
        <w:rPr>
          <w:rFonts w:ascii="Traditional Arabic" w:hAnsi="Traditional Arabic" w:cs="Traditional Arabic"/>
          <w:rtl/>
          <w:lang w:bidi="ar"/>
        </w:rPr>
        <w:t xml:space="preserve"> استثمار أموال وأوقاف الصندوق.</w:t>
      </w:r>
    </w:p>
    <w:p w14:paraId="29768FA2"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الأصول:</w:t>
      </w:r>
      <w:r>
        <w:rPr>
          <w:rFonts w:ascii="Traditional Arabic" w:hAnsi="Traditional Arabic" w:cs="Traditional Arabic"/>
          <w:rtl/>
          <w:lang w:bidi="ar"/>
        </w:rPr>
        <w:t xml:space="preserve"> الأموال التي يملكها الصندوق سواء كانت نقدية أو مالية أو عينية.</w:t>
      </w:r>
    </w:p>
    <w:p w14:paraId="4470F02D"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الأصول النقدية:</w:t>
      </w:r>
      <w:r>
        <w:rPr>
          <w:rFonts w:ascii="Traditional Arabic" w:hAnsi="Traditional Arabic" w:cs="Traditional Arabic"/>
          <w:rtl/>
          <w:lang w:bidi="ar"/>
        </w:rPr>
        <w:t xml:space="preserve"> الأموال السائلة التي يحتفظ بها الصندوق في حساباته.</w:t>
      </w:r>
    </w:p>
    <w:p w14:paraId="3BBAD347"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الأصول المالية:</w:t>
      </w:r>
      <w:r>
        <w:rPr>
          <w:rFonts w:ascii="Traditional Arabic" w:hAnsi="Traditional Arabic" w:cs="Traditional Arabic"/>
          <w:rtl/>
          <w:lang w:bidi="ar"/>
        </w:rPr>
        <w:t xml:space="preserve"> الأموال التي يحتفظ بها الصندوق في شكل أسهم وسندات وصكوك ووحدات استثمارية.</w:t>
      </w:r>
    </w:p>
    <w:p w14:paraId="094817F9"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الأصول العينية:</w:t>
      </w:r>
      <w:r>
        <w:rPr>
          <w:rFonts w:ascii="Traditional Arabic" w:hAnsi="Traditional Arabic" w:cs="Traditional Arabic"/>
          <w:rtl/>
          <w:lang w:bidi="ar"/>
        </w:rPr>
        <w:t xml:space="preserve"> الأراضي والمباني التي يملكها الصندوق.</w:t>
      </w:r>
    </w:p>
    <w:p w14:paraId="2DCC626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الهدف من اللائحة</w:t>
      </w:r>
    </w:p>
    <w:p w14:paraId="14E7028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تهدف هذه اللائحة إلى وضع القواعد والسياسات العامة لاستثمارات الصندوق، وتنظيم عمل لجنة الاستثمار من خلال تحديد مهامها وصلاحياتها، بالإضافة إلى ضوابط وإجراءات عملها وقواعد ترشيح أعضائها. </w:t>
      </w:r>
    </w:p>
    <w:p w14:paraId="7D59907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ضوابط لجنة الاستثمار والاستدامة وتنمية الموارد</w:t>
      </w:r>
    </w:p>
    <w:p w14:paraId="70093798"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تعيين أعضاء اللجنة بقرار من مجلس الأمناء أو من يفوضه بذلك.</w:t>
      </w:r>
    </w:p>
    <w:p w14:paraId="2CA6ABF2"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تعيين رئيس اللجنة بقرار من مجلس الأمناء أو من يفوضه بذلك.</w:t>
      </w:r>
    </w:p>
    <w:p w14:paraId="111F21C8"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تكون مدة عضوية اللجنة أربع سنوات قابلة للتمديد.</w:t>
      </w:r>
    </w:p>
    <w:p w14:paraId="725FB857"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تكون اجتماعات اللجنة أربعة اجتماعات خلال السنة الواحدة.</w:t>
      </w:r>
    </w:p>
    <w:p w14:paraId="5D2FD4C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تُشكَّل لجنة الاستثمار من أفراد العائلة وفقاً لقواعد الاختيار التالية:</w:t>
      </w:r>
    </w:p>
    <w:p w14:paraId="0F026A74"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لدى العضو المرشح خبرة كافية في مجال الاستثمار.</w:t>
      </w:r>
    </w:p>
    <w:p w14:paraId="6ABA924B"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ألا يجتمع في اللجنة أكثر من عضو من فرع واحد من فروع الأسرة.</w:t>
      </w:r>
    </w:p>
    <w:p w14:paraId="128B4341"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ألا يقل عدد أعضاء اللجنة عن ثلاثة ولا يزيد عن سبعة.</w:t>
      </w:r>
    </w:p>
    <w:p w14:paraId="039FDFB2"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يُعد اجتماع اللجنة صحيحاً إذا حضره أكثر من نصف أعضائها، وإلا أُجِّل الاجتماع إلى موعد آخر أقصاه ثلاثون يوماً.</w:t>
      </w:r>
    </w:p>
    <w:p w14:paraId="2755634B"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تصدر قرارات اللجنة بأغلبية عدد الأعضاء الحاضرين، وعند تساوي الأصوات يكون صوت الرئيس مرجحاً.</w:t>
      </w:r>
    </w:p>
    <w:p w14:paraId="11CEED7F"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لعضو اللجنة الاشتراك في التصويت على أي قرار إذا كانت له فيه مصلحة شخصية.</w:t>
      </w:r>
    </w:p>
    <w:p w14:paraId="4A79CBEC"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يحق للجنة اتخاذ أي قرارات تنفيذية، وإنما ينحصر عملها برفع توصياتها إلى مجلس الأمناء.</w:t>
      </w:r>
    </w:p>
    <w:p w14:paraId="3D90EBB6"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يلتزم أعضاء اللجنة بالمحافظة على سرية المعلومات.</w:t>
      </w:r>
    </w:p>
    <w:p w14:paraId="7BAF69D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الرابعة: مهام لجنة الاستثمار وتنمية الموارد والاستدامة</w:t>
      </w:r>
    </w:p>
    <w:p w14:paraId="137BB326"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رسم السياسة الاستثمارية للصندوق واعتمادها من المجلس.</w:t>
      </w:r>
    </w:p>
    <w:p w14:paraId="0B947713"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تحديد وتقييم فرص الاستثمار الجديدة ورفعها للمجلس للاعتماد.</w:t>
      </w:r>
    </w:p>
    <w:p w14:paraId="59A8C534"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الحفاظ على رأس مال الصندوق والإشراف عليه والسعي لتنميته.</w:t>
      </w:r>
    </w:p>
    <w:p w14:paraId="3AA249A9"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تقدير الإيرادات المتوقعة لاستثمارات الصندوق وتقدير ما يفي بحاجات الصرف وزياداتها السنوية المطردة.</w:t>
      </w:r>
    </w:p>
    <w:p w14:paraId="7EF0B634"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تنمية موارد الصندوق من التبرعات والزكاة والهبات والاشتراكات والرعايات.</w:t>
      </w:r>
    </w:p>
    <w:p w14:paraId="738AD29D"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تقييم ورصد دورة حياة الاستثمارات ورسم استراتيجيات التخارج.</w:t>
      </w:r>
    </w:p>
    <w:p w14:paraId="2FBEB644"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الإشراف على تنفيذ القرارات الصادرة من المجلس.</w:t>
      </w:r>
    </w:p>
    <w:p w14:paraId="42631177"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رفع التقارير الدورية والختامية للمجلس.</w:t>
      </w:r>
    </w:p>
    <w:p w14:paraId="6DA1D5FF"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تطوير هذه اللائحة بشكل دوري، على أن يتم اعتماد التعديلات من المجلس.</w:t>
      </w:r>
    </w:p>
    <w:p w14:paraId="749B9AA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توظيف الأرصدة المالية</w:t>
      </w:r>
    </w:p>
    <w:p w14:paraId="108A1FF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تقوم لجنة الاستثمار (بعد موافقة المجلس) بتشغيل الأرصدة المالية واستثمار الفائض من السيولة بما يعود على الصندوق بعوائد مجزية، ويجب أن يسبق أي عمل استثماري دراسة جدوى اقتصادية شاملة لكافة النواحي الاقتصادية والفنية والمالية والشرعية والقانونية، كما يجوز للمجلس تفويض لجنة الاستثمار في إجازة بعض المشاريع الاستثمارية وفقاً لسقف مالي يحدده المجلس. </w:t>
      </w:r>
    </w:p>
    <w:p w14:paraId="1DF8177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نطاق الاستثمار</w:t>
      </w:r>
    </w:p>
    <w:p w14:paraId="51A95C44"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العقارات المدرّة للدخل والأصول ذات العوائد الثابتة.</w:t>
      </w:r>
    </w:p>
    <w:p w14:paraId="69457857"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الصناديق ذات العوائد (صناديق عقارية - صناديق أسهم - صناديق مرابحة).</w:t>
      </w:r>
    </w:p>
    <w:p w14:paraId="29268111"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الأصول النقدية السائلة (أسهم - صكوك - ودائع).</w:t>
      </w:r>
    </w:p>
    <w:p w14:paraId="45322C63"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المساهمة في الشركات القائمة والمدرّة للدخل.</w:t>
      </w:r>
    </w:p>
    <w:p w14:paraId="30DDA92F"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التطوير العقاري المباشر.</w:t>
      </w:r>
    </w:p>
    <w:p w14:paraId="42B0340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مدة الاستثمار</w:t>
      </w:r>
    </w:p>
    <w:p w14:paraId="7CC90D70"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يكون الاستثمار في العقارات المدرّة للدخل ضمن إطار زمني مناسب لفئة الأصل ونوعه، على ألا يزيد عن 10 سنوات.</w:t>
      </w:r>
    </w:p>
    <w:p w14:paraId="48158F87"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يكون الاستثمار في الصناديق ذات العوائد في حدود سنتين كحد أقصى.</w:t>
      </w:r>
    </w:p>
    <w:p w14:paraId="7E300209"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يكون الاستثمار في الأصول النقدية السائلة في حدود 3 سنوات كحد أقصى.</w:t>
      </w:r>
    </w:p>
    <w:p w14:paraId="12CB04DD"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يكون الاستثمار في التطوير العقاري المباشر في حدود 3 سنوات كحد أقصى.</w:t>
      </w:r>
    </w:p>
    <w:p w14:paraId="118653D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الثامنة: معايير الاستثمار</w:t>
      </w:r>
    </w:p>
    <w:p w14:paraId="694B8332"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الاستثمار متوافقاً مع الشريعة الإسلامية.</w:t>
      </w:r>
    </w:p>
    <w:p w14:paraId="10F50D6D"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الاستثمار باسم الصندوق.</w:t>
      </w:r>
    </w:p>
    <w:p w14:paraId="2410D688"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عدم تعريض أموال الصندوق لدرجة عالية من المخاطر.</w:t>
      </w:r>
    </w:p>
    <w:p w14:paraId="3502E145"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الاحتفاظ برصيد من السيولة لتغطية التزامات الصندوق لمدة 6 أشهر على الأقل.</w:t>
      </w:r>
    </w:p>
    <w:p w14:paraId="4A88E0F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التاسعة: العوائد المستهدفة</w:t>
      </w:r>
    </w:p>
    <w:p w14:paraId="002A655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تحدد لجنة الاستثمار العوائد السنوية الإجمالية المتوقعة لاستثمارات الصندوق، وكذلك العوائد السنوية المتوقعة لكل استثمار بعينه، ويجب على اللجنة أن تحقق الحد الأدنى من العوائد المستهدفة بحسب وضع السوق والمبلغ المستثمر. </w:t>
      </w:r>
    </w:p>
    <w:p w14:paraId="757E10F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العاشرة: التوزيعات النقدية</w:t>
      </w:r>
    </w:p>
    <w:p w14:paraId="005CEE0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يتم توزيع العوائد من استثمارات الصندوق وفق التالي:</w:t>
      </w:r>
    </w:p>
    <w:p w14:paraId="082564BC" w14:textId="77777777" w:rsidR="00000000" w:rsidRDefault="00000000">
      <w:pPr>
        <w:numPr>
          <w:ilvl w:val="0"/>
          <w:numId w:val="7"/>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تخصيص 50% من عوائد الاستثمار لتنمية رأس مال الصندوق.</w:t>
      </w:r>
    </w:p>
    <w:p w14:paraId="1D962504" w14:textId="77777777" w:rsidR="00000000" w:rsidRDefault="00000000">
      <w:pPr>
        <w:numPr>
          <w:ilvl w:val="0"/>
          <w:numId w:val="7"/>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يتم صرف 50% من عوائد الاستثمار على مصارف الصندوق.</w:t>
      </w:r>
    </w:p>
    <w:p w14:paraId="2416CC7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الحادية عشرة: سياسة الاقتراض</w:t>
      </w:r>
    </w:p>
    <w:p w14:paraId="19AE701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يجوز للجنة بعد موافقة المجلس الاقتراض لتحسين عوائد استثمارات الصندوق، بشرط ألا يتجاوز إجمالي قيمة الالتزامات نسبة 30% من إجمالي قيمة الأصول، وفي حالة التمويل العقاري يجب ألا تتجاوز قيمة التمويل نسبة 60% من القيمة السوقية للعقار. </w:t>
      </w:r>
    </w:p>
    <w:p w14:paraId="540E3047"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الثانية عشرة: قيود الاستثمار</w:t>
      </w:r>
    </w:p>
    <w:p w14:paraId="3F5EEBC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ينبغي ألا يتجاوز حجم التخصيص في قطاع واحد نسبة 20% من قيمة الأصول، عدا الأصول العقارية الآمنة، ويجوز للجنة اقتراح زيادة النسبة بما تراه مناسباً. </w:t>
      </w:r>
    </w:p>
    <w:p w14:paraId="3788C4B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الثالثة عشرة: استثمار الفائض النقدي</w:t>
      </w:r>
    </w:p>
    <w:p w14:paraId="14F008B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في حالة وجود فائض نقدي يفوق حاجة الصندوق لتغطية الالتزامات لمدة 6 أشهر على الأقل، فإنه يجب استثمار هذا الفائض في مشاريع حسب ما تراه اللجنة. </w:t>
      </w:r>
    </w:p>
    <w:p w14:paraId="5789F7B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المادة الرابعة عشرة: استراتيجية التخارج</w:t>
      </w:r>
    </w:p>
    <w:p w14:paraId="62F2098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يجب أن تقوم لجنة الاستثمار برسم استراتيجية تخارج ضمن إطار زمني قصير عند تحقق أي من التالي:</w:t>
      </w:r>
    </w:p>
    <w:p w14:paraId="7A63F074"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حدوث إخلال بمعايير الاستثمار.</w:t>
      </w:r>
    </w:p>
    <w:p w14:paraId="670C9ABC"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مخاطر في الفرصة الاستثمارية.</w:t>
      </w:r>
    </w:p>
    <w:p w14:paraId="6998FD3B"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توقعات سلبية تتعلق بالعوائد.</w:t>
      </w:r>
    </w:p>
    <w:p w14:paraId="2D379F98"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تجاوز الاستثمار المدى الزمني المسموح به.</w:t>
      </w:r>
    </w:p>
    <w:p w14:paraId="49F257EB"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توفر فرص استثمارية بديلة ذات عوائد أفضل.</w:t>
      </w:r>
    </w:p>
    <w:p w14:paraId="7123BA1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الخامسة عشرة: التصرف بالعقارات المملوكة والموقوفة للصندوق</w:t>
      </w:r>
    </w:p>
    <w:p w14:paraId="02A62D5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للجنة بعد موافقة المجلس التصرف بالعقارات المملوكة والموقوفة للصندوق، وفق الآتي:</w:t>
      </w:r>
    </w:p>
    <w:p w14:paraId="3C27271F" w14:textId="77777777" w:rsidR="00000000" w:rsidRDefault="00000000">
      <w:pPr>
        <w:numPr>
          <w:ilvl w:val="0"/>
          <w:numId w:val="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التصرف ببيع العقارات أو تأجيرها.</w:t>
      </w:r>
    </w:p>
    <w:p w14:paraId="45149E0A" w14:textId="77777777" w:rsidR="00000000" w:rsidRDefault="00000000">
      <w:pPr>
        <w:numPr>
          <w:ilvl w:val="0"/>
          <w:numId w:val="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التصرف بترميم العقارات أو إعادة بنائها.</w:t>
      </w:r>
    </w:p>
    <w:p w14:paraId="42FFC4F1" w14:textId="77777777" w:rsidR="00000000" w:rsidRDefault="00000000">
      <w:pPr>
        <w:numPr>
          <w:ilvl w:val="0"/>
          <w:numId w:val="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التصرف بالمشاركة بهدف الاستثمار بعيد المدى.</w:t>
      </w:r>
    </w:p>
    <w:p w14:paraId="69332D3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السادسة عشرة: التقارير الدورية</w:t>
      </w:r>
    </w:p>
    <w:p w14:paraId="6B5969E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تقوم لجنة الاستثمار بإعداد تقارير ربع سنوية عن أداء استثمارات الصندوق وترفعها لمجلس الأمناء، ويشتمل التقرير على تحليل لأداء الاستثمار ومقارنته بالمؤشرات المرجعية وتقييماً لمستوى مخاطره وتوقعات أدائه المستقبلي والتوصيات حياله. </w:t>
      </w:r>
    </w:p>
    <w:p w14:paraId="60405FC4"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السابعة عشرة: التقارير الختامية</w:t>
      </w:r>
    </w:p>
    <w:p w14:paraId="20A6B97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تتولى لجنة الاستثمار إصدار تقرير ختامي لكافة المشاريع الاستثمارية التي تشرف عليها، ويتم رفع التقرير لمجلس الأمناء لمراجعته واتخاذ القرارات حياله. </w:t>
      </w:r>
    </w:p>
    <w:p w14:paraId="3727081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المادة الثامنة عشرة: أحكام ختامية</w:t>
      </w:r>
    </w:p>
    <w:p w14:paraId="6F6D403A" w14:textId="77777777" w:rsidR="002E765B"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يُعمل بهذه اللائحة ويتم الالتزام بها من قبل اللجنة اعتباراً من تاريخ اعتمادها من المجلس، ويتم عرض أي تعديلات مقترحة على المجلس في أقرب اجتماع له لاعتمادها. </w:t>
      </w:r>
    </w:p>
    <w:sectPr w:rsidR="002E7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1738"/>
    <w:multiLevelType w:val="multilevel"/>
    <w:tmpl w:val="031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47866"/>
    <w:multiLevelType w:val="multilevel"/>
    <w:tmpl w:val="709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638E8"/>
    <w:multiLevelType w:val="multilevel"/>
    <w:tmpl w:val="9E9E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A76C3"/>
    <w:multiLevelType w:val="multilevel"/>
    <w:tmpl w:val="CE5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26429"/>
    <w:multiLevelType w:val="multilevel"/>
    <w:tmpl w:val="94B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34318"/>
    <w:multiLevelType w:val="multilevel"/>
    <w:tmpl w:val="704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D5DFE"/>
    <w:multiLevelType w:val="multilevel"/>
    <w:tmpl w:val="653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A6796"/>
    <w:multiLevelType w:val="multilevel"/>
    <w:tmpl w:val="61BE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F77D6"/>
    <w:multiLevelType w:val="multilevel"/>
    <w:tmpl w:val="7D00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197812">
    <w:abstractNumId w:val="8"/>
  </w:num>
  <w:num w:numId="2" w16cid:durableId="1803573321">
    <w:abstractNumId w:val="4"/>
  </w:num>
  <w:num w:numId="3" w16cid:durableId="1248004098">
    <w:abstractNumId w:val="1"/>
  </w:num>
  <w:num w:numId="4" w16cid:durableId="2059863198">
    <w:abstractNumId w:val="7"/>
  </w:num>
  <w:num w:numId="5" w16cid:durableId="225993596">
    <w:abstractNumId w:val="3"/>
  </w:num>
  <w:num w:numId="6" w16cid:durableId="621501829">
    <w:abstractNumId w:val="6"/>
  </w:num>
  <w:num w:numId="7" w16cid:durableId="237446140">
    <w:abstractNumId w:val="0"/>
  </w:num>
  <w:num w:numId="8" w16cid:durableId="1190988632">
    <w:abstractNumId w:val="2"/>
  </w:num>
  <w:num w:numId="9" w16cid:durableId="633483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1BAB"/>
    <w:rsid w:val="002E765B"/>
    <w:rsid w:val="00361BAB"/>
    <w:rsid w:val="00AC3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E78F5"/>
  <w15:chartTrackingRefBased/>
  <w15:docId w15:val="{13DC0D15-AC1C-44AB-9E74-CDE9EE884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600" w:after="100" w:afterAutospacing="1"/>
      <w:jc w:val="center"/>
      <w:outlineLvl w:val="0"/>
    </w:pPr>
    <w:rPr>
      <w:b/>
      <w:bCs/>
      <w:kern w:val="36"/>
      <w:sz w:val="33"/>
      <w:szCs w:val="33"/>
    </w:rPr>
  </w:style>
  <w:style w:type="paragraph" w:styleId="Heading2">
    <w:name w:val="heading 2"/>
    <w:basedOn w:val="Normal"/>
    <w:link w:val="Heading2Char"/>
    <w:uiPriority w:val="9"/>
    <w:qFormat/>
    <w:pPr>
      <w:spacing w:before="375" w:after="100" w:afterAutospacing="1"/>
      <w:outlineLvl w:val="1"/>
    </w:pPr>
    <w:rPr>
      <w:b/>
      <w:bCs/>
      <w:color w:val="1F4E79"/>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
    <w:name w:val="cover"/>
    <w:basedOn w:val="Normal"/>
    <w:pPr>
      <w:spacing w:before="3300" w:after="60"/>
      <w:jc w:val="center"/>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2023">
      <w:marLeft w:val="0"/>
      <w:marRight w:val="0"/>
      <w:marTop w:val="33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الاستثمار وتنمية الموارد</dc:title>
  <dc:subject/>
  <dc:creator>Abdelrahman Wael Mohamed Salman Soliman</dc:creator>
  <cp:keywords/>
  <dc:description/>
  <cp:lastModifiedBy>Abdelrahman Wael Mohamed Salman Soliman</cp:lastModifiedBy>
  <cp:revision>2</cp:revision>
  <dcterms:created xsi:type="dcterms:W3CDTF">2026-08-19T19:37:00Z</dcterms:created>
  <dcterms:modified xsi:type="dcterms:W3CDTF">2026-08-19T19:37:00Z</dcterms:modified>
</cp:coreProperties>
</file>