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F053" w14:textId="77777777" w:rsidR="00000000" w:rsidRDefault="00000000">
      <w:pPr>
        <w:bidi/>
        <w:textAlignment w:val="center"/>
        <w:divId w:val="437483315"/>
        <w:rPr>
          <w:rFonts w:ascii="Traditional Arabic" w:eastAsia="Times New Roman" w:hAnsi="Traditional Arabic" w:cs="Traditional Arabic"/>
          <w:lang w:bidi="ar"/>
        </w:rPr>
      </w:pPr>
      <w:r>
        <w:rPr>
          <w:rFonts w:ascii="Traditional Arabic" w:eastAsia="Times New Roman" w:hAnsi="Traditional Arabic" w:cs="Traditional Arabic"/>
          <w:noProof/>
          <w:lang w:bidi="ar"/>
        </w:rPr>
        <w:drawing>
          <wp:inline distT="0" distB="0" distL="0" distR="0" wp14:anchorId="627EB6D6" wp14:editId="32390B4E">
            <wp:extent cx="1432560" cy="762000"/>
            <wp:effectExtent l="0" t="0" r="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432560" cy="762000"/>
                    </a:xfrm>
                    <a:prstGeom prst="rect">
                      <a:avLst/>
                    </a:prstGeom>
                    <a:noFill/>
                    <a:ln>
                      <a:noFill/>
                    </a:ln>
                  </pic:spPr>
                </pic:pic>
              </a:graphicData>
            </a:graphic>
          </wp:inline>
        </w:drawing>
      </w:r>
    </w:p>
    <w:p w14:paraId="128F4F23" w14:textId="77777777" w:rsidR="00000000" w:rsidRDefault="00000000">
      <w:pPr>
        <w:bidi/>
        <w:jc w:val="right"/>
        <w:textAlignment w:val="center"/>
        <w:divId w:val="437483315"/>
        <w:rPr>
          <w:rFonts w:ascii="Traditional Arabic" w:eastAsia="Times New Roman" w:hAnsi="Traditional Arabic" w:cs="Traditional Arabic"/>
          <w:rtl/>
          <w:lang w:bidi="ar"/>
        </w:rPr>
      </w:pPr>
      <w:r>
        <w:rPr>
          <w:rStyle w:val="Strong"/>
          <w:rFonts w:ascii="Traditional Arabic" w:eastAsia="Times New Roman" w:hAnsi="Traditional Arabic" w:cs="Traditional Arabic"/>
          <w:color w:val="000000"/>
          <w:sz w:val="27"/>
          <w:szCs w:val="27"/>
          <w:rtl/>
          <w:lang w:bidi="ar"/>
        </w:rPr>
        <w:t>صندوق آل هويمل ( الألفة )</w:t>
      </w:r>
      <w:r>
        <w:rPr>
          <w:rFonts w:ascii="Traditional Arabic" w:eastAsia="Times New Roman" w:hAnsi="Traditional Arabic" w:cs="Traditional Arabic"/>
          <w:rtl/>
          <w:lang w:bidi="ar"/>
        </w:rPr>
        <w:br/>
      </w:r>
      <w:r>
        <w:rPr>
          <w:rStyle w:val="Strong"/>
          <w:rFonts w:ascii="Traditional Arabic" w:eastAsia="Times New Roman" w:hAnsi="Traditional Arabic" w:cs="Traditional Arabic"/>
          <w:color w:val="000000"/>
          <w:sz w:val="21"/>
          <w:szCs w:val="21"/>
          <w:rtl/>
          <w:lang w:bidi="ar"/>
        </w:rPr>
        <w:t>رقم الترخيص: ١٢٠٠٧٣٠٧٠٠</w:t>
      </w:r>
      <w:r>
        <w:rPr>
          <w:rFonts w:ascii="Traditional Arabic" w:eastAsia="Times New Roman" w:hAnsi="Traditional Arabic" w:cs="Traditional Arabic"/>
          <w:rtl/>
          <w:lang w:bidi="ar"/>
        </w:rPr>
        <w:t xml:space="preserve"> </w:t>
      </w:r>
    </w:p>
    <w:p w14:paraId="1EDBA0EC"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سياسة مكافحة غسل الأموال وتمويل الإرهاب</w:t>
      </w:r>
    </w:p>
    <w:p w14:paraId="6AB941D8"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هذه السياسة معتمدة من قبل مجلس الأمناء بتاريخ ___ /___ /144هـ</w:t>
      </w:r>
    </w:p>
    <w:p w14:paraId="601FD994"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نسخة رقم (2)</w:t>
      </w:r>
    </w:p>
    <w:p w14:paraId="40EAE20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المادة الأولى: التمهيد</w:t>
      </w:r>
    </w:p>
    <w:p w14:paraId="0DECEEA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تهدف هذه السياسة إلى حماية صندوق آل هويمل «الألفة» من الاستغلال في غسل الأموال أو تمويل الإرهاب أو أي عمليات مالية أو إدارية مشبوهة، وضمان التزام الصندوق بالأنظمة والتعليمات ذات العلاقة في المملكة العربية السعودية.</w:t>
      </w:r>
    </w:p>
    <w:p w14:paraId="558CF9B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وتستند هذه السياسة إلى الآتي:</w:t>
      </w:r>
    </w:p>
    <w:p w14:paraId="1C54313B"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نظام مكافحة غسل الأموال ولائحته التنفيذية وتعديلاتهما.</w:t>
      </w:r>
    </w:p>
    <w:p w14:paraId="64F158CE"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نظام مكافحة جرائم الإرهاب وتمويله ولائحته التنفيذية وتعديلاتهما.</w:t>
      </w:r>
    </w:p>
    <w:p w14:paraId="19E8D5C4"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القواعد والتعليمات الصادرة من المركز الوطني لتنمية القطاع غير الربحي.</w:t>
      </w:r>
    </w:p>
    <w:p w14:paraId="145D8E82"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القواعد التنظيمية للصناديق العائلية.</w:t>
      </w:r>
    </w:p>
    <w:p w14:paraId="6430BD95"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الأدلة الاسترشادية ذات العلاقة بمكافحة غسل الأموال وتمويل الإرهاب في القطاع غير الربحي.</w:t>
      </w:r>
    </w:p>
    <w:p w14:paraId="3CE5EB5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أهداف السياسة</w:t>
      </w:r>
    </w:p>
    <w:p w14:paraId="5B82969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تهدف هذه السياسة إلى ما يأتي:</w:t>
      </w:r>
    </w:p>
    <w:p w14:paraId="3BD7EFDB"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ضوابط الوقاية من غسل الأموال وتمويل الإرهاب.</w:t>
      </w:r>
    </w:p>
    <w:p w14:paraId="66196598"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بيان مؤشرات الاشتباه المرتبطة بالمساهمات، والمستفيدين، والموردين، والعمليات المالية.</w:t>
      </w:r>
    </w:p>
    <w:p w14:paraId="775B6B88"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مسؤوليات مجلس الأمناء، ومسؤول الالتزام، والمسؤول المالي، والعاملين.</w:t>
      </w:r>
    </w:p>
    <w:p w14:paraId="09392F27"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تنظيم إجراءات العناية الواجبة والتحقق من الهوية ومصدر الأموال عند الحاجة.</w:t>
      </w:r>
    </w:p>
    <w:p w14:paraId="71D2B0A0"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آلية الإبلاغ الداخلي والخارجي عن حالات الاشتباه.</w:t>
      </w:r>
    </w:p>
    <w:p w14:paraId="3ACED293"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منع قبول أو صرف أي أموال مجهولة المصدر أو غير موثقة.</w:t>
      </w:r>
    </w:p>
    <w:p w14:paraId="2B713356"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ضمان حفظ السجلات والمستندات والبلاغات وفق المدد النظامية.</w:t>
      </w:r>
    </w:p>
    <w:p w14:paraId="30CB2D3B"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حماية الصندوق ومنسوبيه من المخاطر النظامية والمالية ومخاطر السمعة.</w:t>
      </w:r>
    </w:p>
    <w:p w14:paraId="7D92F2B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نطاق التطبيق</w:t>
      </w:r>
    </w:p>
    <w:p w14:paraId="097759B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تُطبَّق هذه السياسة على:</w:t>
      </w:r>
    </w:p>
    <w:p w14:paraId="42B96A2B"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أعضاء مجلس الأمناء.</w:t>
      </w:r>
    </w:p>
    <w:p w14:paraId="5E2ABF4C"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اللجان التابعة للصندوق.</w:t>
      </w:r>
    </w:p>
    <w:p w14:paraId="28F9B1FC"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الإدارة التنفيذية، إن وجدت.</w:t>
      </w:r>
    </w:p>
    <w:p w14:paraId="0E2DCF31"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الموظفين والمتعاونين والمتطوعين.</w:t>
      </w:r>
    </w:p>
    <w:p w14:paraId="0E723896"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المسؤول المالي أو من يقوم مقامه.</w:t>
      </w:r>
    </w:p>
    <w:p w14:paraId="4EF1854B"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المساهمين والداعمين.</w:t>
      </w:r>
    </w:p>
    <w:p w14:paraId="22936DEF"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المستفيدين من خدمات الصندوق.</w:t>
      </w:r>
    </w:p>
    <w:p w14:paraId="0CED1B94"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الموردين والمتعاقدين ومقدمي الخدمات.</w:t>
      </w:r>
    </w:p>
    <w:p w14:paraId="7F47C79E"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كل من يتعامل مع الصندوق ماليًا أو إداريًا أو تشغيليًا.</w:t>
      </w:r>
    </w:p>
    <w:p w14:paraId="7FC1E3D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وتسري السياسة على جميع العمليات المالية والإدارية والتعاقدية المتعلقة بالصندوق.</w:t>
      </w:r>
    </w:p>
    <w:p w14:paraId="4C4EC19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الرابعة: التعريفات</w:t>
      </w:r>
    </w:p>
    <w:p w14:paraId="04659BE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لأغراض هذه السياسة، يُقصد بالمصطلحات الآتية المعاني الموضحة أمام كل منها:</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2"/>
        <w:gridCol w:w="8252"/>
      </w:tblGrid>
      <w:tr w:rsidR="00000000" w14:paraId="6313CD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1A5218" w14:textId="77777777" w:rsidR="00000000" w:rsidRDefault="00000000">
            <w:pPr>
              <w:bidi/>
              <w:rPr>
                <w:rFonts w:eastAsia="Times New Roman"/>
                <w:rtl/>
              </w:rPr>
            </w:pPr>
            <w:r>
              <w:rPr>
                <w:rStyle w:val="Strong"/>
                <w:rFonts w:eastAsia="Times New Roman"/>
                <w:rtl/>
              </w:rPr>
              <w:t>الصندوق</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C3B83" w14:textId="77777777" w:rsidR="00000000" w:rsidRDefault="00000000">
            <w:pPr>
              <w:bidi/>
              <w:rPr>
                <w:rFonts w:eastAsia="Times New Roman"/>
                <w:rtl/>
              </w:rPr>
            </w:pPr>
            <w:r>
              <w:rPr>
                <w:rFonts w:eastAsia="Times New Roman"/>
                <w:rtl/>
              </w:rPr>
              <w:t>صندوق آل هويمل «الألفة» المرخص من المركز الوطني لتنمية القطاع غير الربحي.</w:t>
            </w:r>
          </w:p>
        </w:tc>
      </w:tr>
      <w:tr w:rsidR="00000000" w14:paraId="390381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BCE1AF" w14:textId="77777777" w:rsidR="00000000" w:rsidRDefault="00000000">
            <w:pPr>
              <w:bidi/>
              <w:rPr>
                <w:rFonts w:eastAsia="Times New Roman"/>
                <w:rtl/>
              </w:rPr>
            </w:pPr>
            <w:r>
              <w:rPr>
                <w:rStyle w:val="Strong"/>
                <w:rFonts w:eastAsia="Times New Roman"/>
                <w:rtl/>
              </w:rPr>
              <w:t>مجلس الأمناء</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ABF8E" w14:textId="77777777" w:rsidR="00000000" w:rsidRDefault="00000000">
            <w:pPr>
              <w:bidi/>
              <w:rPr>
                <w:rFonts w:eastAsia="Times New Roman"/>
                <w:rtl/>
              </w:rPr>
            </w:pPr>
            <w:r>
              <w:rPr>
                <w:rFonts w:eastAsia="Times New Roman"/>
                <w:rtl/>
              </w:rPr>
              <w:t>السلطة المشرفة على الصندوق والمعنية باعتماد السياسات ومتابعة الالتزام بها.</w:t>
            </w:r>
          </w:p>
        </w:tc>
      </w:tr>
      <w:tr w:rsidR="00000000" w14:paraId="6A05D1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8360B3" w14:textId="77777777" w:rsidR="00000000" w:rsidRDefault="00000000">
            <w:pPr>
              <w:bidi/>
              <w:rPr>
                <w:rFonts w:eastAsia="Times New Roman"/>
                <w:rtl/>
              </w:rPr>
            </w:pPr>
            <w:r>
              <w:rPr>
                <w:rStyle w:val="Strong"/>
                <w:rFonts w:eastAsia="Times New Roman"/>
                <w:rtl/>
              </w:rPr>
              <w:t>غسل الأموال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1A00D" w14:textId="77777777" w:rsidR="00000000" w:rsidRDefault="00000000">
            <w:pPr>
              <w:bidi/>
              <w:rPr>
                <w:rFonts w:eastAsia="Times New Roman"/>
                <w:rtl/>
              </w:rPr>
            </w:pPr>
            <w:r>
              <w:rPr>
                <w:rFonts w:eastAsia="Times New Roman"/>
                <w:rtl/>
              </w:rPr>
              <w:t>كل فعل يهدف إلى إخفاء أو تمويه مصدر أموال متحصلة من جريمة أو إظهارها بمظهر مشروع، وفق الأنظمة ذات العلاقة.</w:t>
            </w:r>
          </w:p>
        </w:tc>
      </w:tr>
      <w:tr w:rsidR="00000000" w14:paraId="0FFD00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37F12F" w14:textId="77777777" w:rsidR="00000000" w:rsidRDefault="00000000">
            <w:pPr>
              <w:bidi/>
              <w:rPr>
                <w:rFonts w:eastAsia="Times New Roman"/>
                <w:rtl/>
              </w:rPr>
            </w:pPr>
            <w:r>
              <w:rPr>
                <w:rStyle w:val="Strong"/>
                <w:rFonts w:eastAsia="Times New Roman"/>
                <w:rtl/>
              </w:rPr>
              <w:t>تمويل الإرهاب</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C9FD9" w14:textId="77777777" w:rsidR="00000000" w:rsidRDefault="00000000">
            <w:pPr>
              <w:bidi/>
              <w:rPr>
                <w:rFonts w:eastAsia="Times New Roman"/>
                <w:rtl/>
              </w:rPr>
            </w:pPr>
            <w:r>
              <w:rPr>
                <w:rFonts w:eastAsia="Times New Roman"/>
                <w:rtl/>
              </w:rPr>
              <w:t>تقديم أو جمع أو تخصيص أو نقل أموال أو أصول، بصورة مباشرة أو غير مباشرة، لاستخدامها في تمويل جريمة إرهابية أو شخص أو كيان إرهابي، وفق الأنظمة ذات العلاقة.</w:t>
            </w:r>
          </w:p>
        </w:tc>
      </w:tr>
      <w:tr w:rsidR="00000000" w14:paraId="00D62A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054E93" w14:textId="77777777" w:rsidR="00000000" w:rsidRDefault="00000000">
            <w:pPr>
              <w:bidi/>
              <w:rPr>
                <w:rFonts w:eastAsia="Times New Roman"/>
                <w:rtl/>
              </w:rPr>
            </w:pPr>
            <w:r>
              <w:rPr>
                <w:rStyle w:val="Strong"/>
                <w:rFonts w:eastAsia="Times New Roman"/>
                <w:rtl/>
              </w:rPr>
              <w:t>الاشتباه</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45176" w14:textId="77777777" w:rsidR="00000000" w:rsidRDefault="00000000">
            <w:pPr>
              <w:bidi/>
              <w:rPr>
                <w:rFonts w:eastAsia="Times New Roman"/>
                <w:rtl/>
              </w:rPr>
            </w:pPr>
            <w:r>
              <w:rPr>
                <w:rFonts w:eastAsia="Times New Roman"/>
                <w:rtl/>
              </w:rPr>
              <w:t>وجود مؤشرات أو وقائع أو أنماط تعامل غير معتادة ترجح احتمال ارتباط العملية أو أطرافها بغسل الأموال أو تمويل الإرهاب أو نشاط غير مشروع.</w:t>
            </w:r>
          </w:p>
        </w:tc>
      </w:tr>
      <w:tr w:rsidR="00000000" w14:paraId="6ED893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16583B" w14:textId="77777777" w:rsidR="00000000" w:rsidRDefault="00000000">
            <w:pPr>
              <w:bidi/>
              <w:rPr>
                <w:rFonts w:eastAsia="Times New Roman"/>
                <w:rtl/>
              </w:rPr>
            </w:pPr>
            <w:r>
              <w:rPr>
                <w:rStyle w:val="Strong"/>
                <w:rFonts w:eastAsia="Times New Roman"/>
                <w:rtl/>
              </w:rPr>
              <w:t>المساهم</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3B08A" w14:textId="77777777" w:rsidR="00000000" w:rsidRDefault="00000000">
            <w:pPr>
              <w:bidi/>
              <w:rPr>
                <w:rFonts w:eastAsia="Times New Roman"/>
                <w:rtl/>
              </w:rPr>
            </w:pPr>
            <w:r>
              <w:rPr>
                <w:rFonts w:eastAsia="Times New Roman"/>
                <w:rtl/>
              </w:rPr>
              <w:t>كل فرد يقدم مساهمة مالية أو عينية للصندوق وفق لوائحه وضوابطه.</w:t>
            </w:r>
          </w:p>
        </w:tc>
      </w:tr>
      <w:tr w:rsidR="00000000" w14:paraId="3A0CDB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8E7E7E" w14:textId="77777777" w:rsidR="00000000" w:rsidRDefault="00000000">
            <w:pPr>
              <w:bidi/>
              <w:rPr>
                <w:rFonts w:eastAsia="Times New Roman"/>
                <w:rtl/>
              </w:rPr>
            </w:pPr>
            <w:r>
              <w:rPr>
                <w:rStyle w:val="Strong"/>
                <w:rFonts w:eastAsia="Times New Roman"/>
                <w:rtl/>
              </w:rPr>
              <w:t>المستفيد</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76BBC" w14:textId="77777777" w:rsidR="00000000" w:rsidRDefault="00000000">
            <w:pPr>
              <w:bidi/>
              <w:rPr>
                <w:rFonts w:eastAsia="Times New Roman"/>
                <w:rtl/>
              </w:rPr>
            </w:pPr>
            <w:r>
              <w:rPr>
                <w:rFonts w:eastAsia="Times New Roman"/>
                <w:rtl/>
              </w:rPr>
              <w:t>كل شخص أو أسرة تستفيد من خدمات الصندوق أو برامجه وفق شروط الاستحقاق المعتمدة.</w:t>
            </w:r>
          </w:p>
        </w:tc>
      </w:tr>
      <w:tr w:rsidR="00000000" w14:paraId="61D5A3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4C7213" w14:textId="77777777" w:rsidR="00000000" w:rsidRDefault="00000000">
            <w:pPr>
              <w:bidi/>
              <w:rPr>
                <w:rFonts w:eastAsia="Times New Roman"/>
                <w:rtl/>
              </w:rPr>
            </w:pPr>
            <w:r>
              <w:rPr>
                <w:rStyle w:val="Strong"/>
                <w:rFonts w:eastAsia="Times New Roman"/>
                <w:rtl/>
              </w:rPr>
              <w:t>العناية الواجبة</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0F076" w14:textId="77777777" w:rsidR="00000000" w:rsidRDefault="00000000">
            <w:pPr>
              <w:bidi/>
              <w:rPr>
                <w:rFonts w:eastAsia="Times New Roman"/>
                <w:rtl/>
              </w:rPr>
            </w:pPr>
            <w:r>
              <w:rPr>
                <w:rFonts w:eastAsia="Times New Roman"/>
                <w:rtl/>
              </w:rPr>
              <w:t>إجراءات التحقق من هوية المتعامل، وفهم الغرض من التعامل، والتحقق من مصدر الأموال عند الحاجة.</w:t>
            </w:r>
          </w:p>
        </w:tc>
      </w:tr>
      <w:tr w:rsidR="00000000" w14:paraId="3E6E7D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DFEEAC" w14:textId="77777777" w:rsidR="00000000" w:rsidRDefault="00000000">
            <w:pPr>
              <w:bidi/>
              <w:rPr>
                <w:rFonts w:eastAsia="Times New Roman"/>
                <w:rtl/>
              </w:rPr>
            </w:pPr>
            <w:r>
              <w:rPr>
                <w:rStyle w:val="Strong"/>
                <w:rFonts w:eastAsia="Times New Roman"/>
                <w:rtl/>
              </w:rPr>
              <w:t>مسؤول الالتزام</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42A7B" w14:textId="77777777" w:rsidR="00000000" w:rsidRDefault="00000000">
            <w:pPr>
              <w:bidi/>
              <w:rPr>
                <w:rFonts w:eastAsia="Times New Roman"/>
                <w:rtl/>
              </w:rPr>
            </w:pPr>
            <w:r>
              <w:rPr>
                <w:rFonts w:eastAsia="Times New Roman"/>
                <w:rtl/>
              </w:rPr>
              <w:t>الشخص المعيّن من مجلس الأمناء لمتابعة تطبيق هذه السياسة، واستقبال بلاغات الاشتباه، وفحصها، ورفع ما يلزم للجهات المختصة وفق القنوات النظامية.</w:t>
            </w:r>
          </w:p>
        </w:tc>
      </w:tr>
      <w:tr w:rsidR="00000000" w14:paraId="0D583B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BF9FA2" w14:textId="77777777" w:rsidR="00000000" w:rsidRDefault="00000000">
            <w:pPr>
              <w:bidi/>
              <w:rPr>
                <w:rFonts w:eastAsia="Times New Roman"/>
                <w:rtl/>
              </w:rPr>
            </w:pPr>
            <w:r>
              <w:rPr>
                <w:rStyle w:val="Strong"/>
                <w:rFonts w:eastAsia="Times New Roman"/>
                <w:rtl/>
              </w:rPr>
              <w:t>الجهات المختصة</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BC9C3" w14:textId="77777777" w:rsidR="00000000" w:rsidRDefault="00000000">
            <w:pPr>
              <w:bidi/>
              <w:rPr>
                <w:rFonts w:eastAsia="Times New Roman"/>
                <w:rtl/>
              </w:rPr>
            </w:pPr>
            <w:r>
              <w:rPr>
                <w:rFonts w:eastAsia="Times New Roman"/>
                <w:rtl/>
              </w:rPr>
              <w:t>الجهات الرسمية المختصة بمكافحة غسل الأموال وتمويل الإرهاب في المملكة العربية السعودية.</w:t>
            </w:r>
          </w:p>
        </w:tc>
      </w:tr>
    </w:tbl>
    <w:p w14:paraId="0CF7E1A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المبادئ العامة</w:t>
      </w:r>
    </w:p>
    <w:p w14:paraId="1C998FE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بالمبادئ الآتية:</w:t>
      </w:r>
    </w:p>
    <w:p w14:paraId="4A325387"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الالتزام بجميع الأنظمة واللوائح والتعليمات ذات العلاقة.</w:t>
      </w:r>
    </w:p>
    <w:p w14:paraId="07BB4E3E"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حظر قبول أي أموال مجهولة المصدر أو غير موثقة.</w:t>
      </w:r>
    </w:p>
    <w:p w14:paraId="37B55F17"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حظر استخدام أموال الصندوق إلا في الأغراض المرخصة والمعتمدة.</w:t>
      </w:r>
    </w:p>
    <w:p w14:paraId="440DC288"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تنفيذ جميع العمليات المالية من خلال الحسابات البنكية الرسمية المعتمدة باسم الصندوق.</w:t>
      </w:r>
    </w:p>
    <w:p w14:paraId="5EECB8B1"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جميع عمليات القبض والصرف والتحويل والتعاقد.</w:t>
      </w:r>
    </w:p>
    <w:p w14:paraId="3A763D9C"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فحص العمليات غير المعتادة قبل قبولها أو تنفيذها.</w:t>
      </w:r>
    </w:p>
    <w:p w14:paraId="6526654F"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المحافظة على سرية البلاغات والمعلومات المتعلقة بحالات الاشتباه.</w:t>
      </w:r>
    </w:p>
    <w:p w14:paraId="0D096729"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حظر تنبيه الشخص أو الجهة محل الاشتباه بأي صورة مباشرة أو غير مباشرة.</w:t>
      </w:r>
    </w:p>
    <w:p w14:paraId="3CC7531B"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حماية المبلِّغ حسن النية من أي إجراء تعسفي.</w:t>
      </w:r>
    </w:p>
    <w:p w14:paraId="45CC0A06"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التعاون مع الجهات المختصة متى طلب ذلك وفق الأنظمة.</w:t>
      </w:r>
    </w:p>
    <w:p w14:paraId="3FA9728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السادسة: تقييم المخاطر</w:t>
      </w:r>
    </w:p>
    <w:p w14:paraId="629A8F0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بتقييم مخاطر غسل الأموال وتمويل الإرهاب مرة واحدة على الأقل كل سنة، أو عند ظهور مخاطر جديدة.</w:t>
      </w:r>
    </w:p>
    <w:p w14:paraId="5E6E33B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ويشمل التقييم ما يأتي:</w:t>
      </w:r>
    </w:p>
    <w:p w14:paraId="44C3FA4E"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المساهمين والداعمين.</w:t>
      </w:r>
    </w:p>
    <w:p w14:paraId="2D666CF6"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المستفيدين.</w:t>
      </w:r>
    </w:p>
    <w:p w14:paraId="4D6EDF0D"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الموردين والمتعاقدين.</w:t>
      </w:r>
    </w:p>
    <w:p w14:paraId="316FCCB7"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العمليات المالية الكبيرة أو المتكررة أو غير المعتادة.</w:t>
      </w:r>
    </w:p>
    <w:p w14:paraId="290D5DE7"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المساهمات النقدية أو مجهولة المصدر.</w:t>
      </w:r>
    </w:p>
    <w:p w14:paraId="00D81D18"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التحويلات من خارج المملكة أو إلى خارجها.</w:t>
      </w:r>
    </w:p>
    <w:p w14:paraId="7DE0E1B4"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مخاطر ضعف التوثيق أو نقص المستندات.</w:t>
      </w:r>
    </w:p>
    <w:p w14:paraId="373FBB3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وتُصنَّف المخاطر إلى:</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0"/>
        <w:gridCol w:w="8094"/>
      </w:tblGrid>
      <w:tr w:rsidR="00000000" w14:paraId="617816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FEFA7D" w14:textId="77777777" w:rsidR="00000000" w:rsidRDefault="00000000">
            <w:pPr>
              <w:bidi/>
              <w:jc w:val="center"/>
              <w:rPr>
                <w:rFonts w:eastAsia="Times New Roman"/>
                <w:b/>
                <w:bCs/>
                <w:rtl/>
              </w:rPr>
            </w:pPr>
            <w:r>
              <w:rPr>
                <w:rFonts w:eastAsia="Times New Roman"/>
                <w:b/>
                <w:bCs/>
                <w:rtl/>
              </w:rPr>
              <w:t>درجة المخاطر</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C5365" w14:textId="77777777" w:rsidR="00000000" w:rsidRDefault="00000000">
            <w:pPr>
              <w:bidi/>
              <w:jc w:val="center"/>
              <w:rPr>
                <w:rFonts w:eastAsia="Times New Roman"/>
                <w:b/>
                <w:bCs/>
                <w:rtl/>
              </w:rPr>
            </w:pPr>
            <w:r>
              <w:rPr>
                <w:rFonts w:eastAsia="Times New Roman"/>
                <w:b/>
                <w:bCs/>
                <w:rtl/>
              </w:rPr>
              <w:t>الوصف</w:t>
            </w:r>
          </w:p>
        </w:tc>
      </w:tr>
      <w:tr w:rsidR="00000000" w14:paraId="775069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F84119" w14:textId="77777777" w:rsidR="00000000" w:rsidRDefault="00000000">
            <w:pPr>
              <w:bidi/>
              <w:rPr>
                <w:rFonts w:eastAsia="Times New Roman"/>
                <w:rtl/>
              </w:rPr>
            </w:pPr>
            <w:r>
              <w:rPr>
                <w:rFonts w:eastAsia="Times New Roman"/>
                <w:rtl/>
              </w:rPr>
              <w:t>منخفضة</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63A1F" w14:textId="77777777" w:rsidR="00000000" w:rsidRDefault="00000000">
            <w:pPr>
              <w:bidi/>
              <w:rPr>
                <w:rFonts w:eastAsia="Times New Roman"/>
                <w:rtl/>
              </w:rPr>
            </w:pPr>
            <w:r>
              <w:rPr>
                <w:rFonts w:eastAsia="Times New Roman"/>
                <w:rtl/>
              </w:rPr>
              <w:t>عملية معتادة، واضحة المصدر، موثقة، ومتوافقة مع أهداف الصندوق.</w:t>
            </w:r>
          </w:p>
        </w:tc>
      </w:tr>
      <w:tr w:rsidR="00000000" w14:paraId="0EAA44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DF490C" w14:textId="77777777" w:rsidR="00000000" w:rsidRDefault="00000000">
            <w:pPr>
              <w:bidi/>
              <w:rPr>
                <w:rFonts w:eastAsia="Times New Roman"/>
                <w:rtl/>
              </w:rPr>
            </w:pPr>
            <w:r>
              <w:rPr>
                <w:rFonts w:eastAsia="Times New Roman"/>
                <w:rtl/>
              </w:rPr>
              <w:t>متوسطة</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234A4" w14:textId="77777777" w:rsidR="00000000" w:rsidRDefault="00000000">
            <w:pPr>
              <w:bidi/>
              <w:rPr>
                <w:rFonts w:eastAsia="Times New Roman"/>
                <w:rtl/>
              </w:rPr>
            </w:pPr>
            <w:r>
              <w:rPr>
                <w:rFonts w:eastAsia="Times New Roman"/>
                <w:rtl/>
              </w:rPr>
              <w:t>عملية تحتاج إلى تحقق إضافي أو مستندات داعمة.</w:t>
            </w:r>
          </w:p>
        </w:tc>
      </w:tr>
      <w:tr w:rsidR="00000000" w14:paraId="278518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223D24" w14:textId="77777777" w:rsidR="00000000" w:rsidRDefault="00000000">
            <w:pPr>
              <w:bidi/>
              <w:rPr>
                <w:rFonts w:eastAsia="Times New Roman"/>
                <w:rtl/>
              </w:rPr>
            </w:pPr>
            <w:r>
              <w:rPr>
                <w:rFonts w:eastAsia="Times New Roman"/>
                <w:rtl/>
              </w:rPr>
              <w:t>عالية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06524" w14:textId="77777777" w:rsidR="00000000" w:rsidRDefault="00000000">
            <w:pPr>
              <w:bidi/>
              <w:rPr>
                <w:rFonts w:eastAsia="Times New Roman"/>
                <w:rtl/>
              </w:rPr>
            </w:pPr>
            <w:r>
              <w:rPr>
                <w:rFonts w:eastAsia="Times New Roman"/>
                <w:rtl/>
              </w:rPr>
              <w:t>عملية تتضمن مؤشرات اشتباه أو غموضًا في الأطراف أو مصدر الأموال أو الغرض من التعامل.</w:t>
            </w:r>
          </w:p>
        </w:tc>
      </w:tr>
    </w:tbl>
    <w:p w14:paraId="3816558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العناية الواجبة</w:t>
      </w:r>
    </w:p>
    <w:p w14:paraId="4BDB238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بتطبيق إجراءات العناية الواجبة عند التعامل مع المساهمين، والداعمين، والمستفيدين، والموردين، والمتعاقدين.</w:t>
      </w:r>
    </w:p>
    <w:p w14:paraId="30EFFBC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وتشمل العناية الواجبة ما يأتي:</w:t>
      </w:r>
    </w:p>
    <w:p w14:paraId="019B623B"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التحقق من هوية الشخص أو الجهة.</w:t>
      </w:r>
    </w:p>
    <w:p w14:paraId="41142FD9"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البيانات الأساسية للمتعامل.</w:t>
      </w:r>
    </w:p>
    <w:p w14:paraId="3E7C7D70"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التحقق من صفة المتعامل وغرض التعامل.</w:t>
      </w:r>
    </w:p>
    <w:p w14:paraId="48E4FC51"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التأكد من توافق العملية مع أهداف الصندوق.</w:t>
      </w:r>
    </w:p>
    <w:p w14:paraId="13B085F9"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مستندات إضافية عند وجود عملية غير معتادة.</w:t>
      </w:r>
    </w:p>
    <w:p w14:paraId="76104D10"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التحقق من مصدر الأموال عند وجود مؤشر يستدعي ذلك.</w:t>
      </w:r>
    </w:p>
    <w:p w14:paraId="6A695413"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رفض أو تعليق التعامل عند عدم كفاية البيانات أو وجود اشتباه معتبر.</w:t>
      </w:r>
    </w:p>
    <w:p w14:paraId="65CB4114"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حفظ مستندات التحقق ضمن ملف العملية.</w:t>
      </w:r>
    </w:p>
    <w:p w14:paraId="418C96D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وتُطبَّق العناية الواجبة المشددة في الحالات عالية المخاطر، ولا يجوز قبول العملية أو تنفيذها إلا بعد مراجعتها من مسؤول الالتزام وصاحب الصلاحية.</w:t>
      </w:r>
    </w:p>
    <w:p w14:paraId="4983E2F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الثامنة: فحص القوائم المحظورة</w:t>
      </w:r>
    </w:p>
    <w:p w14:paraId="63A6F94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وفق الإمكانات والتعليمات المنظمة، بفحص أسماء المتعاملين معه عند الحاجة ضد القوائم المحظورة وقوائم العقوبات المعتمدة في المملكة.</w:t>
      </w:r>
    </w:p>
    <w:p w14:paraId="17B68AB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وعند وجود تطابق أو اشتباه في تطابق، يجب اتخاذ الآتي:</w:t>
      </w:r>
    </w:p>
    <w:p w14:paraId="50F53BFE"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تعليق العملية فورًا.</w:t>
      </w:r>
    </w:p>
    <w:p w14:paraId="6B0B561D"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إبلاغ الطرف محل الاشتباه.</w:t>
      </w:r>
    </w:p>
    <w:p w14:paraId="2CF38462"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إحالة الحالة إلى مسؤول الالتزام.</w:t>
      </w:r>
    </w:p>
    <w:p w14:paraId="152A622B"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الواقعة والإجراءات المتخذة.</w:t>
      </w:r>
    </w:p>
    <w:p w14:paraId="1604D8CD"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اتخاذ الإجراء النظامي اللازم وفق القنوات المعتمدة.</w:t>
      </w:r>
    </w:p>
    <w:p w14:paraId="52FDE76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مؤشرات الاشتباه في المساهمات والدعم</w:t>
      </w:r>
    </w:p>
    <w:p w14:paraId="71A2ECF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الحالات الآتية مؤشرات اشتباه تستوجب التحقق:</w:t>
      </w:r>
    </w:p>
    <w:p w14:paraId="126AF4A4"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مساهمة كبيرة أو مفاجئة لا تتناسب مع الوضع المعروف للمساهم.</w:t>
      </w:r>
    </w:p>
    <w:p w14:paraId="2C37F0C0"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مساهمات نقدية متكررة أو رفض التحويل البنكي.</w:t>
      </w:r>
    </w:p>
    <w:p w14:paraId="791BBFED"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أموال من شخص مجهول أو غير معروف للصندوق.</w:t>
      </w:r>
    </w:p>
    <w:p w14:paraId="389EE08F"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محاولة إدخال مساهمات من أشخاص غير مقيدين ضمن نطاق العائلة أو مجهولي الصلة دون مسوّغ نظامي.</w:t>
      </w:r>
    </w:p>
    <w:p w14:paraId="4219925C"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استخدام أسماء مستعارة أو بيانات غير صحيحة أو غير مكتملة.</w:t>
      </w:r>
    </w:p>
    <w:p w14:paraId="6A10A70A"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رفض تقديم الهوية أو المستندات المطلوبة.</w:t>
      </w:r>
    </w:p>
    <w:p w14:paraId="1BE51FC0"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رفض توضيح مصدر الأموال عند طلب ذلك.</w:t>
      </w:r>
    </w:p>
    <w:p w14:paraId="3FFFB88E"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الإصرار غير المبرر على سرية المساهمة.</w:t>
      </w:r>
    </w:p>
    <w:p w14:paraId="5057F514"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اشتراط توجيه الأموال إلى شخص أو مشروع لا يدخل ضمن أغراض الصندوق.</w:t>
      </w:r>
    </w:p>
    <w:p w14:paraId="5961E3C5"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استرداد المساهمة أو تحويلها إلى طرف ثالث بعد فترة قصيرة من تقديمها.</w:t>
      </w:r>
    </w:p>
    <w:p w14:paraId="1B6BDECD"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تجزئة المبالغ الكبيرة إلى مبالغ صغيرة متكررة دون مبرر.</w:t>
      </w:r>
    </w:p>
    <w:p w14:paraId="144F16F9"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ورود أموال من خارج المملكة دون مسوّغ واضح أو مستندات كافية.</w:t>
      </w:r>
    </w:p>
    <w:p w14:paraId="39310049"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استخدام حسابات بنكية لا تعود للمساهم أو الداعم.</w:t>
      </w:r>
    </w:p>
    <w:p w14:paraId="27E4C25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العاشرة: مؤشرات الاشتباه في المستفيدين</w:t>
      </w:r>
    </w:p>
    <w:p w14:paraId="0E006AE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الحالات الآتية مؤشرات اشتباه تستوجب التحقق:</w:t>
      </w:r>
    </w:p>
    <w:p w14:paraId="411318CF"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تكرار طلب المساعدة من الشخص نفسه أو من أشخاص مرتبطين به خلال مدة قصيرة دون مبرر.</w:t>
      </w:r>
    </w:p>
    <w:p w14:paraId="14AB89B4"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مستندات غير مكتملة أو متضاربة أو مشتبه في صحتها.</w:t>
      </w:r>
    </w:p>
    <w:p w14:paraId="13CE8354"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رفض استكمال بيانات الهوية أو بيانات الاستحقاق.</w:t>
      </w:r>
    </w:p>
    <w:p w14:paraId="7490E52F"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إخفاء معلومات جوهرية عن الدخل أو الحالة المالية.</w:t>
      </w:r>
    </w:p>
    <w:p w14:paraId="75B53AB3"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صرف المساعدة نقدًا دون مبرر مقبول.</w:t>
      </w:r>
    </w:p>
    <w:p w14:paraId="4499E455"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تحويل المساعدة إلى حساب طرف ثالث دون سند نظامي.</w:t>
      </w:r>
    </w:p>
    <w:p w14:paraId="5ED95BBB"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استخدام أكثر من هوية أو بيانات اتصال مختلفة.</w:t>
      </w:r>
    </w:p>
    <w:p w14:paraId="53A10061"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ظهور طلبات مساعدة متشابهة من عدة أشخاص في وقت واحد دون مبرر واضح.</w:t>
      </w:r>
    </w:p>
    <w:p w14:paraId="62987535"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الضغط على العاملين أو اللجان لصرف المساعدة دون استكمال الإجراءات.</w:t>
      </w:r>
    </w:p>
    <w:p w14:paraId="0DD568A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عشرة: مؤشرات الاشتباه في الموردين والمتعاقدين</w:t>
      </w:r>
    </w:p>
    <w:p w14:paraId="4F1C351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الحالات الآتية مؤشرات اشتباه:</w:t>
      </w:r>
    </w:p>
    <w:p w14:paraId="082E9C10"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عروض أسعار غير منطقية مقارنة بأسعار السوق.</w:t>
      </w:r>
    </w:p>
    <w:p w14:paraId="7F25D552"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الدفع إلى حساب لا يعود للمورد أو المتعاقد.</w:t>
      </w:r>
    </w:p>
    <w:p w14:paraId="69759DE0"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رفض تقديم السجل أو الترخيص أو المستندات النظامية.</w:t>
      </w:r>
    </w:p>
    <w:p w14:paraId="60369A93"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فواتير غير واضحة أو مكررة أو غير مرتبطة بخدمة فعلية.</w:t>
      </w:r>
    </w:p>
    <w:p w14:paraId="29D4F170"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تجزئة العقود أو الفواتير لتجاوز حدود الصلاحيات.</w:t>
      </w:r>
    </w:p>
    <w:p w14:paraId="693F2F13"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علاقة غير مفصح عنها بين المورد وأحد منسوبي الصندوق.</w:t>
      </w:r>
    </w:p>
    <w:p w14:paraId="37FDE07E"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الدفع النقدي دون مبرر.</w:t>
      </w:r>
    </w:p>
    <w:p w14:paraId="219A0D87"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طلب تحويل مبالغ إلى طرف ثالث لا علاقة له بالعقد.</w:t>
      </w:r>
    </w:p>
    <w:p w14:paraId="2E05C00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عشرة: مؤشرات الاشتباه في العمليات المالية</w:t>
      </w:r>
    </w:p>
    <w:p w14:paraId="2DA460B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الحالات الآتية مؤشرات اشتباه:</w:t>
      </w:r>
    </w:p>
    <w:p w14:paraId="161E878D"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حركة مالية غير معتادة لا تتناسب مع نشاط الصندوق.</w:t>
      </w:r>
    </w:p>
    <w:p w14:paraId="2C42DB81"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صرف مبالغ دون مستندات أو موافقات معتمدة.</w:t>
      </w:r>
    </w:p>
    <w:p w14:paraId="1BEBAEF2"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مصروفات متكررة لمورد واحد دون مبرر واضح.</w:t>
      </w:r>
    </w:p>
    <w:p w14:paraId="3BA32D8A"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تحويل مبالغ بين بنود أو برامج دون اعتماد.</w:t>
      </w:r>
    </w:p>
    <w:p w14:paraId="7E16E6BD"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إجراء أي عملية مالية خارج الحساب البنكي الرسمي للصندوق.</w:t>
      </w:r>
    </w:p>
    <w:p w14:paraId="4F9ED82C"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مبالغ نقدية غير مبررة.</w:t>
      </w:r>
    </w:p>
    <w:p w14:paraId="1BD7DF09"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تأخير تسجيل العمليات أو إيداع المبالغ دون سبب واضح.</w:t>
      </w:r>
    </w:p>
    <w:p w14:paraId="439427F2"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تطابق السجلات المالية مع كشوف الحسابات البنكية.</w:t>
      </w:r>
    </w:p>
    <w:p w14:paraId="25CD5A4A"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محاولة تمرير عملية مالية دون عرضها على صاحب الصلاحية.</w:t>
      </w:r>
    </w:p>
    <w:p w14:paraId="520D878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الثالثة عشرة: إجراءات التعامل مع الاشتباه</w:t>
      </w:r>
    </w:p>
    <w:p w14:paraId="6C14F3D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عند ظهور أي مؤشر اشتباه، يجب الالتزام بالآتي:</w:t>
      </w:r>
    </w:p>
    <w:p w14:paraId="7ADABED0"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تنفيذ العملية قبل مراجعتها إذا كان في تنفيذها خطر أو مخالفة.</w:t>
      </w:r>
    </w:p>
    <w:p w14:paraId="34D737C3"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إبلاغ الشخص أو الجهة محل الاشتباه بسبب التوقف أو المراجعة.</w:t>
      </w:r>
    </w:p>
    <w:p w14:paraId="3F82F39B"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جمع المستندات والمعلومات المتاحة دون إثارة الانتباه.</w:t>
      </w:r>
    </w:p>
    <w:p w14:paraId="1DC84AE4"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تعبئة نموذج بلاغ اشتباه داخلي.</w:t>
      </w:r>
    </w:p>
    <w:p w14:paraId="27EDCE8B"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رفع البلاغ فورًا إلى مسؤول الالتزام.</w:t>
      </w:r>
    </w:p>
    <w:p w14:paraId="6919696F"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قيام مسؤول الالتزام بفحص البلاغ وتقييم مستوى المخاطر.</w:t>
      </w:r>
    </w:p>
    <w:p w14:paraId="0EEEB758"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اتخاذ أحد الإجراءات الآتية: حفظ البلاغ لعدم كفاية المؤشرات، أو طلب مستندات إضافية، أو تعليق العملية، أو رفضها، أو الإبلاغ للجهات المختصة.</w:t>
      </w:r>
    </w:p>
    <w:p w14:paraId="76FC73A5"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جميع الإجراءات والقرارات في سجل خاص.</w:t>
      </w:r>
    </w:p>
    <w:p w14:paraId="4DED887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عشرة: الإبلاغ الداخلي والخارجي</w:t>
      </w:r>
    </w:p>
    <w:p w14:paraId="2C99ED8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كل من يلاحظ مؤشر اشتباه بإبلاغ مسؤول الالتزام فورًا، ويجب أن يتضمن البلاغ الداخلي، قدر الإمكان، ما يأتي:</w:t>
      </w:r>
    </w:p>
    <w:p w14:paraId="2839AD15"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اسم المبلِّغ وصفته.</w:t>
      </w:r>
    </w:p>
    <w:p w14:paraId="47B1C716"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تاريخ البلاغ.</w:t>
      </w:r>
    </w:p>
    <w:p w14:paraId="0A2F6346"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اسم الشخص أو الجهة محل الاشتباه.</w:t>
      </w:r>
    </w:p>
    <w:p w14:paraId="57002475"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وصف العملية أو الواقعة.</w:t>
      </w:r>
    </w:p>
    <w:p w14:paraId="3B8386E7"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مبلغ العملية إن وُجد.</w:t>
      </w:r>
    </w:p>
    <w:p w14:paraId="3FDB230F"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أسباب الاشتباه.</w:t>
      </w:r>
    </w:p>
    <w:p w14:paraId="54DCD9CE"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المستندات المتاحة.</w:t>
      </w:r>
    </w:p>
    <w:p w14:paraId="379C8822"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إجراء تم اتخاذه.</w:t>
      </w:r>
    </w:p>
    <w:p w14:paraId="0B1F411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إذا رأى مسؤول الالتزام وجود اشتباه معتبر، فيتولى الإبلاغ للجهات المختصة عبر القنوات الرسمية المعتمدة، دون أن يتوقف ذلك على موافقة أي جهة داخلية، مع إشعار رئيس مجلس الأمناء بالقدر الذي لا يخل بسرية البلاغ أو يسبب تنبيه الطرف محل الاشتباه.</w:t>
      </w:r>
    </w:p>
    <w:p w14:paraId="4910E6C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الخامسة عشرة: حظر التنبيه والإفصاح</w:t>
      </w:r>
    </w:p>
    <w:p w14:paraId="2872F8F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يُحظر على أي عضو أو موظف أو متعاون أو متطوع أو شخص يعمل لصالح الصندوق أن ينبّه الشخص أو الجهة محل الاشتباه، أو يلمّح له، أو يفصح له عن وجود مراجعة أو بلاغ أو إجراء متعلق بالاشتباه.</w:t>
      </w:r>
    </w:p>
    <w:p w14:paraId="5DC652A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ويشمل الحظر:</w:t>
      </w:r>
    </w:p>
    <w:p w14:paraId="1C5CD317"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الإبلاغ المباشر بوجود اشتباه.</w:t>
      </w:r>
    </w:p>
    <w:p w14:paraId="301AE2B6"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التلميح بأن العملية محل فحص أو إبلاغ.</w:t>
      </w:r>
    </w:p>
    <w:p w14:paraId="1278334A"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تسريب نماذج أو مراسلات أو مستندات ذات علاقة.</w:t>
      </w:r>
    </w:p>
    <w:p w14:paraId="28546930"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تداول البلاغ مع غير المختصين.</w:t>
      </w:r>
    </w:p>
    <w:p w14:paraId="49541EF8"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مناقشة الحالة خارج نطاق مسؤول الالتزام والجهات المخولة.</w:t>
      </w:r>
    </w:p>
    <w:p w14:paraId="3B34E35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وتُعد مخالفة هذا الحظر مخالفة جسيمة تستوجب المساءلة وفق الأنظمة واللوائح المعمول بها.</w:t>
      </w:r>
    </w:p>
    <w:p w14:paraId="770252E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عشرة: مسؤوليات مجلس الأمناء</w:t>
      </w:r>
    </w:p>
    <w:p w14:paraId="2F32462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يتولى مجلس الأمناء ما يأتي:</w:t>
      </w:r>
    </w:p>
    <w:p w14:paraId="36B9F380"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هذه السياسة وتحديثاتها.</w:t>
      </w:r>
    </w:p>
    <w:p w14:paraId="16BF4B39"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تعيين مسؤول الالتزام ومنحه الصلاحيات اللازمة.</w:t>
      </w:r>
    </w:p>
    <w:p w14:paraId="43B57564"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متابعة مستوى الالتزام العام بالصندوق.</w:t>
      </w:r>
    </w:p>
    <w:p w14:paraId="23655333"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مراجعة تقارير الالتزام والمخاطر الدورية.</w:t>
      </w:r>
    </w:p>
    <w:p w14:paraId="01358527"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ضمان استقلال مسؤول الالتزام في فحص البلاغات ورفعها للجهات المختصة.</w:t>
      </w:r>
    </w:p>
    <w:p w14:paraId="7D41D06D"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معالجة أي ضعف رقابي يظهر في تطبيق هذه السياسة.</w:t>
      </w:r>
    </w:p>
    <w:p w14:paraId="60E5ECB1"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توفير الموارد اللازمة لتطبيق متطلبات الالتزام.</w:t>
      </w:r>
    </w:p>
    <w:p w14:paraId="6FB63AD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عشرة: مسؤوليات مسؤول الالتزام</w:t>
      </w:r>
    </w:p>
    <w:p w14:paraId="3CFCEDB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يتولى مسؤول الالتزام ما يأتي:</w:t>
      </w:r>
    </w:p>
    <w:p w14:paraId="4E38D050"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متابعة تطبيق هذه السياسة.</w:t>
      </w:r>
    </w:p>
    <w:p w14:paraId="749C5B6F"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استقبال بلاغات الاشتباه الداخلية.</w:t>
      </w:r>
    </w:p>
    <w:p w14:paraId="2D6CB161"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فحص البلاغات وتقييم درجة المخاطر.</w:t>
      </w:r>
    </w:p>
    <w:p w14:paraId="3DDD9A0D"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اتخاذ قرار الحفظ أو الاستكمال أو التصعيد بحسب الحالة.</w:t>
      </w:r>
    </w:p>
    <w:p w14:paraId="796BA6F5"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الإبلاغ للجهات المختصة عند وجود اشتباه معتبر.</w:t>
      </w:r>
    </w:p>
    <w:p w14:paraId="31F0F4B9"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حفظ سجل بلاغات الاشتباه والمستندات ذات العلاقة.</w:t>
      </w:r>
    </w:p>
    <w:p w14:paraId="03E93075"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إعداد تقارير دورية لمجلس الأمناء عن مستوى الالتزام وإشعار المدير التنفيذي بها، دون إفشاء تفاصيل البلاغات إلا بالقدر اللازم.</w:t>
      </w:r>
    </w:p>
    <w:p w14:paraId="23F4A46A"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اقتراح تحديث السياسة عند الحاجة.</w:t>
      </w:r>
    </w:p>
    <w:p w14:paraId="7B543AEA"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تنفيذ أو تنسيق برامج التوعية والتدريب.</w:t>
      </w:r>
    </w:p>
    <w:p w14:paraId="69651CF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الثامنة عشرة: مسؤوليات المسؤول المالي</w:t>
      </w:r>
    </w:p>
    <w:p w14:paraId="67160B0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المسؤول المالي بما يأتي:</w:t>
      </w:r>
    </w:p>
    <w:p w14:paraId="53B1BB59"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قبول أي أموال مجهولة المصدر أو غير موثقة.</w:t>
      </w:r>
    </w:p>
    <w:p w14:paraId="646D1AD3"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تنفيذ أي عملية مالية خارج الحساب البنكي الرسمي للصندوق.</w:t>
      </w:r>
    </w:p>
    <w:p w14:paraId="48AAF428"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صرف أي مبلغ دون مستندات وموافقات معتمدة.</w:t>
      </w:r>
    </w:p>
    <w:p w14:paraId="616584C3"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إجراء المطابقات البنكية شهريًا.</w:t>
      </w:r>
    </w:p>
    <w:p w14:paraId="0EA30BB4"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إبلاغ مسؤول الالتزام عن أي عملية غير معتادة.</w:t>
      </w:r>
    </w:p>
    <w:p w14:paraId="2004AA38"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حفظ المستندات المالية بطريقة منظمة وآمنة.</w:t>
      </w:r>
    </w:p>
    <w:p w14:paraId="6E02F82A"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تجزئة المدفوعات أو المشتريات لتجاوز الصلاحيات.</w:t>
      </w:r>
    </w:p>
    <w:p w14:paraId="02F74A97"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التأكد من ارتباط المصروفات بأهداف الصندوق وبرامجه المعتمدة.</w:t>
      </w:r>
    </w:p>
    <w:p w14:paraId="63F5228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عشرة: مسؤوليات العاملين والمتعاونين</w:t>
      </w:r>
    </w:p>
    <w:p w14:paraId="4E3B4EB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جميع العاملين والمتعاونين والمتطوعين بما يأتي:</w:t>
      </w:r>
    </w:p>
    <w:p w14:paraId="5446DA7B"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الاطلاع على هذه السياسة والالتزام بها.</w:t>
      </w:r>
    </w:p>
    <w:p w14:paraId="3D387607"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توقيع نموذج الإقرار والالتزام.</w:t>
      </w:r>
    </w:p>
    <w:p w14:paraId="3A14C01D"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الإبلاغ الفوري عن أي حالة اشتباه.</w:t>
      </w:r>
    </w:p>
    <w:p w14:paraId="491ADCA5"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المحافظة على سرية البلاغات والمعلومات.</w:t>
      </w:r>
    </w:p>
    <w:p w14:paraId="268F840E"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اتخاذ أي تصرف فردي في حالات الاشتباه.</w:t>
      </w:r>
    </w:p>
    <w:p w14:paraId="6AC9C5F4"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تنبيه الطرف محل الاشتباه.</w:t>
      </w:r>
    </w:p>
    <w:p w14:paraId="59BC1CAC"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التعاون مع مسؤول الالتزام عند طلب المعلومات.</w:t>
      </w:r>
    </w:p>
    <w:p w14:paraId="20A4D637"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حضور برامج التوعية التي يقررها الصندوق.</w:t>
      </w:r>
    </w:p>
    <w:p w14:paraId="6EBACCC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العشرون: قبول المساهمات والدعم</w:t>
      </w:r>
    </w:p>
    <w:p w14:paraId="0F4DDA9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عند قبول المساهمات أو الدعم بما يأتي:</w:t>
      </w:r>
    </w:p>
    <w:p w14:paraId="38C86C10"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الدعم متوافقًا مع أهداف الصندوق.</w:t>
      </w:r>
    </w:p>
    <w:p w14:paraId="7BE67009"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يتم الإيداع في الحساب البنكي الرسمي للصندوق.</w:t>
      </w:r>
    </w:p>
    <w:p w14:paraId="5264FB62"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بيانات المساهم أو الداعم ومبلغ العملية وتاريخها.</w:t>
      </w:r>
    </w:p>
    <w:p w14:paraId="070CD105"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قبول مساهمات مجهولة المصدر.</w:t>
      </w:r>
    </w:p>
    <w:p w14:paraId="11BB6E4F"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قبول مساهمات مشروطة بما يخالف أهداف الصندوق.</w:t>
      </w:r>
    </w:p>
    <w:p w14:paraId="5E8376BC"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مراجعة المساهمات الكبيرة أو غير المعتادة قبل اعتمادها.</w:t>
      </w:r>
    </w:p>
    <w:p w14:paraId="746EE050"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تعليق أو رفض أي مساهمة تظهر بشأنها مؤشرات اشتباه.</w:t>
      </w:r>
    </w:p>
    <w:p w14:paraId="5CA04AF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الحادية والعشرون: صرف المساعدات والمنافع</w:t>
      </w:r>
    </w:p>
    <w:p w14:paraId="0C696B0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عند صرف المساعدات أو المنافع بما يأتي:</w:t>
      </w:r>
    </w:p>
    <w:p w14:paraId="433AEDD0"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التحقق من أهلية المستفيد.</w:t>
      </w:r>
    </w:p>
    <w:p w14:paraId="46C22658"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سبب الاستحقاق والمستندات الداعمة.</w:t>
      </w:r>
    </w:p>
    <w:p w14:paraId="2145D962"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الصرف إلا بموافقة صاحب الصلاحية.</w:t>
      </w:r>
    </w:p>
    <w:p w14:paraId="0FB14F29"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الصرف عبر التحويل البنكي لحساب المستفيد.</w:t>
      </w:r>
    </w:p>
    <w:p w14:paraId="2036811B"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التحويل إلى طرف ثالث إلا بسند نظامي واضح.</w:t>
      </w:r>
    </w:p>
    <w:p w14:paraId="6603BEE6"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مراجعة الطلبات المتكررة أو غير المعتادة.</w:t>
      </w:r>
    </w:p>
    <w:p w14:paraId="38BF7272"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إبلاغ مسؤول الالتزام عن أي طلب مشتبه به.</w:t>
      </w:r>
    </w:p>
    <w:p w14:paraId="239640A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والعشرون: حفظ السجلات</w:t>
      </w:r>
    </w:p>
    <w:p w14:paraId="563C0EB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بحفظ السجلات والمستندات الآتية:</w:t>
      </w:r>
    </w:p>
    <w:p w14:paraId="590CF1C5"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سجلات المساهمات والدعم.</w:t>
      </w:r>
    </w:p>
    <w:p w14:paraId="60A3FF5C"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كشوف الحسابات البنكية.</w:t>
      </w:r>
    </w:p>
    <w:p w14:paraId="0E8862BD"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أوامر الصرف والموافقات.</w:t>
      </w:r>
    </w:p>
    <w:p w14:paraId="214098DF"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بيانات المستفيدين ومستندات الاستحقاق.</w:t>
      </w:r>
    </w:p>
    <w:p w14:paraId="46355CEE"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ملفات الموردين والمتعاقدين.</w:t>
      </w:r>
    </w:p>
    <w:p w14:paraId="083AFFF7"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نماذج العناية الواجبة.</w:t>
      </w:r>
    </w:p>
    <w:p w14:paraId="5A7A509D"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بلاغات الاشتباه الداخلية والخارجية.</w:t>
      </w:r>
    </w:p>
    <w:p w14:paraId="2173857B"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القرارات والإجراءات المتعلقة بحالات الاشتباه.</w:t>
      </w:r>
    </w:p>
    <w:p w14:paraId="67D48F7B"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نماذج إقرار العاملين.</w:t>
      </w:r>
    </w:p>
    <w:p w14:paraId="60914CA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وتُحفظ السجلات لمدة لا تقل عن عشر سنوات من تاريخ انتهاء العملية أو العلاقة، أو لأي مدة أطول تطلبها الأنظمة أو الجهات المختصة.</w:t>
      </w:r>
    </w:p>
    <w:p w14:paraId="413797B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والعشرون: السرية وحماية البيانات</w:t>
      </w:r>
    </w:p>
    <w:p w14:paraId="0CC4F00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المعلومات المتعلقة بالمساهمين، والمستفيدين، والبلاغات، وحالات الاشتباه، والسجلات المالية معلومات سرية.</w:t>
      </w:r>
    </w:p>
    <w:p w14:paraId="7A39D3A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ويلتزم الصندوق بما يأتي:</w:t>
      </w:r>
    </w:p>
    <w:p w14:paraId="17797899"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قصر الاطلاع على المختصين فقط.</w:t>
      </w:r>
    </w:p>
    <w:p w14:paraId="2A1451A3"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حفظ الملفات الورقية والإلكترونية بطريقة آمنة.</w:t>
      </w:r>
    </w:p>
    <w:p w14:paraId="688C9BB3"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منع نسخ أو تداول ملفات الاشتباه دون صلاحية.</w:t>
      </w:r>
    </w:p>
    <w:p w14:paraId="753E18C9"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مشاركة البيانات مع أي طرف إلا بموجب صلاحية نظامية.</w:t>
      </w:r>
    </w:p>
    <w:p w14:paraId="6A49D366"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اتخاذ الإجراءات اللازمة عند حدوث فقد أو تسريب للبيانات.</w:t>
      </w:r>
    </w:p>
    <w:p w14:paraId="2D3FDDF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الرابعة والعشرون: التدريب والتوعية</w:t>
      </w:r>
    </w:p>
    <w:p w14:paraId="0633853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بتنفيذ توعية دورية لمنسوبيه، وتشمل:</w:t>
      </w:r>
    </w:p>
    <w:p w14:paraId="0189FD60"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التعريف بمخاطر غسل الأموال وتمويل الإرهاب.</w:t>
      </w:r>
    </w:p>
    <w:p w14:paraId="25CA0B6B"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شرح مؤشرات الاشتباه الواردة في هذه السياسة.</w:t>
      </w:r>
    </w:p>
    <w:p w14:paraId="5324BC8C"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توضيح آلية الإبلاغ الداخلي.</w:t>
      </w:r>
    </w:p>
    <w:p w14:paraId="43622070"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بيان حظر التنبيه والإفصاح غير المصرح به.</w:t>
      </w:r>
    </w:p>
    <w:p w14:paraId="2683351E"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تدريب المختصين ماليًا وإداريًا على إجراءات العناية الواجبة.</w:t>
      </w:r>
    </w:p>
    <w:p w14:paraId="12997DDE"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توثيق حضور البرامج التوعوية والتدريبية.</w:t>
      </w:r>
    </w:p>
    <w:p w14:paraId="257E697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والعشرون: المراجعة والتحديث</w:t>
      </w:r>
    </w:p>
    <w:p w14:paraId="7D9FEBF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تُراجع هذه السياسة مرة واحدة على الأقل كل سنة، أو عند تحقق أي من الآتي:</w:t>
      </w:r>
    </w:p>
    <w:p w14:paraId="7B2B58DC"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صدور أنظمة أو تعليمات جديدة ذات علاقة.</w:t>
      </w:r>
    </w:p>
    <w:p w14:paraId="48FCE7BB"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تعديل قواعد أو متطلبات الصناديق العائلية.</w:t>
      </w:r>
    </w:p>
    <w:p w14:paraId="2952DBDC"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ظهور مخاطر جديدة في أعمال الصندوق.</w:t>
      </w:r>
    </w:p>
    <w:p w14:paraId="6AC9421D"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وقوع حالة اشتباه تستدعي تحسين الإجراءات.</w:t>
      </w:r>
    </w:p>
    <w:p w14:paraId="45FA3F68"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توصية مسؤول الالتزام أو مجلس الأمناء بالتحديث.</w:t>
      </w:r>
    </w:p>
    <w:p w14:paraId="2C5F4FC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ولا تكون أي تعديلات نافذة إلا بعد اعتمادها من مجلس الأمناء.</w:t>
      </w:r>
    </w:p>
    <w:p w14:paraId="5F84345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والعشرون: المخالفات والمساءلة</w:t>
      </w:r>
    </w:p>
    <w:p w14:paraId="6DD916D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مخالفة هذه السياسة أو تعطيل تطبيقها أو إخفاء معلومات ذات علاقة أو التهاون في الإبلاغ أو تنبيه الطرف محل الاشتباه مخالفة تستوجب المساءلة.</w:t>
      </w:r>
    </w:p>
    <w:p w14:paraId="3C4F290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وتشمل المخالفات بوجه خاص:</w:t>
      </w:r>
    </w:p>
    <w:p w14:paraId="43E4C3A2"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قبول أموال مجهولة المصدر.</w:t>
      </w:r>
    </w:p>
    <w:p w14:paraId="3A320780"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تنفيذ عملية مالية خارج الحساب الرسمي للصندوق.</w:t>
      </w:r>
    </w:p>
    <w:p w14:paraId="2C5697B0"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تمرير عملية مشتبه بها دون إبلاغ.</w:t>
      </w:r>
    </w:p>
    <w:p w14:paraId="1105FAC8"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إفشاء معلومات تتعلق ببلاغ اشتباه.</w:t>
      </w:r>
    </w:p>
    <w:p w14:paraId="2D7274D8"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تنبيه الطرف محل الاشتباه.</w:t>
      </w:r>
    </w:p>
    <w:p w14:paraId="1AF94010"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إخفاء أو إتلاف مستندات ذات علاقة.</w:t>
      </w:r>
    </w:p>
    <w:p w14:paraId="671B6520"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بيانات غير صحيحة.</w:t>
      </w:r>
    </w:p>
    <w:p w14:paraId="21036920"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مخالفة حدود الصلاحيات المالية.</w:t>
      </w:r>
    </w:p>
    <w:p w14:paraId="1AE4A4B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وتُطبَّق بحق المخالف الإجراءات النظامية والإدارية المناسبة وفق الأنظمة واللوائح المعمول بها، دون إخلال بحق الجهات المختصة في اتخاذ ما يلزم.</w:t>
      </w:r>
    </w:p>
    <w:p w14:paraId="508F4A1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السابعة والعشرون: النفاذ</w:t>
      </w:r>
    </w:p>
    <w:p w14:paraId="2419E66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تسري هذه السياسة من تاريخ اعتمادها من مجلس الأمناء، وتُعد ملزمة لجميع منسوبي الصندوق ومن يعمل تحت إشرافه أو يتعامل معه في نطاقها.</w:t>
      </w:r>
    </w:p>
    <w:p w14:paraId="10A941B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ويُكلَّف مسؤول الالتزام بمتابعة تطبيقها، وتعميمها على المعنيين، وحفظ ما يثبت اطلاعهم عليها.</w:t>
      </w:r>
    </w:p>
    <w:p w14:paraId="484B78E0"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نموذج إقرار والتزام موظف</w:t>
      </w:r>
    </w:p>
    <w:p w14:paraId="1269105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بيانات الموظف:</w:t>
      </w:r>
    </w:p>
    <w:p w14:paraId="63A43005"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الاسم الرباعي: ___________________________</w:t>
      </w:r>
    </w:p>
    <w:p w14:paraId="2CD310ED"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الرقم الوظيفي: ___________________________</w:t>
      </w:r>
    </w:p>
    <w:p w14:paraId="383D1729"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الإدارة / القسم: ___________________________</w:t>
      </w:r>
    </w:p>
    <w:p w14:paraId="1AAE492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الإقرار والالتزام:</w:t>
      </w:r>
    </w:p>
    <w:p w14:paraId="2B3A0F8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أقر أنا الموقّع أدناه بصفتي أحد العاملين في الصندوق العائلي، بأنني اطّلعت بشكل كامل على "نظام مكافحة غسل الأموال" و"نظام مكافحة جرائم الإرهاب وتمويله"، وأؤكد إلمامي التام ببنود "سياسة الاشتباه في عمليات غسل الأموال وتمويل الإرهاب" الخاصة بالصندوق.</w:t>
      </w:r>
    </w:p>
    <w:p w14:paraId="6D7363A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وبناءً عليه، أتعهد بالالتزام بالآتي:</w:t>
      </w:r>
    </w:p>
    <w:p w14:paraId="7EC29F75"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تنفيذ كافة الأحكام والتعليمات الواردة في السياسة بدقة متناهية أثناء أداء واجباتي الوظيفية.</w:t>
      </w:r>
    </w:p>
    <w:p w14:paraId="0B6C48B6"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رصد ومراقبة أي من "مؤشرات الاشتباه" المتعلقة بالتبرعات أو المستفيدين والتبليغ عنها فورًا للإدارة المختصة.</w:t>
      </w:r>
    </w:p>
    <w:p w14:paraId="542E35AC"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المحافظة على سرية المعلومات المتعلقة بحالات الاشتباه وعدم إفشائها لأي جهة غير مختصة.</w:t>
      </w:r>
    </w:p>
    <w:p w14:paraId="0BCDF33C"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التوقيع على هذا الالتزام كجزء أساسي من مسؤولياتي المهنية تجاه الصندوق.</w:t>
      </w:r>
    </w:p>
    <w:p w14:paraId="76F8FFE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أقر بأن أي مخالفة لهذه السياسة أو الأنظمة ذات العلاقة تُعرّضني للمساءلة القانونية والإجرائية المتبعة.</w:t>
      </w:r>
    </w:p>
    <w:tbl>
      <w:tblPr>
        <w:bidiVisual/>
        <w:tblW w:w="5000" w:type="pct"/>
        <w:tblCellSpacing w:w="15" w:type="dxa"/>
        <w:tblCellMar>
          <w:top w:w="15" w:type="dxa"/>
          <w:left w:w="15" w:type="dxa"/>
          <w:bottom w:w="15" w:type="dxa"/>
          <w:right w:w="15" w:type="dxa"/>
        </w:tblCellMar>
        <w:tblLook w:val="04A0" w:firstRow="1" w:lastRow="0" w:firstColumn="1" w:lastColumn="0" w:noHBand="0" w:noVBand="1"/>
      </w:tblPr>
      <w:tblGrid>
        <w:gridCol w:w="4743"/>
        <w:gridCol w:w="2312"/>
        <w:gridCol w:w="2305"/>
      </w:tblGrid>
      <w:tr w:rsidR="00000000" w14:paraId="4D50F97C" w14:textId="77777777">
        <w:trPr>
          <w:tblCellSpacing w:w="15" w:type="dxa"/>
        </w:trPr>
        <w:tc>
          <w:tcPr>
            <w:tcW w:w="0" w:type="auto"/>
            <w:vAlign w:val="center"/>
            <w:hideMark/>
          </w:tcPr>
          <w:p w14:paraId="497E99E9" w14:textId="77777777" w:rsidR="00000000" w:rsidRDefault="00000000">
            <w:pPr>
              <w:bidi/>
              <w:spacing w:before="300"/>
              <w:rPr>
                <w:rFonts w:eastAsia="Times New Roman"/>
                <w:rtl/>
              </w:rPr>
            </w:pPr>
            <w:r>
              <w:rPr>
                <w:rStyle w:val="Strong"/>
                <w:rFonts w:eastAsia="Times New Roman"/>
                <w:rtl/>
              </w:rPr>
              <w:t>توقيع الموظف</w:t>
            </w:r>
            <w:r>
              <w:rPr>
                <w:rStyle w:val="Strong"/>
                <w:rFonts w:eastAsia="Times New Roman"/>
              </w:rPr>
              <w:t>:</w:t>
            </w:r>
            <w:r>
              <w:rPr>
                <w:rFonts w:eastAsia="Times New Roman"/>
              </w:rPr>
              <w:t xml:space="preserve"> ___________________________</w:t>
            </w:r>
          </w:p>
        </w:tc>
        <w:tc>
          <w:tcPr>
            <w:tcW w:w="0" w:type="auto"/>
            <w:vAlign w:val="center"/>
            <w:hideMark/>
          </w:tcPr>
          <w:p w14:paraId="18E35AAF" w14:textId="77777777" w:rsidR="00000000" w:rsidRDefault="00000000">
            <w:pPr>
              <w:bidi/>
              <w:spacing w:before="300"/>
              <w:jc w:val="center"/>
              <w:rPr>
                <w:rFonts w:eastAsia="Times New Roman"/>
              </w:rPr>
            </w:pPr>
            <w:r>
              <w:rPr>
                <w:rStyle w:val="Strong"/>
                <w:rFonts w:eastAsia="Times New Roman"/>
                <w:rtl/>
              </w:rPr>
              <w:t>التاريخ</w:t>
            </w:r>
            <w:r>
              <w:rPr>
                <w:rStyle w:val="Strong"/>
                <w:rFonts w:eastAsia="Times New Roman"/>
              </w:rPr>
              <w:t>:</w:t>
            </w:r>
            <w:r>
              <w:rPr>
                <w:rFonts w:eastAsia="Times New Roman"/>
              </w:rPr>
              <w:t xml:space="preserve"> ___ /___ /144</w:t>
            </w:r>
            <w:r>
              <w:rPr>
                <w:rFonts w:eastAsia="Times New Roman"/>
                <w:rtl/>
              </w:rPr>
              <w:t>هـ</w:t>
            </w:r>
          </w:p>
        </w:tc>
        <w:tc>
          <w:tcPr>
            <w:tcW w:w="0" w:type="auto"/>
            <w:vAlign w:val="center"/>
            <w:hideMark/>
          </w:tcPr>
          <w:p w14:paraId="651AB9A6" w14:textId="77777777" w:rsidR="00000000" w:rsidRDefault="00000000">
            <w:pPr>
              <w:bidi/>
              <w:spacing w:before="300"/>
              <w:jc w:val="right"/>
              <w:rPr>
                <w:rFonts w:eastAsia="Times New Roman"/>
              </w:rPr>
            </w:pPr>
            <w:r>
              <w:rPr>
                <w:rStyle w:val="Strong"/>
                <w:rFonts w:eastAsia="Times New Roman"/>
                <w:rtl/>
              </w:rPr>
              <w:t>الموافق</w:t>
            </w:r>
            <w:r>
              <w:rPr>
                <w:rStyle w:val="Strong"/>
                <w:rFonts w:eastAsia="Times New Roman"/>
              </w:rPr>
              <w:t>:</w:t>
            </w:r>
            <w:r>
              <w:rPr>
                <w:rFonts w:eastAsia="Times New Roman"/>
              </w:rPr>
              <w:t xml:space="preserve"> ___ /___ /202</w:t>
            </w:r>
            <w:r>
              <w:rPr>
                <w:rFonts w:eastAsia="Times New Roman"/>
                <w:rtl/>
              </w:rPr>
              <w:t>م</w:t>
            </w:r>
          </w:p>
        </w:tc>
      </w:tr>
    </w:tbl>
    <w:p w14:paraId="367FDE44" w14:textId="77777777" w:rsidR="003F6CCA" w:rsidRDefault="003F6CCA">
      <w:pPr>
        <w:rPr>
          <w:rFonts w:eastAsia="Times New Roman"/>
        </w:rPr>
      </w:pPr>
    </w:p>
    <w:sectPr w:rsidR="003F6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21E"/>
    <w:multiLevelType w:val="multilevel"/>
    <w:tmpl w:val="87BA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907D9"/>
    <w:multiLevelType w:val="multilevel"/>
    <w:tmpl w:val="9DE6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D377E"/>
    <w:multiLevelType w:val="multilevel"/>
    <w:tmpl w:val="4104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A692E"/>
    <w:multiLevelType w:val="multilevel"/>
    <w:tmpl w:val="AEDE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522D0"/>
    <w:multiLevelType w:val="multilevel"/>
    <w:tmpl w:val="639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652C3"/>
    <w:multiLevelType w:val="multilevel"/>
    <w:tmpl w:val="AED0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A0E03"/>
    <w:multiLevelType w:val="multilevel"/>
    <w:tmpl w:val="8932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D2755"/>
    <w:multiLevelType w:val="multilevel"/>
    <w:tmpl w:val="3DE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5E32D7"/>
    <w:multiLevelType w:val="multilevel"/>
    <w:tmpl w:val="3BDE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C6BEB"/>
    <w:multiLevelType w:val="multilevel"/>
    <w:tmpl w:val="B578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01617"/>
    <w:multiLevelType w:val="multilevel"/>
    <w:tmpl w:val="5F40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A6CF4"/>
    <w:multiLevelType w:val="multilevel"/>
    <w:tmpl w:val="49E4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374AE"/>
    <w:multiLevelType w:val="multilevel"/>
    <w:tmpl w:val="167C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C65B2"/>
    <w:multiLevelType w:val="multilevel"/>
    <w:tmpl w:val="374E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C67A7F"/>
    <w:multiLevelType w:val="multilevel"/>
    <w:tmpl w:val="3C58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640320"/>
    <w:multiLevelType w:val="multilevel"/>
    <w:tmpl w:val="0762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007CF"/>
    <w:multiLevelType w:val="multilevel"/>
    <w:tmpl w:val="6A6E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75228"/>
    <w:multiLevelType w:val="multilevel"/>
    <w:tmpl w:val="281E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83745"/>
    <w:multiLevelType w:val="multilevel"/>
    <w:tmpl w:val="3CE6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20CB4"/>
    <w:multiLevelType w:val="multilevel"/>
    <w:tmpl w:val="ED4A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A63713"/>
    <w:multiLevelType w:val="multilevel"/>
    <w:tmpl w:val="1A5A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39340A"/>
    <w:multiLevelType w:val="multilevel"/>
    <w:tmpl w:val="301A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8D21BB"/>
    <w:multiLevelType w:val="multilevel"/>
    <w:tmpl w:val="817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9E45E8"/>
    <w:multiLevelType w:val="multilevel"/>
    <w:tmpl w:val="2BC6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8064B5"/>
    <w:multiLevelType w:val="multilevel"/>
    <w:tmpl w:val="61D6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344765"/>
    <w:multiLevelType w:val="multilevel"/>
    <w:tmpl w:val="E474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A45151"/>
    <w:multiLevelType w:val="multilevel"/>
    <w:tmpl w:val="A614C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384815">
    <w:abstractNumId w:val="25"/>
  </w:num>
  <w:num w:numId="2" w16cid:durableId="1497107788">
    <w:abstractNumId w:val="15"/>
  </w:num>
  <w:num w:numId="3" w16cid:durableId="1199779493">
    <w:abstractNumId w:val="14"/>
  </w:num>
  <w:num w:numId="4" w16cid:durableId="672489060">
    <w:abstractNumId w:val="9"/>
  </w:num>
  <w:num w:numId="5" w16cid:durableId="475413428">
    <w:abstractNumId w:val="21"/>
  </w:num>
  <w:num w:numId="6" w16cid:durableId="715855722">
    <w:abstractNumId w:val="2"/>
  </w:num>
  <w:num w:numId="7" w16cid:durableId="1036082323">
    <w:abstractNumId w:val="22"/>
  </w:num>
  <w:num w:numId="8" w16cid:durableId="1514765491">
    <w:abstractNumId w:val="17"/>
  </w:num>
  <w:num w:numId="9" w16cid:durableId="1878736283">
    <w:abstractNumId w:val="10"/>
  </w:num>
  <w:num w:numId="10" w16cid:durableId="1977682226">
    <w:abstractNumId w:val="8"/>
  </w:num>
  <w:num w:numId="11" w16cid:durableId="508062859">
    <w:abstractNumId w:val="24"/>
  </w:num>
  <w:num w:numId="12" w16cid:durableId="2079088145">
    <w:abstractNumId w:val="20"/>
  </w:num>
  <w:num w:numId="13" w16cid:durableId="552425881">
    <w:abstractNumId w:val="26"/>
  </w:num>
  <w:num w:numId="14" w16cid:durableId="1110508683">
    <w:abstractNumId w:val="1"/>
  </w:num>
  <w:num w:numId="15" w16cid:durableId="1059667633">
    <w:abstractNumId w:val="0"/>
  </w:num>
  <w:num w:numId="16" w16cid:durableId="1905795892">
    <w:abstractNumId w:val="13"/>
  </w:num>
  <w:num w:numId="17" w16cid:durableId="1330329670">
    <w:abstractNumId w:val="11"/>
  </w:num>
  <w:num w:numId="18" w16cid:durableId="1813716734">
    <w:abstractNumId w:val="7"/>
  </w:num>
  <w:num w:numId="19" w16cid:durableId="1215776642">
    <w:abstractNumId w:val="5"/>
  </w:num>
  <w:num w:numId="20" w16cid:durableId="835001833">
    <w:abstractNumId w:val="3"/>
  </w:num>
  <w:num w:numId="21" w16cid:durableId="801922959">
    <w:abstractNumId w:val="6"/>
  </w:num>
  <w:num w:numId="22" w16cid:durableId="1596792388">
    <w:abstractNumId w:val="12"/>
  </w:num>
  <w:num w:numId="23" w16cid:durableId="1504053754">
    <w:abstractNumId w:val="16"/>
  </w:num>
  <w:num w:numId="24" w16cid:durableId="621696090">
    <w:abstractNumId w:val="23"/>
  </w:num>
  <w:num w:numId="25" w16cid:durableId="1725569359">
    <w:abstractNumId w:val="19"/>
  </w:num>
  <w:num w:numId="26" w16cid:durableId="1561361374">
    <w:abstractNumId w:val="4"/>
  </w:num>
  <w:num w:numId="27" w16cid:durableId="3159615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77D5"/>
    <w:rsid w:val="001977D5"/>
    <w:rsid w:val="003F6CCA"/>
    <w:rsid w:val="00E2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36DD5"/>
  <w15:chartTrackingRefBased/>
  <w15:docId w15:val="{A0240DB3-3F33-4068-A67A-A634AA51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83315">
      <w:marLeft w:val="0"/>
      <w:marRight w:val="0"/>
      <w:marTop w:val="0"/>
      <w:marBottom w:val="300"/>
      <w:divBdr>
        <w:top w:val="none" w:sz="0" w:space="0" w:color="auto"/>
        <w:left w:val="none" w:sz="0" w:space="0" w:color="auto"/>
        <w:bottom w:val="single" w:sz="12" w:space="11" w:color="000000"/>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E:\MY%20PROJECT\Freelance%20Jobs\&#1575;&#1587;&#1578;&#1601;&#1587;&#1575;&#1585;%20&#1581;&#1608;&#1604;%20&#1578;&#1581;&#1608;&#1610;&#1604;%20&#1605;&#1604;&#1601;&#1575;&#1578;%20pdf%20&#1573;&#1604;&#1609;%20&#1608;&#1608;&#1585;&#1583;\Finished\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2312</Words>
  <Characters>13185</Characters>
  <Application>Microsoft Office Word</Application>
  <DocSecurity>0</DocSecurity>
  <Lines>109</Lines>
  <Paragraphs>30</Paragraphs>
  <ScaleCrop>false</ScaleCrop>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مكافحة غسل الأموال وتمويل الإرهاب</dc:title>
  <dc:subject/>
  <dc:creator>Abdelrahman Wael Mohamed Salman Soliman</dc:creator>
  <cp:keywords/>
  <dc:description/>
  <cp:lastModifiedBy>Abdelrahman Wael Mohamed Salman Soliman</cp:lastModifiedBy>
  <cp:revision>2</cp:revision>
  <dcterms:created xsi:type="dcterms:W3CDTF">2026-08-20T05:42:00Z</dcterms:created>
  <dcterms:modified xsi:type="dcterms:W3CDTF">2026-08-20T05:42:00Z</dcterms:modified>
</cp:coreProperties>
</file>