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F1ED8" w14:textId="77777777" w:rsidR="00000000" w:rsidRDefault="00000000">
      <w:pPr>
        <w:bidi/>
        <w:textAlignment w:val="center"/>
        <w:divId w:val="1635326807"/>
        <w:rPr>
          <w:rFonts w:ascii="Traditional Arabic" w:eastAsia="Times New Roman" w:hAnsi="Traditional Arabic" w:cs="Traditional Arabic"/>
          <w:lang w:bidi="ar"/>
        </w:rPr>
      </w:pPr>
      <w:r>
        <w:rPr>
          <w:rFonts w:ascii="Traditional Arabic" w:eastAsia="Times New Roman" w:hAnsi="Traditional Arabic" w:cs="Traditional Arabic"/>
          <w:noProof/>
          <w:lang w:bidi="ar"/>
        </w:rPr>
        <w:drawing>
          <wp:inline distT="0" distB="0" distL="0" distR="0" wp14:anchorId="0B11450A" wp14:editId="30924828">
            <wp:extent cx="1432560" cy="762000"/>
            <wp:effectExtent l="0" t="0" r="0" b="0"/>
            <wp:docPr id="1" name="Picture 1" descr="شعار الصندو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عار الصندوق"/>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432560" cy="762000"/>
                    </a:xfrm>
                    <a:prstGeom prst="rect">
                      <a:avLst/>
                    </a:prstGeom>
                    <a:noFill/>
                    <a:ln>
                      <a:noFill/>
                    </a:ln>
                  </pic:spPr>
                </pic:pic>
              </a:graphicData>
            </a:graphic>
          </wp:inline>
        </w:drawing>
      </w:r>
    </w:p>
    <w:p w14:paraId="53FF123E" w14:textId="77777777" w:rsidR="00000000" w:rsidRDefault="00000000">
      <w:pPr>
        <w:bidi/>
        <w:jc w:val="right"/>
        <w:textAlignment w:val="center"/>
        <w:divId w:val="1635326807"/>
        <w:rPr>
          <w:rFonts w:ascii="Traditional Arabic" w:eastAsia="Times New Roman" w:hAnsi="Traditional Arabic" w:cs="Traditional Arabic"/>
          <w:rtl/>
          <w:lang w:bidi="ar"/>
        </w:rPr>
      </w:pPr>
      <w:r>
        <w:rPr>
          <w:rStyle w:val="Strong"/>
          <w:rFonts w:ascii="Traditional Arabic" w:eastAsia="Times New Roman" w:hAnsi="Traditional Arabic" w:cs="Traditional Arabic"/>
          <w:color w:val="000000"/>
          <w:sz w:val="27"/>
          <w:szCs w:val="27"/>
          <w:rtl/>
          <w:lang w:bidi="ar"/>
        </w:rPr>
        <w:t>صندوق آل هويمل ( الألفة )</w:t>
      </w:r>
      <w:r>
        <w:rPr>
          <w:rFonts w:ascii="Traditional Arabic" w:eastAsia="Times New Roman" w:hAnsi="Traditional Arabic" w:cs="Traditional Arabic"/>
          <w:rtl/>
          <w:lang w:bidi="ar"/>
        </w:rPr>
        <w:br/>
      </w:r>
      <w:r>
        <w:rPr>
          <w:rStyle w:val="Strong"/>
          <w:rFonts w:ascii="Traditional Arabic" w:eastAsia="Times New Roman" w:hAnsi="Traditional Arabic" w:cs="Traditional Arabic"/>
          <w:color w:val="000000"/>
          <w:sz w:val="21"/>
          <w:szCs w:val="21"/>
          <w:rtl/>
          <w:lang w:bidi="ar"/>
        </w:rPr>
        <w:t>رقم الترخيص: ١٢٠٠٧٣٠٧٠٠</w:t>
      </w:r>
      <w:r>
        <w:rPr>
          <w:rFonts w:ascii="Traditional Arabic" w:eastAsia="Times New Roman" w:hAnsi="Traditional Arabic" w:cs="Traditional Arabic"/>
          <w:rtl/>
          <w:lang w:bidi="ar"/>
        </w:rPr>
        <w:t xml:space="preserve"> </w:t>
      </w:r>
    </w:p>
    <w:p w14:paraId="7B6BC330"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سياسة الرقابة الداخلية وآليات الإشراف والمتابعة</w:t>
      </w:r>
    </w:p>
    <w:p w14:paraId="702C1380" w14:textId="77777777" w:rsidR="00000000" w:rsidRDefault="00000000">
      <w:pPr>
        <w:pStyle w:val="NormalWeb"/>
        <w:bidi/>
        <w:jc w:val="center"/>
        <w:rPr>
          <w:rFonts w:ascii="Traditional Arabic" w:hAnsi="Traditional Arabic" w:cs="Traditional Arabic"/>
          <w:sz w:val="28"/>
          <w:szCs w:val="28"/>
          <w:rtl/>
          <w:lang w:bidi="ar"/>
        </w:rPr>
      </w:pPr>
      <w:r>
        <w:rPr>
          <w:rFonts w:ascii="Traditional Arabic" w:hAnsi="Traditional Arabic" w:cs="Traditional Arabic"/>
          <w:sz w:val="28"/>
          <w:szCs w:val="28"/>
          <w:rtl/>
          <w:lang w:bidi="ar"/>
        </w:rPr>
        <w:t xml:space="preserve">هذه السياسة معتمدة من قبل مجلس الأمناء بتاريخ </w:t>
      </w:r>
      <w:r>
        <w:rPr>
          <w:rFonts w:hint="cs"/>
          <w:sz w:val="28"/>
          <w:szCs w:val="28"/>
          <w:rtl/>
          <w:lang w:bidi="ar"/>
        </w:rPr>
        <w:t>​</w:t>
      </w:r>
      <w:r>
        <w:rPr>
          <w:rFonts w:ascii="Traditional Arabic" w:hAnsi="Traditional Arabic" w:cs="Traditional Arabic"/>
          <w:sz w:val="28"/>
          <w:szCs w:val="28"/>
          <w:rtl/>
          <w:lang w:bidi="ar"/>
        </w:rPr>
        <w:t>/</w:t>
      </w:r>
      <w:r>
        <w:rPr>
          <w:rFonts w:hint="cs"/>
          <w:sz w:val="28"/>
          <w:szCs w:val="28"/>
          <w:rtl/>
          <w:lang w:bidi="ar"/>
        </w:rPr>
        <w:t>​</w:t>
      </w:r>
      <w:r>
        <w:rPr>
          <w:rFonts w:ascii="Traditional Arabic" w:hAnsi="Traditional Arabic" w:cs="Traditional Arabic"/>
          <w:sz w:val="28"/>
          <w:szCs w:val="28"/>
          <w:rtl/>
          <w:lang w:bidi="ar"/>
        </w:rPr>
        <w:t xml:space="preserve"> </w:t>
      </w:r>
      <w:r>
        <w:rPr>
          <w:rFonts w:hint="cs"/>
          <w:sz w:val="28"/>
          <w:szCs w:val="28"/>
          <w:rtl/>
          <w:lang w:bidi="ar"/>
        </w:rPr>
        <w:t>​</w:t>
      </w:r>
      <w:r>
        <w:rPr>
          <w:rFonts w:ascii="Traditional Arabic" w:hAnsi="Traditional Arabic" w:cs="Traditional Arabic"/>
          <w:sz w:val="28"/>
          <w:szCs w:val="28"/>
          <w:rtl/>
          <w:lang w:bidi="ar"/>
        </w:rPr>
        <w:t>/1447</w:t>
      </w:r>
      <w:r>
        <w:rPr>
          <w:rFonts w:ascii="Traditional Arabic" w:hAnsi="Traditional Arabic" w:cs="Traditional Arabic" w:hint="cs"/>
          <w:sz w:val="28"/>
          <w:szCs w:val="28"/>
          <w:rtl/>
          <w:lang w:bidi="ar"/>
        </w:rPr>
        <w:t>هـ</w:t>
      </w:r>
      <w:r>
        <w:rPr>
          <w:rFonts w:ascii="Traditional Arabic" w:hAnsi="Traditional Arabic" w:cs="Traditional Arabic"/>
          <w:sz w:val="28"/>
          <w:szCs w:val="28"/>
          <w:rtl/>
          <w:lang w:bidi="ar"/>
        </w:rPr>
        <w:br/>
        <w:t>نسخة رقم (1)</w:t>
      </w:r>
    </w:p>
    <w:p w14:paraId="65F51A7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lastRenderedPageBreak/>
        <w:t>الفصل الأول: الأحكام التمهيدية</w:t>
      </w:r>
    </w:p>
    <w:p w14:paraId="070663DD"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الأولى: المصطلحات والتعريفات</w:t>
      </w:r>
    </w:p>
    <w:p w14:paraId="1B31D414"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يقصد بالمصطلحات الآتية - أينما وردت في هذه السياسة - نصًا أو في سياق الكلام، المعاني المدونة أمامها ما لم يقتضِ السياق خلاف ذلك:</w:t>
      </w:r>
    </w:p>
    <w:tbl>
      <w:tblPr>
        <w:bidiVisual/>
        <w:tblW w:w="5000" w:type="pct"/>
        <w:tblCellMar>
          <w:top w:w="15" w:type="dxa"/>
          <w:left w:w="15" w:type="dxa"/>
          <w:bottom w:w="15" w:type="dxa"/>
          <w:right w:w="15" w:type="dxa"/>
        </w:tblCellMar>
        <w:tblLook w:val="04A0" w:firstRow="1" w:lastRow="0" w:firstColumn="1" w:lastColumn="0" w:noHBand="0" w:noVBand="1"/>
      </w:tblPr>
      <w:tblGrid>
        <w:gridCol w:w="2336"/>
        <w:gridCol w:w="7008"/>
      </w:tblGrid>
      <w:tr w:rsidR="00000000" w14:paraId="51BACE07" w14:textId="77777777">
        <w:tc>
          <w:tcPr>
            <w:tcW w:w="1250" w:type="pct"/>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61A1BEFB" w14:textId="77777777" w:rsidR="00000000" w:rsidRDefault="00000000">
            <w:pPr>
              <w:bidi/>
              <w:spacing w:after="225"/>
              <w:rPr>
                <w:rFonts w:ascii="Traditional Arabic" w:eastAsia="Times New Roman" w:hAnsi="Traditional Arabic" w:cs="Traditional Arabic"/>
                <w:b/>
                <w:bCs/>
                <w:sz w:val="28"/>
                <w:szCs w:val="28"/>
                <w:rtl/>
              </w:rPr>
            </w:pPr>
            <w:r>
              <w:rPr>
                <w:rFonts w:ascii="Traditional Arabic" w:eastAsia="Times New Roman" w:hAnsi="Traditional Arabic" w:cs="Traditional Arabic"/>
                <w:b/>
                <w:bCs/>
                <w:sz w:val="28"/>
                <w:szCs w:val="28"/>
                <w:rtl/>
              </w:rPr>
              <w:t>الصندوق</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5289A7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الصندوق العائلي</w:t>
            </w:r>
            <w:r>
              <w:rPr>
                <w:rFonts w:ascii="Traditional Arabic" w:eastAsia="Times New Roman" w:hAnsi="Traditional Arabic" w:cs="Traditional Arabic"/>
                <w:sz w:val="28"/>
                <w:szCs w:val="28"/>
              </w:rPr>
              <w:t>.</w:t>
            </w:r>
          </w:p>
        </w:tc>
      </w:tr>
      <w:tr w:rsidR="00000000" w14:paraId="115A6A9D"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067EB39F"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المجلس</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5BD7C6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مجلس الأمناء (السلطة العليا في الصندوق)</w:t>
            </w:r>
            <w:r>
              <w:rPr>
                <w:rFonts w:ascii="Traditional Arabic" w:eastAsia="Times New Roman" w:hAnsi="Traditional Arabic" w:cs="Traditional Arabic"/>
                <w:sz w:val="28"/>
                <w:szCs w:val="28"/>
              </w:rPr>
              <w:t>.</w:t>
            </w:r>
          </w:p>
        </w:tc>
      </w:tr>
      <w:tr w:rsidR="00000000" w14:paraId="48E7BFAD"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54B8D1CA"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المركز</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1551A8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المركز الوطني لتنمية القطاع غير الربحي</w:t>
            </w:r>
            <w:r>
              <w:rPr>
                <w:rFonts w:ascii="Traditional Arabic" w:eastAsia="Times New Roman" w:hAnsi="Traditional Arabic" w:cs="Traditional Arabic"/>
                <w:sz w:val="28"/>
                <w:szCs w:val="28"/>
              </w:rPr>
              <w:t>.</w:t>
            </w:r>
          </w:p>
        </w:tc>
      </w:tr>
      <w:tr w:rsidR="00000000" w14:paraId="2C4EE7CA"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7DB13BBE"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اللائحة الأساسية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34DD77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الوثيقة النظامية المعتمدة التي تحكم عمل الصندوق</w:t>
            </w:r>
            <w:r>
              <w:rPr>
                <w:rFonts w:ascii="Traditional Arabic" w:eastAsia="Times New Roman" w:hAnsi="Traditional Arabic" w:cs="Traditional Arabic"/>
                <w:sz w:val="28"/>
                <w:szCs w:val="28"/>
              </w:rPr>
              <w:t>.</w:t>
            </w:r>
          </w:p>
        </w:tc>
      </w:tr>
      <w:tr w:rsidR="00000000" w14:paraId="062E199A"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6A1EECC6"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السياسة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F6E513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سياسة الرقابة الداخلية وآليات الإشراف والمتابعة</w:t>
            </w:r>
            <w:r>
              <w:rPr>
                <w:rFonts w:ascii="Traditional Arabic" w:eastAsia="Times New Roman" w:hAnsi="Traditional Arabic" w:cs="Traditional Arabic"/>
                <w:sz w:val="28"/>
                <w:szCs w:val="28"/>
              </w:rPr>
              <w:t>.</w:t>
            </w:r>
          </w:p>
        </w:tc>
      </w:tr>
      <w:tr w:rsidR="00000000" w14:paraId="2E5B918B"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3198D707"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المدير التنفيذي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F7DF63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الشخص المسؤول عن إدارة العمليات اليومية في الصندوق وتنفيذ قرارات المجلس</w:t>
            </w:r>
            <w:r>
              <w:rPr>
                <w:rFonts w:ascii="Traditional Arabic" w:eastAsia="Times New Roman" w:hAnsi="Traditional Arabic" w:cs="Traditional Arabic"/>
                <w:sz w:val="28"/>
                <w:szCs w:val="28"/>
              </w:rPr>
              <w:t>.</w:t>
            </w:r>
          </w:p>
        </w:tc>
      </w:tr>
      <w:tr w:rsidR="00000000" w14:paraId="6A6483B9"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09EB5B1D"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الرقابة الداخلية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513244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منظومة مستمرة من السياسات والإجراءات والصلاحيات والضوابط، ينفذها مجلس الأمناء والإدارة والعاملون لتوفير تأكيد معقول بشأن تحقيق الأهداف وفاعلية وكفاءة العمليات وموثوقية التقارير والامتثال للقوانين والأنظمة وحماية الأصول</w:t>
            </w:r>
            <w:r>
              <w:rPr>
                <w:rFonts w:ascii="Traditional Arabic" w:eastAsia="Times New Roman" w:hAnsi="Traditional Arabic" w:cs="Traditional Arabic"/>
                <w:sz w:val="28"/>
                <w:szCs w:val="28"/>
              </w:rPr>
              <w:t>.</w:t>
            </w:r>
          </w:p>
        </w:tc>
      </w:tr>
      <w:tr w:rsidR="00000000" w14:paraId="7493E2E6"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2D1E43AC"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الامتثال</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D16F3C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الالتزام بكافة الأنظمة واللوائح والتعليمات الصادرة من الجهات الرسمية واللوائح الداخلية للصندوق</w:t>
            </w:r>
            <w:r>
              <w:rPr>
                <w:rFonts w:ascii="Traditional Arabic" w:eastAsia="Times New Roman" w:hAnsi="Traditional Arabic" w:cs="Traditional Arabic"/>
                <w:sz w:val="28"/>
                <w:szCs w:val="28"/>
              </w:rPr>
              <w:t>.</w:t>
            </w:r>
          </w:p>
        </w:tc>
      </w:tr>
      <w:tr w:rsidR="00000000" w14:paraId="10385DE2"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68749341"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المراجعة الداخلية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B420EA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نشاط مستقل وموضوعي لتقديم التأكيدات والاستشارات، مصمم لإضافة قيمة وتحسين عمليات الصندوق، ويهدف إلى تقييم فاعلية الحوكمة وإدارة المخاطر والرقابة مما يساعد الصندوق على تحقيق أهدافه بأسلوب منهجي ومنضبط</w:t>
            </w:r>
            <w:r>
              <w:rPr>
                <w:rFonts w:ascii="Traditional Arabic" w:eastAsia="Times New Roman" w:hAnsi="Traditional Arabic" w:cs="Traditional Arabic"/>
                <w:sz w:val="28"/>
                <w:szCs w:val="28"/>
              </w:rPr>
              <w:t>.</w:t>
            </w:r>
          </w:p>
        </w:tc>
      </w:tr>
      <w:tr w:rsidR="00000000" w14:paraId="2ECB6F1B"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5D765255"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أصحاب المصلحة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F417FA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كافة الأطراف المعنية بالصندوق، بما في ذلك المجلس، واللجان، والعاملون، والمتطوعون</w:t>
            </w:r>
            <w:r>
              <w:rPr>
                <w:rFonts w:ascii="Traditional Arabic" w:eastAsia="Times New Roman" w:hAnsi="Traditional Arabic" w:cs="Traditional Arabic"/>
                <w:sz w:val="28"/>
                <w:szCs w:val="28"/>
              </w:rPr>
              <w:t>.</w:t>
            </w:r>
          </w:p>
        </w:tc>
      </w:tr>
    </w:tbl>
    <w:p w14:paraId="4D722A30"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المادة الثانية: الغرض من السياسة</w:t>
      </w:r>
    </w:p>
    <w:p w14:paraId="2FC942F0"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تهدف هذه السياسة إلى بناء مجموعة من القواعد والإجراءات بهدف حماية الأصول وضمان دقة المعلومات ومنع الاحتيال بما يعزز الفاعلية والكفاءة، والرقابة الداخلية وآليات الرقابة والمتابعة للمسؤوليات والصلاحيات الإدارية والمالية التي من شأنها أن تعزز من ضبط مسارات تدفق المعاملات والإجراءات المالية وغير المالية بهدف ضمان الالتزام بالقوانين والسياسات والقرارات ذات العلاقة بعمل الصندوق.</w:t>
      </w:r>
    </w:p>
    <w:p w14:paraId="5719C050"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نطاق التطبيق</w:t>
      </w:r>
    </w:p>
    <w:p w14:paraId="11F38FB6"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تُطبَّق هذه السياسة على جميع الأجهزة والإدارات المختصة في الصندوق بما في ذلك على سبيل المثال لا الحصر:</w:t>
      </w:r>
    </w:p>
    <w:p w14:paraId="47DCFA01" w14:textId="77777777" w:rsidR="00000000" w:rsidRDefault="00000000">
      <w:pPr>
        <w:numPr>
          <w:ilvl w:val="0"/>
          <w:numId w:val="1"/>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مجلس الأمناء.</w:t>
      </w:r>
    </w:p>
    <w:p w14:paraId="036FDDBF" w14:textId="77777777" w:rsidR="00000000" w:rsidRDefault="00000000">
      <w:pPr>
        <w:numPr>
          <w:ilvl w:val="0"/>
          <w:numId w:val="1"/>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اللجان الدائمة والمؤقتة.</w:t>
      </w:r>
    </w:p>
    <w:p w14:paraId="759A92A5" w14:textId="77777777" w:rsidR="00000000" w:rsidRDefault="00000000">
      <w:pPr>
        <w:numPr>
          <w:ilvl w:val="0"/>
          <w:numId w:val="1"/>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المدير التنفيذي والقيادات التنفيذية.</w:t>
      </w:r>
    </w:p>
    <w:p w14:paraId="45F8AEDD" w14:textId="77777777" w:rsidR="00000000" w:rsidRDefault="00000000">
      <w:pPr>
        <w:numPr>
          <w:ilvl w:val="0"/>
          <w:numId w:val="1"/>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العاملون في الصندوق.</w:t>
      </w:r>
    </w:p>
    <w:p w14:paraId="705935EA" w14:textId="77777777" w:rsidR="00000000" w:rsidRDefault="00000000">
      <w:pPr>
        <w:numPr>
          <w:ilvl w:val="0"/>
          <w:numId w:val="1"/>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المتطوعون.</w:t>
      </w:r>
    </w:p>
    <w:p w14:paraId="297645D9"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الرابعة: أحكام عامة</w:t>
      </w:r>
    </w:p>
    <w:p w14:paraId="396268C7" w14:textId="77777777" w:rsidR="00000000" w:rsidRDefault="00000000">
      <w:pPr>
        <w:numPr>
          <w:ilvl w:val="0"/>
          <w:numId w:val="2"/>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تُعد هذه السياسة مكملة للائحة الأساسية ولوائح وسياسات الصندوق، مع مراعاة النظام واللائحة والقواعد الواردة من الجهات الرسمية.</w:t>
      </w:r>
    </w:p>
    <w:p w14:paraId="0F5A770F" w14:textId="77777777" w:rsidR="00000000" w:rsidRDefault="00000000">
      <w:pPr>
        <w:numPr>
          <w:ilvl w:val="0"/>
          <w:numId w:val="2"/>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تتعاون جميع مستويات الصندوق معًا لضمان فاعلية الرقابة الداخلية والامتثال للمعايير واللوائح المعمول بها.</w:t>
      </w:r>
    </w:p>
    <w:p w14:paraId="1C9628FB"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الخامسة: اعتماد السياسة</w:t>
      </w:r>
    </w:p>
    <w:p w14:paraId="47AEF74E"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تعتمد هذه السياسة من مجلس الأمناء في الصندوق.</w:t>
      </w:r>
    </w:p>
    <w:p w14:paraId="1E52482D"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السادسة: نفاذ السياسة</w:t>
      </w:r>
    </w:p>
    <w:p w14:paraId="55A79BD8"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تُعد هذه السياسة نافذة من تاريخ إقرارها من قبل المجلس.</w:t>
      </w:r>
    </w:p>
    <w:p w14:paraId="1A12A1D6"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السابعة: التشريعات ذات العلاقة</w:t>
      </w:r>
    </w:p>
    <w:p w14:paraId="57D74597"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تُطبَّق جميع الأنظمة واللوائح والتعليمات ذات العلاقة المعتمدة في المملكة العربية السعودية وفي الصندوق - على سبيل المثال لا الحصر:</w:t>
      </w:r>
    </w:p>
    <w:p w14:paraId="78958A31" w14:textId="77777777" w:rsidR="00000000" w:rsidRDefault="00000000">
      <w:pPr>
        <w:numPr>
          <w:ilvl w:val="0"/>
          <w:numId w:val="3"/>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نظام الجمعيات والمؤسسات الأهلية ولائحته التنفيذية.</w:t>
      </w:r>
    </w:p>
    <w:p w14:paraId="1BE37FED" w14:textId="77777777" w:rsidR="00000000" w:rsidRDefault="00000000">
      <w:pPr>
        <w:numPr>
          <w:ilvl w:val="0"/>
          <w:numId w:val="3"/>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نظام مكافحة جرائم الإرهاب وتمويله.</w:t>
      </w:r>
    </w:p>
    <w:p w14:paraId="01AF5FF9" w14:textId="77777777" w:rsidR="00000000" w:rsidRDefault="00000000">
      <w:pPr>
        <w:numPr>
          <w:ilvl w:val="0"/>
          <w:numId w:val="3"/>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نظام مكافحة غسل الأموال.</w:t>
      </w:r>
    </w:p>
    <w:p w14:paraId="400181C3" w14:textId="77777777" w:rsidR="00000000" w:rsidRDefault="00000000">
      <w:pPr>
        <w:numPr>
          <w:ilvl w:val="0"/>
          <w:numId w:val="3"/>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نظام الإجراءات الجزائية ولائحته التنفيذية.</w:t>
      </w:r>
    </w:p>
    <w:p w14:paraId="14DBF96D" w14:textId="77777777" w:rsidR="00000000" w:rsidRDefault="00000000">
      <w:pPr>
        <w:numPr>
          <w:ilvl w:val="0"/>
          <w:numId w:val="3"/>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نظام مكافحة الاحتيال المالي وخيانة الأمانة.</w:t>
      </w:r>
    </w:p>
    <w:p w14:paraId="55FC7E13" w14:textId="77777777" w:rsidR="00000000" w:rsidRDefault="00000000">
      <w:pPr>
        <w:numPr>
          <w:ilvl w:val="0"/>
          <w:numId w:val="3"/>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نظام حماية المبلّغين والشهود والخبراء والضحايا.</w:t>
      </w:r>
    </w:p>
    <w:p w14:paraId="527D7093" w14:textId="77777777" w:rsidR="00000000" w:rsidRDefault="00000000">
      <w:pPr>
        <w:numPr>
          <w:ilvl w:val="0"/>
          <w:numId w:val="3"/>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قواعد حوكمة الجمعيات والمؤسسات الأهلية.</w:t>
      </w:r>
    </w:p>
    <w:p w14:paraId="315490CB" w14:textId="77777777" w:rsidR="00000000" w:rsidRDefault="00000000">
      <w:pPr>
        <w:numPr>
          <w:ilvl w:val="0"/>
          <w:numId w:val="3"/>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نظام العمل التطوعي المعتمد.</w:t>
      </w:r>
    </w:p>
    <w:p w14:paraId="144389F9" w14:textId="77777777" w:rsidR="00000000" w:rsidRDefault="00000000">
      <w:pPr>
        <w:numPr>
          <w:ilvl w:val="0"/>
          <w:numId w:val="3"/>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اللائحة الأساسية للصندوق.</w:t>
      </w:r>
    </w:p>
    <w:p w14:paraId="7E10E135" w14:textId="77777777" w:rsidR="00000000" w:rsidRDefault="00000000">
      <w:pPr>
        <w:numPr>
          <w:ilvl w:val="0"/>
          <w:numId w:val="3"/>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اللوائح والسياسات الداخلية ذات الصلة.</w:t>
      </w:r>
    </w:p>
    <w:p w14:paraId="689CA098"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الفصل الثاني: الأحكام الأساسية</w:t>
      </w:r>
    </w:p>
    <w:p w14:paraId="5BC9C840"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الثامنة: أهداف الرقابة الداخلية للصندوق</w:t>
      </w:r>
    </w:p>
    <w:p w14:paraId="671421B4"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تتمثل الأهداف الرئيسية للرقابة الداخلية للصندوق فيما يلي:</w:t>
      </w:r>
    </w:p>
    <w:p w14:paraId="0A5DEA29" w14:textId="77777777" w:rsidR="00000000" w:rsidRDefault="00000000">
      <w:pPr>
        <w:numPr>
          <w:ilvl w:val="0"/>
          <w:numId w:val="4"/>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التأكد من التزام الصندوق بكافة القوانين والسياسات واللوائح المنظمة لعمله.</w:t>
      </w:r>
    </w:p>
    <w:p w14:paraId="4FECCC5C" w14:textId="77777777" w:rsidR="00000000" w:rsidRDefault="00000000">
      <w:pPr>
        <w:numPr>
          <w:ilvl w:val="0"/>
          <w:numId w:val="4"/>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ضمان الإفصاح وشفافية ونزاهة وعدالة التقارير المالية وغير المالية للصندوق.</w:t>
      </w:r>
    </w:p>
    <w:p w14:paraId="4A68B85E" w14:textId="77777777" w:rsidR="00000000" w:rsidRDefault="00000000">
      <w:pPr>
        <w:numPr>
          <w:ilvl w:val="0"/>
          <w:numId w:val="4"/>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التأكد من تنفيذ الأهداف الاستراتيجية للصندوق.</w:t>
      </w:r>
    </w:p>
    <w:p w14:paraId="2E75CAE9" w14:textId="77777777" w:rsidR="00000000" w:rsidRDefault="00000000">
      <w:pPr>
        <w:numPr>
          <w:ilvl w:val="0"/>
          <w:numId w:val="4"/>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حماية موارد وأصول الصندوق وضمان استخدامها بشكل فعال وفقًا لأهداف الصندوق.</w:t>
      </w:r>
    </w:p>
    <w:p w14:paraId="77F62189" w14:textId="77777777" w:rsidR="00000000" w:rsidRDefault="00000000">
      <w:pPr>
        <w:numPr>
          <w:ilvl w:val="0"/>
          <w:numId w:val="4"/>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تعزيز الكفاءة والفاعلية داخل الصندوق من خلال تقييم الأداء وتحديد المجالات التي تحتاج إلى تحسين.</w:t>
      </w:r>
    </w:p>
    <w:p w14:paraId="38717D41" w14:textId="77777777" w:rsidR="00000000" w:rsidRDefault="00000000">
      <w:pPr>
        <w:numPr>
          <w:ilvl w:val="0"/>
          <w:numId w:val="4"/>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تقديم آليات لمنع واكتشاف الاحتيال المالي والإداري والفساد داخل الصندوق وتفعيل مبدأ المسؤولية والمساءلة.</w:t>
      </w:r>
    </w:p>
    <w:p w14:paraId="74DF0372"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التاسعة: مبادئ آليات الرقابة الداخلية</w:t>
      </w:r>
    </w:p>
    <w:p w14:paraId="2A942EA4" w14:textId="77777777" w:rsidR="00000000" w:rsidRDefault="00000000">
      <w:pPr>
        <w:numPr>
          <w:ilvl w:val="0"/>
          <w:numId w:val="5"/>
        </w:numPr>
        <w:bidi/>
        <w:spacing w:before="100" w:beforeAutospacing="1" w:after="90"/>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الشمولية:</w:t>
      </w:r>
      <w:r>
        <w:rPr>
          <w:rFonts w:ascii="Traditional Arabic" w:eastAsia="Times New Roman" w:hAnsi="Traditional Arabic" w:cs="Traditional Arabic"/>
          <w:sz w:val="28"/>
          <w:szCs w:val="28"/>
          <w:rtl/>
          <w:lang w:bidi="ar"/>
        </w:rPr>
        <w:t xml:space="preserve"> أن يعمل كافة أصحاب المصلحة في هيكل الصندوق بممارسة أنشطة المتابعة ليتمكن الصندوق من تجنب الثغرات.</w:t>
      </w:r>
    </w:p>
    <w:p w14:paraId="11CE17BB" w14:textId="77777777" w:rsidR="00000000" w:rsidRDefault="00000000">
      <w:pPr>
        <w:numPr>
          <w:ilvl w:val="0"/>
          <w:numId w:val="5"/>
        </w:numPr>
        <w:bidi/>
        <w:spacing w:before="100" w:beforeAutospacing="1" w:after="90"/>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التكامل:</w:t>
      </w:r>
      <w:r>
        <w:rPr>
          <w:rFonts w:ascii="Traditional Arabic" w:eastAsia="Times New Roman" w:hAnsi="Traditional Arabic" w:cs="Traditional Arabic"/>
          <w:sz w:val="28"/>
          <w:szCs w:val="28"/>
          <w:rtl/>
          <w:lang w:bidi="ar"/>
        </w:rPr>
        <w:t xml:space="preserve"> أن تتكامل مهام فريق الرقابة وأساليبه مع الأنظمة واللوائح التنظيمية والخطط الاستراتيجية والتنفيذية في الصندوق.</w:t>
      </w:r>
    </w:p>
    <w:p w14:paraId="2A7125B8" w14:textId="77777777" w:rsidR="00000000" w:rsidRDefault="00000000">
      <w:pPr>
        <w:numPr>
          <w:ilvl w:val="0"/>
          <w:numId w:val="5"/>
        </w:numPr>
        <w:bidi/>
        <w:spacing w:before="100" w:beforeAutospacing="1" w:after="90"/>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الوضوح والبساطة:</w:t>
      </w:r>
      <w:r>
        <w:rPr>
          <w:rFonts w:ascii="Traditional Arabic" w:eastAsia="Times New Roman" w:hAnsi="Traditional Arabic" w:cs="Traditional Arabic"/>
          <w:sz w:val="28"/>
          <w:szCs w:val="28"/>
          <w:rtl/>
          <w:lang w:bidi="ar"/>
        </w:rPr>
        <w:t xml:space="preserve"> أن يكون نظام الرقابة بسيطًا وسهل الفهم للعاملين واللجان ليسهم في التطبيق الناجح والأمثل.</w:t>
      </w:r>
    </w:p>
    <w:p w14:paraId="51C0D3F1" w14:textId="77777777" w:rsidR="00000000" w:rsidRDefault="00000000">
      <w:pPr>
        <w:numPr>
          <w:ilvl w:val="0"/>
          <w:numId w:val="5"/>
        </w:numPr>
        <w:bidi/>
        <w:spacing w:before="100" w:beforeAutospacing="1" w:after="90"/>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سرعة كشف الانحرافات والإبلاغ عن الأخطاء:</w:t>
      </w:r>
      <w:r>
        <w:rPr>
          <w:rFonts w:ascii="Traditional Arabic" w:eastAsia="Times New Roman" w:hAnsi="Traditional Arabic" w:cs="Traditional Arabic"/>
          <w:sz w:val="28"/>
          <w:szCs w:val="28"/>
          <w:rtl/>
          <w:lang w:bidi="ar"/>
        </w:rPr>
        <w:t xml:space="preserve"> أن يسهم نظام الرقابة في كشف الانحرافات والتبليغ عنها بسرعة لتصحيحها.</w:t>
      </w:r>
    </w:p>
    <w:p w14:paraId="6D8FA50E" w14:textId="77777777" w:rsidR="00000000" w:rsidRDefault="00000000">
      <w:pPr>
        <w:numPr>
          <w:ilvl w:val="0"/>
          <w:numId w:val="5"/>
        </w:numPr>
        <w:bidi/>
        <w:spacing w:before="100" w:beforeAutospacing="1" w:after="90"/>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الدقة والمصداقية:</w:t>
      </w:r>
      <w:r>
        <w:rPr>
          <w:rFonts w:ascii="Traditional Arabic" w:eastAsia="Times New Roman" w:hAnsi="Traditional Arabic" w:cs="Traditional Arabic"/>
          <w:sz w:val="28"/>
          <w:szCs w:val="28"/>
          <w:rtl/>
          <w:lang w:bidi="ar"/>
        </w:rPr>
        <w:t xml:space="preserve"> أن ترصد أنظمة الرقابة جميع المعلومات بدقة ويُحدد مصادرها للمساعدة على صنع القرار والتوجيه السليم.</w:t>
      </w:r>
    </w:p>
    <w:p w14:paraId="3ABC087E"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العاشرة: مسؤوليات الرقابة الداخلية</w:t>
      </w:r>
    </w:p>
    <w:p w14:paraId="5A9E8DBB"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يلتزم كافة من تنطبق عليهم هذه السياسة بمسؤولياتهم تجاه آليات الرقابة الداخلية للصندوق وتفعيلها لكل مستوى من مستويات الصندوق، حيث تتضمن مسؤوليات الرقابة الداخلية الأجهزة الآتية:</w:t>
      </w:r>
    </w:p>
    <w:p w14:paraId="0FB03579" w14:textId="77777777" w:rsidR="00000000" w:rsidRDefault="00000000">
      <w:pPr>
        <w:pStyle w:val="Heading4"/>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أولًا: مجلس الأمناء</w:t>
      </w:r>
    </w:p>
    <w:p w14:paraId="76002411" w14:textId="77777777" w:rsidR="00000000" w:rsidRDefault="00000000">
      <w:pPr>
        <w:numPr>
          <w:ilvl w:val="0"/>
          <w:numId w:val="6"/>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تفسير أحكام هذه السياسة.</w:t>
      </w:r>
    </w:p>
    <w:p w14:paraId="7E749A75" w14:textId="77777777" w:rsidR="00000000" w:rsidRDefault="00000000">
      <w:pPr>
        <w:numPr>
          <w:ilvl w:val="0"/>
          <w:numId w:val="6"/>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تكوين لجان محددة أو تكليف أحد لجانه المنبثقة عنه للنظر في المسائل التي من المحتمل أن تنطوي على عدم الالتزام.</w:t>
      </w:r>
    </w:p>
    <w:p w14:paraId="5A566520" w14:textId="77777777" w:rsidR="00000000" w:rsidRDefault="00000000">
      <w:pPr>
        <w:numPr>
          <w:ilvl w:val="0"/>
          <w:numId w:val="6"/>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تكليف مسؤول بمهام وأعمال الرقابة الداخلية والإشراف عليها.</w:t>
      </w:r>
    </w:p>
    <w:p w14:paraId="3F7268BF" w14:textId="77777777" w:rsidR="00000000" w:rsidRDefault="00000000">
      <w:pPr>
        <w:numPr>
          <w:ilvl w:val="0"/>
          <w:numId w:val="6"/>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البت في كافة التقارير والنماذج المنشأة بموجب أو بسبب هذه السياسة.</w:t>
      </w:r>
    </w:p>
    <w:p w14:paraId="23294559" w14:textId="77777777" w:rsidR="00000000" w:rsidRDefault="00000000">
      <w:pPr>
        <w:numPr>
          <w:ilvl w:val="0"/>
          <w:numId w:val="6"/>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اعتماد السياسات والإجراءات الناشئة بموجب أو بسبب هذه السياسة.</w:t>
      </w:r>
    </w:p>
    <w:p w14:paraId="015638A2" w14:textId="77777777" w:rsidR="00000000" w:rsidRDefault="00000000">
      <w:pPr>
        <w:numPr>
          <w:ilvl w:val="0"/>
          <w:numId w:val="6"/>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اعتماد مهام المراجعة الداخلية وتقاريرها.</w:t>
      </w:r>
    </w:p>
    <w:p w14:paraId="63C75566" w14:textId="77777777" w:rsidR="00000000" w:rsidRDefault="00000000">
      <w:pPr>
        <w:numPr>
          <w:ilvl w:val="0"/>
          <w:numId w:val="6"/>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مراقبة أداء الإدارة التنفيذية وضمان تحقيق الأهداف.</w:t>
      </w:r>
    </w:p>
    <w:p w14:paraId="71240CE2" w14:textId="77777777" w:rsidR="00000000" w:rsidRDefault="00000000">
      <w:pPr>
        <w:numPr>
          <w:ilvl w:val="0"/>
          <w:numId w:val="6"/>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التحقق من مناسبة أدوات الرقابة المالية والإدارية وإدارة المخاطر.</w:t>
      </w:r>
    </w:p>
    <w:p w14:paraId="0F0F35D0" w14:textId="77777777" w:rsidR="00000000" w:rsidRDefault="00000000">
      <w:pPr>
        <w:numPr>
          <w:ilvl w:val="0"/>
          <w:numId w:val="6"/>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التقارير المالية والإدارية، وضمان دقتها وشفافيتها.</w:t>
      </w:r>
    </w:p>
    <w:p w14:paraId="55901BD7" w14:textId="77777777" w:rsidR="00000000" w:rsidRDefault="00000000">
      <w:pPr>
        <w:numPr>
          <w:ilvl w:val="0"/>
          <w:numId w:val="6"/>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التحقق من سلامة ونزاهة العاملين في الصندوق والأنظمة المالية والمحاسبية.</w:t>
      </w:r>
    </w:p>
    <w:p w14:paraId="1488F88D" w14:textId="77777777" w:rsidR="00000000" w:rsidRDefault="00000000">
      <w:pPr>
        <w:pStyle w:val="Heading4"/>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ثانيًا: المسؤول التنفيذي</w:t>
      </w:r>
    </w:p>
    <w:p w14:paraId="65B3ECD9" w14:textId="77777777" w:rsidR="00000000" w:rsidRDefault="00000000">
      <w:pPr>
        <w:numPr>
          <w:ilvl w:val="0"/>
          <w:numId w:val="7"/>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تنفيذ السياسة والإجراءات المنبثقة عنها على مستوى الإدارة التنفيذية.</w:t>
      </w:r>
    </w:p>
    <w:p w14:paraId="42922071" w14:textId="77777777" w:rsidR="00000000" w:rsidRDefault="00000000">
      <w:pPr>
        <w:numPr>
          <w:ilvl w:val="0"/>
          <w:numId w:val="7"/>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تعميم التوجيه وتدريب الموظفين على الامتثال للسياسات والإجراءات.</w:t>
      </w:r>
    </w:p>
    <w:p w14:paraId="7AF36032" w14:textId="77777777" w:rsidR="00000000" w:rsidRDefault="00000000">
      <w:pPr>
        <w:numPr>
          <w:ilvl w:val="0"/>
          <w:numId w:val="7"/>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ومراقبة وتقييم أداء الموظفين وتقديم التوجيه اللازم.</w:t>
      </w:r>
    </w:p>
    <w:p w14:paraId="65BE5380" w14:textId="77777777" w:rsidR="00000000" w:rsidRDefault="00000000">
      <w:pPr>
        <w:numPr>
          <w:ilvl w:val="0"/>
          <w:numId w:val="7"/>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تقديم تقارير دورية للمجلس حول أداء الصندوق والامتثال للسياسات والإجراءات الخاصة بالرقابة الداخلية.</w:t>
      </w:r>
    </w:p>
    <w:p w14:paraId="519640B9" w14:textId="77777777" w:rsidR="00000000" w:rsidRDefault="00000000">
      <w:pPr>
        <w:numPr>
          <w:ilvl w:val="0"/>
          <w:numId w:val="7"/>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اقتراح التعديلات اللازمة على السياسة، أو ما ينبثق عنها من إجراءات.</w:t>
      </w:r>
    </w:p>
    <w:p w14:paraId="0C3DD047" w14:textId="77777777" w:rsidR="00000000" w:rsidRDefault="00000000">
      <w:pPr>
        <w:numPr>
          <w:ilvl w:val="0"/>
          <w:numId w:val="7"/>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التأكد من تنفيذ هذه السياسة والعمل بموجبها.</w:t>
      </w:r>
    </w:p>
    <w:p w14:paraId="3A6BE9D1" w14:textId="77777777" w:rsidR="00000000" w:rsidRDefault="00000000">
      <w:pPr>
        <w:pStyle w:val="Heading4"/>
        <w:bidi/>
        <w:rPr>
          <w:rFonts w:ascii="Traditional Arabic" w:eastAsia="Times New Roman" w:hAnsi="Traditional Arabic" w:cs="Traditional Arabic"/>
          <w:rtl/>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t>ثالثًا: العاملون</w:t>
      </w:r>
    </w:p>
    <w:p w14:paraId="58F5CF57" w14:textId="77777777" w:rsidR="00000000" w:rsidRDefault="00000000">
      <w:pPr>
        <w:numPr>
          <w:ilvl w:val="0"/>
          <w:numId w:val="8"/>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الامتثال لهذه السياسة وسياسات وإجراءات الرقابة الداخلية.</w:t>
      </w:r>
    </w:p>
    <w:p w14:paraId="69202354" w14:textId="77777777" w:rsidR="00000000" w:rsidRDefault="00000000">
      <w:pPr>
        <w:numPr>
          <w:ilvl w:val="0"/>
          <w:numId w:val="8"/>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الإبلاغ عن أي مخالفات أو انتهاكات تتعلق بالرقابة الداخلية.</w:t>
      </w:r>
    </w:p>
    <w:p w14:paraId="10F84ED8" w14:textId="77777777" w:rsidR="00000000" w:rsidRDefault="00000000">
      <w:pPr>
        <w:numPr>
          <w:ilvl w:val="0"/>
          <w:numId w:val="8"/>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المشاركة في ورش العمل والتدريب لتعزيز الوعي بأهمية الرقابة الداخلية.</w:t>
      </w:r>
    </w:p>
    <w:p w14:paraId="20F57B94"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الحادية عشرة: أبرز أدوات الرقابة الداخلية</w:t>
      </w:r>
    </w:p>
    <w:p w14:paraId="04929EB5"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تُعد هذه الأدوات جزءًا أساسيًا لضمان فاعلية العمليات والامتثال للسياسات والإجراءات:</w:t>
      </w:r>
    </w:p>
    <w:p w14:paraId="07DF333D" w14:textId="77777777" w:rsidR="00000000" w:rsidRDefault="00000000">
      <w:pPr>
        <w:numPr>
          <w:ilvl w:val="0"/>
          <w:numId w:val="9"/>
        </w:numPr>
        <w:bidi/>
        <w:spacing w:before="100" w:beforeAutospacing="1" w:after="90"/>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الاجتماعات الدورية:</w:t>
      </w:r>
      <w:r>
        <w:rPr>
          <w:rFonts w:ascii="Traditional Arabic" w:eastAsia="Times New Roman" w:hAnsi="Traditional Arabic" w:cs="Traditional Arabic"/>
          <w:sz w:val="28"/>
          <w:szCs w:val="28"/>
          <w:rtl/>
          <w:lang w:bidi="ar"/>
        </w:rPr>
        <w:t xml:space="preserve"> توفر منصة لمناقشة التقارير واتخاذ القرارات. تتطلب جدول أعمال واضحًا، توثيق المحاضر، ومتابعة تنفيذ القرارات.</w:t>
      </w:r>
    </w:p>
    <w:p w14:paraId="18BD6874" w14:textId="77777777" w:rsidR="00000000" w:rsidRDefault="00000000">
      <w:pPr>
        <w:numPr>
          <w:ilvl w:val="0"/>
          <w:numId w:val="9"/>
        </w:numPr>
        <w:bidi/>
        <w:spacing w:before="100" w:beforeAutospacing="1" w:after="90"/>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التقارير:</w:t>
      </w:r>
      <w:r>
        <w:rPr>
          <w:rFonts w:ascii="Traditional Arabic" w:eastAsia="Times New Roman" w:hAnsi="Traditional Arabic" w:cs="Traditional Arabic"/>
          <w:sz w:val="28"/>
          <w:szCs w:val="28"/>
          <w:rtl/>
          <w:lang w:bidi="ar"/>
        </w:rPr>
        <w:t xml:space="preserve"> تشمل تقارير مالية، أداء، مخاطر، امتثال، ومراجعة داخلية. تعزز الشفافية والمساءلة وتساعد في اتخاذ القرارات.</w:t>
      </w:r>
    </w:p>
    <w:p w14:paraId="355CF3F2" w14:textId="77777777" w:rsidR="00000000" w:rsidRDefault="00000000">
      <w:pPr>
        <w:numPr>
          <w:ilvl w:val="0"/>
          <w:numId w:val="9"/>
        </w:numPr>
        <w:bidi/>
        <w:spacing w:before="100" w:beforeAutospacing="1" w:after="90"/>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الفحص والتدقيق:</w:t>
      </w:r>
      <w:r>
        <w:rPr>
          <w:rFonts w:ascii="Traditional Arabic" w:eastAsia="Times New Roman" w:hAnsi="Traditional Arabic" w:cs="Traditional Arabic"/>
          <w:sz w:val="28"/>
          <w:szCs w:val="28"/>
          <w:rtl/>
          <w:lang w:bidi="ar"/>
        </w:rPr>
        <w:t xml:space="preserve"> يُقيَّم من خلاله العمليات والإجراءات لضمان الفاعلية والامتثال وتحسين الأداء وتقليل المخاطر، بتحديد نقاط القوة والضعف.</w:t>
      </w:r>
    </w:p>
    <w:p w14:paraId="4A076188" w14:textId="77777777" w:rsidR="00000000" w:rsidRDefault="00000000">
      <w:pPr>
        <w:numPr>
          <w:ilvl w:val="0"/>
          <w:numId w:val="9"/>
        </w:numPr>
        <w:bidi/>
        <w:spacing w:before="100" w:beforeAutospacing="1" w:after="90"/>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الاستطلاعات:</w:t>
      </w:r>
      <w:r>
        <w:rPr>
          <w:rFonts w:ascii="Traditional Arabic" w:eastAsia="Times New Roman" w:hAnsi="Traditional Arabic" w:cs="Traditional Arabic"/>
          <w:sz w:val="28"/>
          <w:szCs w:val="28"/>
          <w:rtl/>
          <w:lang w:bidi="ar"/>
        </w:rPr>
        <w:t xml:space="preserve"> استقبال وجمع آراء الموظفين والمستفيدين لتحسين الأداء، وتتطلب تصميمًا دقيقًا وتحليل النتائج لاتخاذ إجراءات تصحيحية.</w:t>
      </w:r>
    </w:p>
    <w:p w14:paraId="18357759"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عشرة: آليات الرقابة الداخلية</w:t>
      </w:r>
    </w:p>
    <w:p w14:paraId="56305C1C" w14:textId="77777777" w:rsidR="00000000" w:rsidRDefault="00000000">
      <w:pPr>
        <w:numPr>
          <w:ilvl w:val="0"/>
          <w:numId w:val="10"/>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توزيع المهام بما يضمن عدم تفرد أي شخص بالسلطة.</w:t>
      </w:r>
    </w:p>
    <w:p w14:paraId="184A82A7" w14:textId="77777777" w:rsidR="00000000" w:rsidRDefault="00000000">
      <w:pPr>
        <w:numPr>
          <w:ilvl w:val="0"/>
          <w:numId w:val="10"/>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إجراء المراجعات الدورية للعمليات والمعلومات المالية والإدارية للصندوق.</w:t>
      </w:r>
    </w:p>
    <w:p w14:paraId="7D830A65" w14:textId="77777777" w:rsidR="00000000" w:rsidRDefault="00000000">
      <w:pPr>
        <w:numPr>
          <w:ilvl w:val="0"/>
          <w:numId w:val="10"/>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بناء إجراءات واضحة للتحقق من مدى الالتزام بها.</w:t>
      </w:r>
    </w:p>
    <w:p w14:paraId="2732BAB5" w14:textId="77777777" w:rsidR="00000000" w:rsidRDefault="00000000">
      <w:pPr>
        <w:numPr>
          <w:ilvl w:val="0"/>
          <w:numId w:val="10"/>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تقييم وتحليل المخاطر بشكل دوري.</w:t>
      </w:r>
    </w:p>
    <w:p w14:paraId="60316886" w14:textId="77777777" w:rsidR="00000000" w:rsidRDefault="00000000">
      <w:pPr>
        <w:numPr>
          <w:ilvl w:val="0"/>
          <w:numId w:val="10"/>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تحديد الأهداف والمعايير.</w:t>
      </w:r>
    </w:p>
    <w:p w14:paraId="6283D46A" w14:textId="77777777" w:rsidR="00000000" w:rsidRDefault="00000000">
      <w:pPr>
        <w:numPr>
          <w:ilvl w:val="0"/>
          <w:numId w:val="10"/>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تقارير الأداء.</w:t>
      </w:r>
    </w:p>
    <w:p w14:paraId="7678CA62" w14:textId="77777777" w:rsidR="00000000" w:rsidRDefault="00000000">
      <w:pPr>
        <w:numPr>
          <w:ilvl w:val="0"/>
          <w:numId w:val="10"/>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تحليل البيانات.</w:t>
      </w:r>
    </w:p>
    <w:p w14:paraId="12F916AD" w14:textId="77777777" w:rsidR="00000000" w:rsidRDefault="00000000">
      <w:pPr>
        <w:numPr>
          <w:ilvl w:val="0"/>
          <w:numId w:val="10"/>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تنوع مصادر جمع المعلومات من قبل المسؤول المكلف بالرقابة من قبل المجلس.</w:t>
      </w:r>
    </w:p>
    <w:p w14:paraId="78E7B519" w14:textId="77777777" w:rsidR="00000000" w:rsidRDefault="00000000">
      <w:pPr>
        <w:numPr>
          <w:ilvl w:val="0"/>
          <w:numId w:val="10"/>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تقديم التقارير للمجلس.</w:t>
      </w:r>
    </w:p>
    <w:p w14:paraId="6C1B8082"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الثالثة عشرة: الاستجابة لنتائج الرقابة الداخلية</w:t>
      </w:r>
    </w:p>
    <w:p w14:paraId="761DE1F3" w14:textId="77777777" w:rsidR="00000000" w:rsidRDefault="00000000">
      <w:pPr>
        <w:numPr>
          <w:ilvl w:val="0"/>
          <w:numId w:val="11"/>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التقارير والتأكد من دقة البيانات لضمان صحة النتائج والتوصيات.</w:t>
      </w:r>
    </w:p>
    <w:p w14:paraId="737228AD" w14:textId="77777777" w:rsidR="00000000" w:rsidRDefault="00000000">
      <w:pPr>
        <w:numPr>
          <w:ilvl w:val="0"/>
          <w:numId w:val="11"/>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التعامل مع المشكلات التي قد تؤثر على النتائج المالية وحلها بفاعلية.</w:t>
      </w:r>
    </w:p>
    <w:p w14:paraId="7D8F695C" w14:textId="77777777" w:rsidR="00000000" w:rsidRDefault="00000000">
      <w:pPr>
        <w:numPr>
          <w:ilvl w:val="0"/>
          <w:numId w:val="11"/>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تحديد الفجوات والتحديات وتقديم حلول فعالة لتجاوزها.</w:t>
      </w:r>
    </w:p>
    <w:p w14:paraId="01C9D9A6" w14:textId="77777777" w:rsidR="00000000" w:rsidRDefault="00000000">
      <w:pPr>
        <w:numPr>
          <w:ilvl w:val="0"/>
          <w:numId w:val="11"/>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تقديم التوجيهات والتوصيات لتحسين العمليات وتعزيز الكفاءة.</w:t>
      </w:r>
    </w:p>
    <w:p w14:paraId="37AF6615" w14:textId="77777777" w:rsidR="00000000" w:rsidRDefault="00000000">
      <w:pPr>
        <w:numPr>
          <w:ilvl w:val="0"/>
          <w:numId w:val="11"/>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توثيق العمليات والتدابير المتخذة للرقابة والمراجعة لضمان الشفافية والمساءلة.</w:t>
      </w:r>
    </w:p>
    <w:p w14:paraId="5EEC16FC" w14:textId="77777777" w:rsidR="00000000" w:rsidRDefault="00000000">
      <w:pPr>
        <w:numPr>
          <w:ilvl w:val="0"/>
          <w:numId w:val="11"/>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متابعة تنفيذ التوصيات الناتجة عن التقارير لضمان التطبيق الصحيح والتحسين المستمر.</w:t>
      </w:r>
    </w:p>
    <w:p w14:paraId="223AACD9" w14:textId="77777777" w:rsidR="00000000" w:rsidRDefault="00000000">
      <w:pPr>
        <w:numPr>
          <w:ilvl w:val="0"/>
          <w:numId w:val="11"/>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تحديث السياسات والإجراءات بناءً على الاستنتاجات والتوصيات.</w:t>
      </w:r>
    </w:p>
    <w:p w14:paraId="4005B881" w14:textId="77777777" w:rsidR="00000000" w:rsidRDefault="00000000">
      <w:pPr>
        <w:numPr>
          <w:ilvl w:val="0"/>
          <w:numId w:val="11"/>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المجلس للنتائج المالية والإدارية بشكل دوري لضمان الامتثال وتحقيق الأهداف.</w:t>
      </w:r>
    </w:p>
    <w:p w14:paraId="36840521" w14:textId="77777777" w:rsidR="00000000" w:rsidRDefault="00000000">
      <w:pPr>
        <w:numPr>
          <w:ilvl w:val="0"/>
          <w:numId w:val="11"/>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الالتزام بالمساءلة وتحمل المسؤولية عن جودة ودقة التقارير والتوصيات المقدمة.</w:t>
      </w:r>
    </w:p>
    <w:p w14:paraId="01C59BC8"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الفصل الثالث: أحكام عامة</w:t>
      </w:r>
    </w:p>
    <w:p w14:paraId="14F60480"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الرابعة عشرة: حفظ المستندات ونسخها</w:t>
      </w:r>
    </w:p>
    <w:p w14:paraId="3D1768DC"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كل وثيقة نشأت بموجب هذه السياسة أو بسببها أو لتحقيق أغراضها، يجب الاحتفاظ بنسخة أصلية منها في مقر الصندوق، كما يجب تسليم نسخة أصلية من المستندات المالية لمراجع الحسابات الخارجي.</w:t>
      </w:r>
    </w:p>
    <w:p w14:paraId="461E9FE8"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يجب على الصندوق الاحتفاظ في مقره بالسجلات والمستندات المالية وغير المالية المرتبطة بها وملفات الحسابات والمراسلات المالية، وتسجيل بيانات الهوية للمتعاملين معه ماليًا بشكل مباشر، لمدة لا تقل عن عشر سنوات من تاريخ انتهاء التعامل، ويجوز أن يكون الحفظ إلكترونيًا.</w:t>
      </w:r>
    </w:p>
    <w:p w14:paraId="1FE954E9"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الخامسة عشرة: مراجعة وتعديل السياسة</w:t>
      </w:r>
    </w:p>
    <w:p w14:paraId="556B2903" w14:textId="77777777" w:rsidR="004D45E8"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تتم مراجعة هذه السياسة كل سنة ميلادية، وتُعدَّل بناءً على ما يصدر من تعليمات تنظيمية أو بناءً على اقتراح المجلس أو المسؤول التنفيذي.</w:t>
      </w:r>
    </w:p>
    <w:sectPr w:rsidR="004D45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078D"/>
    <w:multiLevelType w:val="multilevel"/>
    <w:tmpl w:val="BD6E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D147E7"/>
    <w:multiLevelType w:val="multilevel"/>
    <w:tmpl w:val="5B16C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E73B9"/>
    <w:multiLevelType w:val="multilevel"/>
    <w:tmpl w:val="897E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E3098D"/>
    <w:multiLevelType w:val="multilevel"/>
    <w:tmpl w:val="24A65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C6221C"/>
    <w:multiLevelType w:val="multilevel"/>
    <w:tmpl w:val="95CAE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7323E4"/>
    <w:multiLevelType w:val="multilevel"/>
    <w:tmpl w:val="4B72D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235762"/>
    <w:multiLevelType w:val="multilevel"/>
    <w:tmpl w:val="FC5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C75B81"/>
    <w:multiLevelType w:val="multilevel"/>
    <w:tmpl w:val="3CB6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3A3D5C"/>
    <w:multiLevelType w:val="multilevel"/>
    <w:tmpl w:val="4F3C1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BD1975"/>
    <w:multiLevelType w:val="multilevel"/>
    <w:tmpl w:val="9CFA9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203FD8"/>
    <w:multiLevelType w:val="multilevel"/>
    <w:tmpl w:val="E9A86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1801032">
    <w:abstractNumId w:val="6"/>
  </w:num>
  <w:num w:numId="2" w16cid:durableId="694499864">
    <w:abstractNumId w:val="1"/>
  </w:num>
  <w:num w:numId="3" w16cid:durableId="1685135216">
    <w:abstractNumId w:val="9"/>
  </w:num>
  <w:num w:numId="4" w16cid:durableId="70936404">
    <w:abstractNumId w:val="5"/>
  </w:num>
  <w:num w:numId="5" w16cid:durableId="419258879">
    <w:abstractNumId w:val="8"/>
  </w:num>
  <w:num w:numId="6" w16cid:durableId="136578392">
    <w:abstractNumId w:val="3"/>
  </w:num>
  <w:num w:numId="7" w16cid:durableId="1379278193">
    <w:abstractNumId w:val="2"/>
  </w:num>
  <w:num w:numId="8" w16cid:durableId="1425492435">
    <w:abstractNumId w:val="4"/>
  </w:num>
  <w:num w:numId="9" w16cid:durableId="1936666588">
    <w:abstractNumId w:val="10"/>
  </w:num>
  <w:num w:numId="10" w16cid:durableId="1198815290">
    <w:abstractNumId w:val="7"/>
  </w:num>
  <w:num w:numId="11" w16cid:durableId="1453478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7382"/>
    <w:rsid w:val="004D45E8"/>
    <w:rsid w:val="00846809"/>
    <w:rsid w:val="00C17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957B5B"/>
  <w15:chartTrackingRefBased/>
  <w15:docId w15:val="{BD419814-14DB-4D8E-9176-E03B8E413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44"/>
      <w:szCs w:val="44"/>
    </w:rPr>
  </w:style>
  <w:style w:type="paragraph" w:styleId="Heading2">
    <w:name w:val="heading 2"/>
    <w:basedOn w:val="Normal"/>
    <w:link w:val="Heading2Char"/>
    <w:uiPriority w:val="9"/>
    <w:qFormat/>
    <w:pPr>
      <w:pBdr>
        <w:bottom w:val="single" w:sz="12" w:space="3" w:color="1F4E79"/>
      </w:pBdr>
      <w:spacing w:before="100" w:beforeAutospacing="1" w:after="100" w:afterAutospacing="1"/>
      <w:outlineLvl w:val="1"/>
    </w:pPr>
    <w:rPr>
      <w:b/>
      <w:bCs/>
      <w:color w:val="1F4E79"/>
      <w:sz w:val="32"/>
      <w:szCs w:val="32"/>
    </w:rPr>
  </w:style>
  <w:style w:type="paragraph" w:styleId="Heading3">
    <w:name w:val="heading 3"/>
    <w:basedOn w:val="Normal"/>
    <w:link w:val="Heading3Char"/>
    <w:uiPriority w:val="9"/>
    <w:qFormat/>
    <w:pPr>
      <w:spacing w:before="100" w:beforeAutospacing="1" w:after="100" w:afterAutospacing="1"/>
      <w:outlineLvl w:val="2"/>
    </w:pPr>
    <w:rPr>
      <w:b/>
      <w:bCs/>
      <w:color w:val="2E75B6"/>
      <w:sz w:val="28"/>
      <w:szCs w:val="28"/>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character" w:styleId="Strong">
    <w:name w:val="Strong"/>
    <w:basedOn w:val="DefaultParagraphFont"/>
    <w:uiPriority w:val="22"/>
    <w:qFormat/>
    <w:rPr>
      <w:b/>
      <w:bCs/>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326807">
      <w:marLeft w:val="0"/>
      <w:marRight w:val="0"/>
      <w:marTop w:val="0"/>
      <w:marBottom w:val="300"/>
      <w:divBdr>
        <w:top w:val="none" w:sz="0" w:space="0" w:color="auto"/>
        <w:left w:val="none" w:sz="0" w:space="0" w:color="auto"/>
        <w:bottom w:val="single" w:sz="12" w:space="11" w:color="000000"/>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file:///E:\MY%20PROJECT\Freelance%20Jobs\&#1575;&#1587;&#1578;&#1601;&#1587;&#1575;&#1585;%20&#1581;&#1608;&#1604;%20&#1578;&#1581;&#1608;&#1610;&#1604;%20&#1605;&#1604;&#1601;&#1575;&#1578;%20pdf%20&#1573;&#1604;&#1609;%20&#1608;&#1608;&#1585;&#1583;\Finished\logo.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1202</Words>
  <Characters>6858</Characters>
  <Application>Microsoft Office Word</Application>
  <DocSecurity>0</DocSecurity>
  <Lines>57</Lines>
  <Paragraphs>16</Paragraphs>
  <ScaleCrop>false</ScaleCrop>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سياسة الرقابة الداخلية وآليات الإشراف والمتابعة - صندوق آل هويمل (الألفة)</dc:title>
  <dc:subject/>
  <dc:creator>Abdelrahman Wael Mohamed Salman Soliman</dc:creator>
  <cp:keywords/>
  <dc:description/>
  <cp:lastModifiedBy>Abdelrahman Wael Mohamed Salman Soliman</cp:lastModifiedBy>
  <cp:revision>2</cp:revision>
  <dcterms:created xsi:type="dcterms:W3CDTF">2026-08-20T05:16:00Z</dcterms:created>
  <dcterms:modified xsi:type="dcterms:W3CDTF">2026-08-20T05:16:00Z</dcterms:modified>
</cp:coreProperties>
</file>