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Spacing w:w="0" w:type="dxa"/>
        <w:tblBorders>
          <w:bottom w:val="single" w:sz="12" w:space="0" w:color="000000"/>
        </w:tblBorders>
        <w:tblCellMar>
          <w:left w:w="0" w:type="dxa"/>
          <w:right w:w="0" w:type="dxa"/>
        </w:tblCellMar>
        <w:tblLook w:val="04A0" w:firstRow="1" w:lastRow="0" w:firstColumn="1" w:lastColumn="0" w:noHBand="0" w:noVBand="1"/>
      </w:tblPr>
      <w:tblGrid>
        <w:gridCol w:w="4680"/>
        <w:gridCol w:w="4680"/>
      </w:tblGrid>
      <w:tr w:rsidR="00000000" w14:paraId="3A561576" w14:textId="77777777">
        <w:trPr>
          <w:tblCellSpacing w:w="0" w:type="dxa"/>
        </w:trPr>
        <w:tc>
          <w:tcPr>
            <w:tcW w:w="2500" w:type="pct"/>
            <w:tcBorders>
              <w:top w:val="nil"/>
              <w:left w:val="nil"/>
              <w:bottom w:val="nil"/>
              <w:right w:val="nil"/>
            </w:tcBorders>
            <w:tcMar>
              <w:top w:w="0" w:type="dxa"/>
              <w:left w:w="0" w:type="dxa"/>
              <w:bottom w:w="225" w:type="dxa"/>
              <w:right w:w="0" w:type="dxa"/>
            </w:tcMar>
            <w:vAlign w:val="center"/>
            <w:hideMark/>
          </w:tcPr>
          <w:p w14:paraId="3F8A9AA8" w14:textId="77777777" w:rsidR="00000000" w:rsidRDefault="00000000">
            <w:pPr>
              <w:bidi/>
              <w:spacing w:after="300"/>
              <w:rPr>
                <w:rFonts w:eastAsia="Times New Roman"/>
              </w:rPr>
            </w:pPr>
            <w:r>
              <w:rPr>
                <w:rFonts w:eastAsia="Times New Roman"/>
                <w:noProof/>
              </w:rPr>
              <w:drawing>
                <wp:inline distT="0" distB="0" distL="0" distR="0" wp14:anchorId="3DF86FFD" wp14:editId="693A6153">
                  <wp:extent cx="1426845" cy="762000"/>
                  <wp:effectExtent l="0" t="0" r="1905"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6845" cy="762000"/>
                          </a:xfrm>
                          <a:prstGeom prst="rect">
                            <a:avLst/>
                          </a:prstGeom>
                          <a:noFill/>
                          <a:ln>
                            <a:noFill/>
                          </a:ln>
                        </pic:spPr>
                      </pic:pic>
                    </a:graphicData>
                  </a:graphic>
                </wp:inline>
              </w:drawing>
            </w:r>
          </w:p>
        </w:tc>
        <w:tc>
          <w:tcPr>
            <w:tcW w:w="2500" w:type="pct"/>
            <w:tcBorders>
              <w:top w:val="nil"/>
              <w:left w:val="nil"/>
              <w:bottom w:val="nil"/>
              <w:right w:val="nil"/>
            </w:tcBorders>
            <w:tcMar>
              <w:top w:w="0" w:type="dxa"/>
              <w:left w:w="0" w:type="dxa"/>
              <w:bottom w:w="225" w:type="dxa"/>
              <w:right w:w="0" w:type="dxa"/>
            </w:tcMar>
            <w:vAlign w:val="center"/>
            <w:hideMark/>
          </w:tcPr>
          <w:p w14:paraId="435BF86C" w14:textId="77777777" w:rsidR="00000000" w:rsidRDefault="00000000">
            <w:pPr>
              <w:bidi/>
              <w:spacing w:after="300"/>
              <w:jc w:val="right"/>
              <w:rPr>
                <w:rFonts w:ascii="Traditional Arabic" w:eastAsia="Times New Roman" w:hAnsi="Traditional Arabic" w:cs="Traditional Arabic"/>
              </w:rPr>
            </w:pPr>
            <w:r>
              <w:rPr>
                <w:rStyle w:val="Strong"/>
                <w:rFonts w:ascii="Traditional Arabic" w:eastAsia="Times New Roman" w:hAnsi="Traditional Arabic" w:cs="Traditional Arabic"/>
                <w:color w:val="000000"/>
                <w:sz w:val="27"/>
                <w:szCs w:val="27"/>
                <w:rtl/>
              </w:rPr>
              <w:t>صندوق آل هويمل ( الألفة )</w:t>
            </w:r>
            <w:r>
              <w:rPr>
                <w:rFonts w:ascii="Traditional Arabic" w:eastAsia="Times New Roman" w:hAnsi="Traditional Arabic" w:cs="Traditional Arabic"/>
              </w:rPr>
              <w:br/>
            </w:r>
            <w:r>
              <w:rPr>
                <w:rStyle w:val="Strong"/>
                <w:rFonts w:ascii="Traditional Arabic" w:eastAsia="Times New Roman" w:hAnsi="Traditional Arabic" w:cs="Traditional Arabic"/>
                <w:color w:val="000000"/>
                <w:sz w:val="21"/>
                <w:szCs w:val="21"/>
                <w:rtl/>
              </w:rPr>
              <w:t>رقم الترخيص: ١٢٠٠٧٣٠٧٠٠</w:t>
            </w:r>
            <w:r>
              <w:rPr>
                <w:rFonts w:ascii="Traditional Arabic" w:eastAsia="Times New Roman" w:hAnsi="Traditional Arabic" w:cs="Traditional Arabic"/>
              </w:rPr>
              <w:t xml:space="preserve"> </w:t>
            </w:r>
          </w:p>
        </w:tc>
      </w:tr>
    </w:tbl>
    <w:p w14:paraId="13821B9F" w14:textId="77777777" w:rsidR="00000000" w:rsidRDefault="00000000">
      <w:pPr>
        <w:pStyle w:val="Heading1"/>
        <w:bidi/>
        <w:jc w:val="center"/>
        <w:rPr>
          <w:rFonts w:ascii="Traditional Arabic" w:eastAsia="Times New Roman" w:hAnsi="Traditional Arabic" w:cs="Traditional Arabic"/>
          <w:lang w:bidi="ar"/>
        </w:rPr>
      </w:pPr>
      <w:r>
        <w:rPr>
          <w:rFonts w:ascii="Traditional Arabic" w:eastAsia="Times New Roman" w:hAnsi="Traditional Arabic" w:cs="Traditional Arabic"/>
          <w:rtl/>
          <w:lang w:bidi="ar"/>
        </w:rPr>
        <w:t>لائحة السياسات المالية والمحاسبية</w:t>
      </w:r>
    </w:p>
    <w:p w14:paraId="016A6EBE" w14:textId="77777777" w:rsidR="00000000" w:rsidRDefault="00000000">
      <w:pPr>
        <w:pStyle w:val="NormalWeb"/>
        <w:bidi/>
        <w:jc w:val="center"/>
        <w:rPr>
          <w:rFonts w:ascii="Traditional Arabic" w:hAnsi="Traditional Arabic" w:cs="Traditional Arabic"/>
          <w:rtl/>
          <w:lang w:bidi="ar"/>
        </w:rPr>
      </w:pPr>
      <w:r>
        <w:rPr>
          <w:rFonts w:ascii="Traditional Arabic" w:hAnsi="Traditional Arabic" w:cs="Traditional Arabic"/>
          <w:rtl/>
          <w:lang w:bidi="ar"/>
        </w:rPr>
        <w:t>هذه السياسة معتمدة من قبل مجلس الأمناء بتاريخ ___ /___ /1447هـ</w:t>
      </w:r>
    </w:p>
    <w:p w14:paraId="6B27298A" w14:textId="77777777" w:rsidR="00000000" w:rsidRDefault="00000000">
      <w:pPr>
        <w:pStyle w:val="NormalWeb"/>
        <w:bidi/>
        <w:jc w:val="center"/>
        <w:rPr>
          <w:rFonts w:ascii="Traditional Arabic" w:hAnsi="Traditional Arabic" w:cs="Traditional Arabic"/>
          <w:rtl/>
          <w:lang w:bidi="ar"/>
        </w:rPr>
      </w:pPr>
      <w:r>
        <w:rPr>
          <w:rFonts w:ascii="Traditional Arabic" w:hAnsi="Traditional Arabic" w:cs="Traditional Arabic"/>
          <w:rtl/>
          <w:lang w:bidi="ar"/>
        </w:rPr>
        <w:t>نسخة رقم (1)</w:t>
      </w:r>
    </w:p>
    <w:p w14:paraId="58718E04"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r>
      <w:r>
        <w:rPr>
          <w:rFonts w:ascii="Traditional Arabic" w:eastAsia="Times New Roman" w:hAnsi="Traditional Arabic" w:cs="Traditional Arabic"/>
          <w:rtl/>
          <w:lang w:bidi="ar"/>
        </w:rPr>
        <w:lastRenderedPageBreak/>
        <w:t>الفهرس</w:t>
      </w:r>
    </w:p>
    <w:tbl>
      <w:tblPr>
        <w:bidiVisual/>
        <w:tblW w:w="5000" w:type="pct"/>
        <w:tblCellSpacing w:w="15" w:type="dxa"/>
        <w:tblCellMar>
          <w:top w:w="15" w:type="dxa"/>
          <w:left w:w="15" w:type="dxa"/>
          <w:bottom w:w="15" w:type="dxa"/>
          <w:right w:w="15" w:type="dxa"/>
        </w:tblCellMar>
        <w:tblLook w:val="04A0" w:firstRow="1" w:lastRow="0" w:firstColumn="1" w:lastColumn="0" w:noHBand="0" w:noVBand="1"/>
      </w:tblPr>
      <w:tblGrid>
        <w:gridCol w:w="8721"/>
        <w:gridCol w:w="639"/>
      </w:tblGrid>
      <w:tr w:rsidR="00000000" w14:paraId="2F93C10C" w14:textId="77777777">
        <w:trPr>
          <w:tblCellSpacing w:w="15" w:type="dxa"/>
        </w:trPr>
        <w:tc>
          <w:tcPr>
            <w:tcW w:w="0" w:type="auto"/>
            <w:vAlign w:val="center"/>
            <w:hideMark/>
          </w:tcPr>
          <w:p w14:paraId="176210A3" w14:textId="77777777" w:rsidR="00000000" w:rsidRDefault="00000000">
            <w:pPr>
              <w:bidi/>
              <w:rPr>
                <w:rFonts w:eastAsia="Times New Roman"/>
                <w:rtl/>
              </w:rPr>
            </w:pPr>
            <w:r>
              <w:rPr>
                <w:rFonts w:eastAsia="Times New Roman"/>
                <w:rtl/>
              </w:rPr>
              <w:t>الفصل الأول: الأحكام والقواعد العامة</w:t>
            </w:r>
          </w:p>
        </w:tc>
        <w:tc>
          <w:tcPr>
            <w:tcW w:w="0" w:type="auto"/>
            <w:vAlign w:val="center"/>
            <w:hideMark/>
          </w:tcPr>
          <w:p w14:paraId="2825073F" w14:textId="77777777" w:rsidR="00000000" w:rsidRDefault="00000000">
            <w:pPr>
              <w:bidi/>
              <w:rPr>
                <w:rFonts w:eastAsia="Times New Roman"/>
                <w:rtl/>
              </w:rPr>
            </w:pPr>
            <w:r>
              <w:rPr>
                <w:rFonts w:eastAsia="Times New Roman"/>
                <w:rtl/>
              </w:rPr>
              <w:t>3</w:t>
            </w:r>
          </w:p>
        </w:tc>
      </w:tr>
      <w:tr w:rsidR="00000000" w14:paraId="15114046" w14:textId="77777777">
        <w:trPr>
          <w:tblCellSpacing w:w="15" w:type="dxa"/>
        </w:trPr>
        <w:tc>
          <w:tcPr>
            <w:tcW w:w="0" w:type="auto"/>
            <w:vAlign w:val="center"/>
            <w:hideMark/>
          </w:tcPr>
          <w:p w14:paraId="5261B5EF" w14:textId="77777777" w:rsidR="00000000" w:rsidRDefault="00000000">
            <w:pPr>
              <w:bidi/>
              <w:rPr>
                <w:rFonts w:eastAsia="Times New Roman"/>
                <w:rtl/>
              </w:rPr>
            </w:pPr>
            <w:r>
              <w:rPr>
                <w:rFonts w:eastAsia="Times New Roman"/>
                <w:rtl/>
              </w:rPr>
              <w:t>الفصل الثاني: السياسات المالية والمحاسبية</w:t>
            </w:r>
          </w:p>
        </w:tc>
        <w:tc>
          <w:tcPr>
            <w:tcW w:w="0" w:type="auto"/>
            <w:vAlign w:val="center"/>
            <w:hideMark/>
          </w:tcPr>
          <w:p w14:paraId="098D8418" w14:textId="77777777" w:rsidR="00000000" w:rsidRDefault="00000000">
            <w:pPr>
              <w:bidi/>
              <w:rPr>
                <w:rFonts w:eastAsia="Times New Roman"/>
                <w:rtl/>
              </w:rPr>
            </w:pPr>
            <w:r>
              <w:rPr>
                <w:rFonts w:eastAsia="Times New Roman"/>
                <w:rtl/>
              </w:rPr>
              <w:t>5</w:t>
            </w:r>
          </w:p>
        </w:tc>
      </w:tr>
      <w:tr w:rsidR="00000000" w14:paraId="7E2CDCC7" w14:textId="77777777">
        <w:trPr>
          <w:tblCellSpacing w:w="15" w:type="dxa"/>
        </w:trPr>
        <w:tc>
          <w:tcPr>
            <w:tcW w:w="0" w:type="auto"/>
            <w:vAlign w:val="center"/>
            <w:hideMark/>
          </w:tcPr>
          <w:p w14:paraId="51DB6FB5" w14:textId="77777777" w:rsidR="00000000" w:rsidRDefault="00000000">
            <w:pPr>
              <w:bidi/>
              <w:rPr>
                <w:rFonts w:eastAsia="Times New Roman"/>
                <w:rtl/>
              </w:rPr>
            </w:pPr>
            <w:r>
              <w:rPr>
                <w:rFonts w:eastAsia="Times New Roman"/>
                <w:rtl/>
              </w:rPr>
              <w:t>   سياسات عامة</w:t>
            </w:r>
          </w:p>
        </w:tc>
        <w:tc>
          <w:tcPr>
            <w:tcW w:w="0" w:type="auto"/>
            <w:vAlign w:val="center"/>
            <w:hideMark/>
          </w:tcPr>
          <w:p w14:paraId="6A594805" w14:textId="77777777" w:rsidR="00000000" w:rsidRDefault="00000000">
            <w:pPr>
              <w:bidi/>
              <w:rPr>
                <w:rFonts w:eastAsia="Times New Roman"/>
                <w:rtl/>
              </w:rPr>
            </w:pPr>
            <w:r>
              <w:rPr>
                <w:rFonts w:eastAsia="Times New Roman"/>
                <w:rtl/>
              </w:rPr>
              <w:t>5</w:t>
            </w:r>
          </w:p>
        </w:tc>
      </w:tr>
      <w:tr w:rsidR="00000000" w14:paraId="6BB9AD48" w14:textId="77777777">
        <w:trPr>
          <w:tblCellSpacing w:w="15" w:type="dxa"/>
        </w:trPr>
        <w:tc>
          <w:tcPr>
            <w:tcW w:w="0" w:type="auto"/>
            <w:vAlign w:val="center"/>
            <w:hideMark/>
          </w:tcPr>
          <w:p w14:paraId="1A1EACE4" w14:textId="77777777" w:rsidR="00000000" w:rsidRDefault="00000000">
            <w:pPr>
              <w:bidi/>
              <w:rPr>
                <w:rFonts w:eastAsia="Times New Roman"/>
                <w:rtl/>
              </w:rPr>
            </w:pPr>
            <w:r>
              <w:rPr>
                <w:rFonts w:eastAsia="Times New Roman"/>
                <w:rtl/>
              </w:rPr>
              <w:t>   الأسس المحاسبية</w:t>
            </w:r>
          </w:p>
        </w:tc>
        <w:tc>
          <w:tcPr>
            <w:tcW w:w="0" w:type="auto"/>
            <w:vAlign w:val="center"/>
            <w:hideMark/>
          </w:tcPr>
          <w:p w14:paraId="25DB5E34" w14:textId="77777777" w:rsidR="00000000" w:rsidRDefault="00000000">
            <w:pPr>
              <w:bidi/>
              <w:rPr>
                <w:rFonts w:eastAsia="Times New Roman"/>
                <w:rtl/>
              </w:rPr>
            </w:pPr>
            <w:r>
              <w:rPr>
                <w:rFonts w:eastAsia="Times New Roman"/>
                <w:rtl/>
              </w:rPr>
              <w:t>5</w:t>
            </w:r>
          </w:p>
        </w:tc>
      </w:tr>
      <w:tr w:rsidR="00000000" w14:paraId="632D096F" w14:textId="77777777">
        <w:trPr>
          <w:tblCellSpacing w:w="15" w:type="dxa"/>
        </w:trPr>
        <w:tc>
          <w:tcPr>
            <w:tcW w:w="0" w:type="auto"/>
            <w:vAlign w:val="center"/>
            <w:hideMark/>
          </w:tcPr>
          <w:p w14:paraId="4D398C6E" w14:textId="77777777" w:rsidR="00000000" w:rsidRDefault="00000000">
            <w:pPr>
              <w:bidi/>
              <w:rPr>
                <w:rFonts w:eastAsia="Times New Roman"/>
                <w:rtl/>
              </w:rPr>
            </w:pPr>
            <w:r>
              <w:rPr>
                <w:rFonts w:eastAsia="Times New Roman"/>
                <w:rtl/>
              </w:rPr>
              <w:t>   إدارة الحسابات البنكية</w:t>
            </w:r>
          </w:p>
        </w:tc>
        <w:tc>
          <w:tcPr>
            <w:tcW w:w="0" w:type="auto"/>
            <w:vAlign w:val="center"/>
            <w:hideMark/>
          </w:tcPr>
          <w:p w14:paraId="33CD39BE" w14:textId="77777777" w:rsidR="00000000" w:rsidRDefault="00000000">
            <w:pPr>
              <w:bidi/>
              <w:rPr>
                <w:rFonts w:eastAsia="Times New Roman"/>
                <w:rtl/>
              </w:rPr>
            </w:pPr>
            <w:r>
              <w:rPr>
                <w:rFonts w:eastAsia="Times New Roman"/>
                <w:rtl/>
              </w:rPr>
              <w:t>8</w:t>
            </w:r>
          </w:p>
        </w:tc>
      </w:tr>
      <w:tr w:rsidR="00000000" w14:paraId="109C9F2E" w14:textId="77777777">
        <w:trPr>
          <w:tblCellSpacing w:w="15" w:type="dxa"/>
        </w:trPr>
        <w:tc>
          <w:tcPr>
            <w:tcW w:w="0" w:type="auto"/>
            <w:vAlign w:val="center"/>
            <w:hideMark/>
          </w:tcPr>
          <w:p w14:paraId="51CFD83E" w14:textId="77777777" w:rsidR="00000000" w:rsidRDefault="00000000">
            <w:pPr>
              <w:bidi/>
              <w:rPr>
                <w:rFonts w:eastAsia="Times New Roman"/>
                <w:rtl/>
              </w:rPr>
            </w:pPr>
            <w:r>
              <w:rPr>
                <w:rFonts w:eastAsia="Times New Roman"/>
                <w:rtl/>
              </w:rPr>
              <w:t>   دورة الإقفال الشهرية</w:t>
            </w:r>
          </w:p>
        </w:tc>
        <w:tc>
          <w:tcPr>
            <w:tcW w:w="0" w:type="auto"/>
            <w:vAlign w:val="center"/>
            <w:hideMark/>
          </w:tcPr>
          <w:p w14:paraId="2DA79219" w14:textId="77777777" w:rsidR="00000000" w:rsidRDefault="00000000">
            <w:pPr>
              <w:bidi/>
              <w:rPr>
                <w:rFonts w:eastAsia="Times New Roman"/>
                <w:rtl/>
              </w:rPr>
            </w:pPr>
            <w:r>
              <w:rPr>
                <w:rFonts w:eastAsia="Times New Roman"/>
                <w:rtl/>
              </w:rPr>
              <w:t>8</w:t>
            </w:r>
          </w:p>
        </w:tc>
      </w:tr>
      <w:tr w:rsidR="00000000" w14:paraId="3C212012" w14:textId="77777777">
        <w:trPr>
          <w:tblCellSpacing w:w="15" w:type="dxa"/>
        </w:trPr>
        <w:tc>
          <w:tcPr>
            <w:tcW w:w="0" w:type="auto"/>
            <w:vAlign w:val="center"/>
            <w:hideMark/>
          </w:tcPr>
          <w:p w14:paraId="63934FDF" w14:textId="77777777" w:rsidR="00000000" w:rsidRDefault="00000000">
            <w:pPr>
              <w:bidi/>
              <w:rPr>
                <w:rFonts w:eastAsia="Times New Roman"/>
                <w:rtl/>
              </w:rPr>
            </w:pPr>
            <w:r>
              <w:rPr>
                <w:rFonts w:eastAsia="Times New Roman"/>
                <w:rtl/>
              </w:rPr>
              <w:t>   المصروفات الرأسمالية</w:t>
            </w:r>
          </w:p>
        </w:tc>
        <w:tc>
          <w:tcPr>
            <w:tcW w:w="0" w:type="auto"/>
            <w:vAlign w:val="center"/>
            <w:hideMark/>
          </w:tcPr>
          <w:p w14:paraId="256C05A4" w14:textId="77777777" w:rsidR="00000000" w:rsidRDefault="00000000">
            <w:pPr>
              <w:bidi/>
              <w:rPr>
                <w:rFonts w:eastAsia="Times New Roman"/>
                <w:rtl/>
              </w:rPr>
            </w:pPr>
            <w:r>
              <w:rPr>
                <w:rFonts w:eastAsia="Times New Roman"/>
                <w:rtl/>
              </w:rPr>
              <w:t>9</w:t>
            </w:r>
          </w:p>
        </w:tc>
      </w:tr>
      <w:tr w:rsidR="00000000" w14:paraId="3A0D2992" w14:textId="77777777">
        <w:trPr>
          <w:tblCellSpacing w:w="15" w:type="dxa"/>
        </w:trPr>
        <w:tc>
          <w:tcPr>
            <w:tcW w:w="0" w:type="auto"/>
            <w:vAlign w:val="center"/>
            <w:hideMark/>
          </w:tcPr>
          <w:p w14:paraId="5DD834EB" w14:textId="77777777" w:rsidR="00000000" w:rsidRDefault="00000000">
            <w:pPr>
              <w:bidi/>
              <w:rPr>
                <w:rFonts w:eastAsia="Times New Roman"/>
                <w:rtl/>
              </w:rPr>
            </w:pPr>
            <w:r>
              <w:rPr>
                <w:rFonts w:eastAsia="Times New Roman"/>
                <w:rtl/>
              </w:rPr>
              <w:t>   إثبات الأعباء المالية والإدلاء بالمعلومات</w:t>
            </w:r>
          </w:p>
        </w:tc>
        <w:tc>
          <w:tcPr>
            <w:tcW w:w="0" w:type="auto"/>
            <w:vAlign w:val="center"/>
            <w:hideMark/>
          </w:tcPr>
          <w:p w14:paraId="4A73082B" w14:textId="77777777" w:rsidR="00000000" w:rsidRDefault="00000000">
            <w:pPr>
              <w:bidi/>
              <w:rPr>
                <w:rFonts w:eastAsia="Times New Roman"/>
                <w:rtl/>
              </w:rPr>
            </w:pPr>
            <w:r>
              <w:rPr>
                <w:rFonts w:eastAsia="Times New Roman"/>
                <w:rtl/>
              </w:rPr>
              <w:t>9</w:t>
            </w:r>
          </w:p>
        </w:tc>
      </w:tr>
      <w:tr w:rsidR="00000000" w14:paraId="078C1225" w14:textId="77777777">
        <w:trPr>
          <w:tblCellSpacing w:w="15" w:type="dxa"/>
        </w:trPr>
        <w:tc>
          <w:tcPr>
            <w:tcW w:w="0" w:type="auto"/>
            <w:vAlign w:val="center"/>
            <w:hideMark/>
          </w:tcPr>
          <w:p w14:paraId="2600989D" w14:textId="77777777" w:rsidR="00000000" w:rsidRDefault="00000000">
            <w:pPr>
              <w:bidi/>
              <w:rPr>
                <w:rFonts w:eastAsia="Times New Roman"/>
                <w:rtl/>
              </w:rPr>
            </w:pPr>
            <w:r>
              <w:rPr>
                <w:rFonts w:eastAsia="Times New Roman"/>
                <w:rtl/>
              </w:rPr>
              <w:t>   إدارة الأصول</w:t>
            </w:r>
          </w:p>
        </w:tc>
        <w:tc>
          <w:tcPr>
            <w:tcW w:w="0" w:type="auto"/>
            <w:vAlign w:val="center"/>
            <w:hideMark/>
          </w:tcPr>
          <w:p w14:paraId="7FEB78F3" w14:textId="77777777" w:rsidR="00000000" w:rsidRDefault="00000000">
            <w:pPr>
              <w:bidi/>
              <w:rPr>
                <w:rFonts w:eastAsia="Times New Roman"/>
                <w:rtl/>
              </w:rPr>
            </w:pPr>
            <w:r>
              <w:rPr>
                <w:rFonts w:eastAsia="Times New Roman"/>
                <w:rtl/>
              </w:rPr>
              <w:t>9</w:t>
            </w:r>
          </w:p>
        </w:tc>
      </w:tr>
      <w:tr w:rsidR="00000000" w14:paraId="5E87DA61" w14:textId="77777777">
        <w:trPr>
          <w:tblCellSpacing w:w="15" w:type="dxa"/>
        </w:trPr>
        <w:tc>
          <w:tcPr>
            <w:tcW w:w="0" w:type="auto"/>
            <w:vAlign w:val="center"/>
            <w:hideMark/>
          </w:tcPr>
          <w:p w14:paraId="23A0BF54" w14:textId="77777777" w:rsidR="00000000" w:rsidRDefault="00000000">
            <w:pPr>
              <w:bidi/>
              <w:rPr>
                <w:rFonts w:eastAsia="Times New Roman"/>
                <w:rtl/>
              </w:rPr>
            </w:pPr>
            <w:r>
              <w:rPr>
                <w:rFonts w:eastAsia="Times New Roman"/>
                <w:rtl/>
              </w:rPr>
              <w:t>   الموازنات التقديرية</w:t>
            </w:r>
          </w:p>
        </w:tc>
        <w:tc>
          <w:tcPr>
            <w:tcW w:w="0" w:type="auto"/>
            <w:vAlign w:val="center"/>
            <w:hideMark/>
          </w:tcPr>
          <w:p w14:paraId="68D8C198" w14:textId="77777777" w:rsidR="00000000" w:rsidRDefault="00000000">
            <w:pPr>
              <w:bidi/>
              <w:rPr>
                <w:rFonts w:eastAsia="Times New Roman"/>
                <w:rtl/>
              </w:rPr>
            </w:pPr>
            <w:r>
              <w:rPr>
                <w:rFonts w:eastAsia="Times New Roman"/>
                <w:rtl/>
              </w:rPr>
              <w:t>10</w:t>
            </w:r>
          </w:p>
        </w:tc>
      </w:tr>
      <w:tr w:rsidR="00000000" w14:paraId="745B1689" w14:textId="77777777">
        <w:trPr>
          <w:tblCellSpacing w:w="15" w:type="dxa"/>
        </w:trPr>
        <w:tc>
          <w:tcPr>
            <w:tcW w:w="0" w:type="auto"/>
            <w:vAlign w:val="center"/>
            <w:hideMark/>
          </w:tcPr>
          <w:p w14:paraId="1CD1A63D" w14:textId="77777777" w:rsidR="00000000" w:rsidRDefault="00000000">
            <w:pPr>
              <w:bidi/>
              <w:rPr>
                <w:rFonts w:eastAsia="Times New Roman"/>
                <w:rtl/>
              </w:rPr>
            </w:pPr>
            <w:r>
              <w:rPr>
                <w:rFonts w:eastAsia="Times New Roman"/>
                <w:rtl/>
              </w:rPr>
              <w:t>   أسس إعداد الحسابات الختامية</w:t>
            </w:r>
          </w:p>
        </w:tc>
        <w:tc>
          <w:tcPr>
            <w:tcW w:w="0" w:type="auto"/>
            <w:vAlign w:val="center"/>
            <w:hideMark/>
          </w:tcPr>
          <w:p w14:paraId="31E33453" w14:textId="77777777" w:rsidR="00000000" w:rsidRDefault="00000000">
            <w:pPr>
              <w:bidi/>
              <w:rPr>
                <w:rFonts w:eastAsia="Times New Roman"/>
                <w:rtl/>
              </w:rPr>
            </w:pPr>
            <w:r>
              <w:rPr>
                <w:rFonts w:eastAsia="Times New Roman"/>
                <w:rtl/>
              </w:rPr>
              <w:t>11</w:t>
            </w:r>
          </w:p>
        </w:tc>
      </w:tr>
      <w:tr w:rsidR="00000000" w14:paraId="1FF261F8" w14:textId="77777777">
        <w:trPr>
          <w:tblCellSpacing w:w="15" w:type="dxa"/>
        </w:trPr>
        <w:tc>
          <w:tcPr>
            <w:tcW w:w="0" w:type="auto"/>
            <w:vAlign w:val="center"/>
            <w:hideMark/>
          </w:tcPr>
          <w:p w14:paraId="657C836C" w14:textId="77777777" w:rsidR="00000000" w:rsidRDefault="00000000">
            <w:pPr>
              <w:bidi/>
              <w:rPr>
                <w:rFonts w:eastAsia="Times New Roman"/>
                <w:rtl/>
              </w:rPr>
            </w:pPr>
            <w:r>
              <w:rPr>
                <w:rFonts w:eastAsia="Times New Roman"/>
                <w:rtl/>
              </w:rPr>
              <w:t>   النظام المحاسبي الإلكتروني</w:t>
            </w:r>
          </w:p>
        </w:tc>
        <w:tc>
          <w:tcPr>
            <w:tcW w:w="0" w:type="auto"/>
            <w:vAlign w:val="center"/>
            <w:hideMark/>
          </w:tcPr>
          <w:p w14:paraId="74CAB799" w14:textId="77777777" w:rsidR="00000000" w:rsidRDefault="00000000">
            <w:pPr>
              <w:bidi/>
              <w:rPr>
                <w:rFonts w:eastAsia="Times New Roman"/>
                <w:rtl/>
              </w:rPr>
            </w:pPr>
            <w:r>
              <w:rPr>
                <w:rFonts w:eastAsia="Times New Roman"/>
                <w:rtl/>
              </w:rPr>
              <w:t>11</w:t>
            </w:r>
          </w:p>
        </w:tc>
      </w:tr>
      <w:tr w:rsidR="00000000" w14:paraId="7550CD12" w14:textId="77777777">
        <w:trPr>
          <w:tblCellSpacing w:w="15" w:type="dxa"/>
        </w:trPr>
        <w:tc>
          <w:tcPr>
            <w:tcW w:w="0" w:type="auto"/>
            <w:vAlign w:val="center"/>
            <w:hideMark/>
          </w:tcPr>
          <w:p w14:paraId="30A52476" w14:textId="77777777" w:rsidR="00000000" w:rsidRDefault="00000000">
            <w:pPr>
              <w:bidi/>
              <w:rPr>
                <w:rFonts w:eastAsia="Times New Roman"/>
                <w:rtl/>
              </w:rPr>
            </w:pPr>
            <w:r>
              <w:rPr>
                <w:rFonts w:eastAsia="Times New Roman"/>
                <w:rtl/>
              </w:rPr>
              <w:t>الفصل الثالث: المدفوعات والمقبوضات</w:t>
            </w:r>
          </w:p>
        </w:tc>
        <w:tc>
          <w:tcPr>
            <w:tcW w:w="0" w:type="auto"/>
            <w:vAlign w:val="center"/>
            <w:hideMark/>
          </w:tcPr>
          <w:p w14:paraId="4A7493A4" w14:textId="77777777" w:rsidR="00000000" w:rsidRDefault="00000000">
            <w:pPr>
              <w:bidi/>
              <w:rPr>
                <w:rFonts w:eastAsia="Times New Roman"/>
                <w:rtl/>
              </w:rPr>
            </w:pPr>
            <w:r>
              <w:rPr>
                <w:rFonts w:eastAsia="Times New Roman"/>
                <w:rtl/>
              </w:rPr>
              <w:t>10</w:t>
            </w:r>
          </w:p>
        </w:tc>
      </w:tr>
      <w:tr w:rsidR="00000000" w14:paraId="1BAF45D2" w14:textId="77777777">
        <w:trPr>
          <w:tblCellSpacing w:w="15" w:type="dxa"/>
        </w:trPr>
        <w:tc>
          <w:tcPr>
            <w:tcW w:w="0" w:type="auto"/>
            <w:vAlign w:val="center"/>
            <w:hideMark/>
          </w:tcPr>
          <w:p w14:paraId="37D82B38" w14:textId="77777777" w:rsidR="00000000" w:rsidRDefault="00000000">
            <w:pPr>
              <w:bidi/>
              <w:rPr>
                <w:rFonts w:eastAsia="Times New Roman"/>
                <w:rtl/>
              </w:rPr>
            </w:pPr>
            <w:r>
              <w:rPr>
                <w:rFonts w:eastAsia="Times New Roman"/>
                <w:rtl/>
              </w:rPr>
              <w:t>   المدفوعات</w:t>
            </w:r>
          </w:p>
        </w:tc>
        <w:tc>
          <w:tcPr>
            <w:tcW w:w="0" w:type="auto"/>
            <w:vAlign w:val="center"/>
            <w:hideMark/>
          </w:tcPr>
          <w:p w14:paraId="7AFECA99" w14:textId="77777777" w:rsidR="00000000" w:rsidRDefault="00000000">
            <w:pPr>
              <w:bidi/>
              <w:rPr>
                <w:rFonts w:eastAsia="Times New Roman"/>
                <w:rtl/>
              </w:rPr>
            </w:pPr>
            <w:r>
              <w:rPr>
                <w:rFonts w:eastAsia="Times New Roman"/>
                <w:rtl/>
              </w:rPr>
              <w:t>10</w:t>
            </w:r>
          </w:p>
        </w:tc>
      </w:tr>
      <w:tr w:rsidR="00000000" w14:paraId="2B80FB57" w14:textId="77777777">
        <w:trPr>
          <w:tblCellSpacing w:w="15" w:type="dxa"/>
        </w:trPr>
        <w:tc>
          <w:tcPr>
            <w:tcW w:w="0" w:type="auto"/>
            <w:vAlign w:val="center"/>
            <w:hideMark/>
          </w:tcPr>
          <w:p w14:paraId="2E16550B" w14:textId="77777777" w:rsidR="00000000" w:rsidRDefault="00000000">
            <w:pPr>
              <w:bidi/>
              <w:rPr>
                <w:rFonts w:eastAsia="Times New Roman"/>
                <w:rtl/>
              </w:rPr>
            </w:pPr>
            <w:r>
              <w:rPr>
                <w:rFonts w:eastAsia="Times New Roman"/>
                <w:rtl/>
              </w:rPr>
              <w:t>   العهد العينية والمالية الدائمة والمؤقتة</w:t>
            </w:r>
          </w:p>
        </w:tc>
        <w:tc>
          <w:tcPr>
            <w:tcW w:w="0" w:type="auto"/>
            <w:vAlign w:val="center"/>
            <w:hideMark/>
          </w:tcPr>
          <w:p w14:paraId="29C952FA" w14:textId="77777777" w:rsidR="00000000" w:rsidRDefault="00000000">
            <w:pPr>
              <w:bidi/>
              <w:rPr>
                <w:rFonts w:eastAsia="Times New Roman"/>
                <w:rtl/>
              </w:rPr>
            </w:pPr>
            <w:r>
              <w:rPr>
                <w:rFonts w:eastAsia="Times New Roman"/>
                <w:rtl/>
              </w:rPr>
              <w:t>11</w:t>
            </w:r>
          </w:p>
        </w:tc>
      </w:tr>
      <w:tr w:rsidR="00000000" w14:paraId="0F36D426" w14:textId="77777777">
        <w:trPr>
          <w:tblCellSpacing w:w="15" w:type="dxa"/>
        </w:trPr>
        <w:tc>
          <w:tcPr>
            <w:tcW w:w="0" w:type="auto"/>
            <w:vAlign w:val="center"/>
            <w:hideMark/>
          </w:tcPr>
          <w:p w14:paraId="0E370D21" w14:textId="77777777" w:rsidR="00000000" w:rsidRDefault="00000000">
            <w:pPr>
              <w:bidi/>
              <w:rPr>
                <w:rFonts w:eastAsia="Times New Roman"/>
                <w:rtl/>
              </w:rPr>
            </w:pPr>
            <w:r>
              <w:rPr>
                <w:rFonts w:eastAsia="Times New Roman"/>
                <w:rtl/>
              </w:rPr>
              <w:t>   الرواتب والأجور</w:t>
            </w:r>
          </w:p>
        </w:tc>
        <w:tc>
          <w:tcPr>
            <w:tcW w:w="0" w:type="auto"/>
            <w:vAlign w:val="center"/>
            <w:hideMark/>
          </w:tcPr>
          <w:p w14:paraId="70FF5A44" w14:textId="77777777" w:rsidR="00000000" w:rsidRDefault="00000000">
            <w:pPr>
              <w:bidi/>
              <w:rPr>
                <w:rFonts w:eastAsia="Times New Roman"/>
                <w:rtl/>
              </w:rPr>
            </w:pPr>
            <w:r>
              <w:rPr>
                <w:rFonts w:eastAsia="Times New Roman"/>
                <w:rtl/>
              </w:rPr>
              <w:t>12</w:t>
            </w:r>
          </w:p>
        </w:tc>
      </w:tr>
      <w:tr w:rsidR="00000000" w14:paraId="3B9005F8" w14:textId="77777777">
        <w:trPr>
          <w:tblCellSpacing w:w="15" w:type="dxa"/>
        </w:trPr>
        <w:tc>
          <w:tcPr>
            <w:tcW w:w="0" w:type="auto"/>
            <w:vAlign w:val="center"/>
            <w:hideMark/>
          </w:tcPr>
          <w:p w14:paraId="45756995" w14:textId="77777777" w:rsidR="00000000" w:rsidRDefault="00000000">
            <w:pPr>
              <w:bidi/>
              <w:rPr>
                <w:rFonts w:eastAsia="Times New Roman"/>
                <w:rtl/>
              </w:rPr>
            </w:pPr>
            <w:r>
              <w:rPr>
                <w:rFonts w:eastAsia="Times New Roman"/>
                <w:rtl/>
              </w:rPr>
              <w:t>   إدارة المصروفات النثرية</w:t>
            </w:r>
          </w:p>
        </w:tc>
        <w:tc>
          <w:tcPr>
            <w:tcW w:w="0" w:type="auto"/>
            <w:vAlign w:val="center"/>
            <w:hideMark/>
          </w:tcPr>
          <w:p w14:paraId="44604050" w14:textId="77777777" w:rsidR="00000000" w:rsidRDefault="00000000">
            <w:pPr>
              <w:bidi/>
              <w:rPr>
                <w:rFonts w:eastAsia="Times New Roman"/>
                <w:rtl/>
              </w:rPr>
            </w:pPr>
            <w:r>
              <w:rPr>
                <w:rFonts w:eastAsia="Times New Roman"/>
                <w:rtl/>
              </w:rPr>
              <w:t>13</w:t>
            </w:r>
          </w:p>
        </w:tc>
      </w:tr>
      <w:tr w:rsidR="00000000" w14:paraId="5CE85849" w14:textId="77777777">
        <w:trPr>
          <w:tblCellSpacing w:w="15" w:type="dxa"/>
        </w:trPr>
        <w:tc>
          <w:tcPr>
            <w:tcW w:w="0" w:type="auto"/>
            <w:vAlign w:val="center"/>
            <w:hideMark/>
          </w:tcPr>
          <w:p w14:paraId="1F41CAD2" w14:textId="77777777" w:rsidR="00000000" w:rsidRDefault="00000000">
            <w:pPr>
              <w:bidi/>
              <w:rPr>
                <w:rFonts w:eastAsia="Times New Roman"/>
                <w:rtl/>
              </w:rPr>
            </w:pPr>
            <w:r>
              <w:rPr>
                <w:rFonts w:eastAsia="Times New Roman"/>
                <w:rtl/>
              </w:rPr>
              <w:t>   المقبوضات</w:t>
            </w:r>
          </w:p>
        </w:tc>
        <w:tc>
          <w:tcPr>
            <w:tcW w:w="0" w:type="auto"/>
            <w:vAlign w:val="center"/>
            <w:hideMark/>
          </w:tcPr>
          <w:p w14:paraId="3A0E97F5" w14:textId="77777777" w:rsidR="00000000" w:rsidRDefault="00000000">
            <w:pPr>
              <w:bidi/>
              <w:rPr>
                <w:rFonts w:eastAsia="Times New Roman"/>
                <w:rtl/>
              </w:rPr>
            </w:pPr>
            <w:r>
              <w:rPr>
                <w:rFonts w:eastAsia="Times New Roman"/>
                <w:rtl/>
              </w:rPr>
              <w:t>13</w:t>
            </w:r>
          </w:p>
        </w:tc>
      </w:tr>
      <w:tr w:rsidR="00000000" w14:paraId="613251E5" w14:textId="77777777">
        <w:trPr>
          <w:tblCellSpacing w:w="15" w:type="dxa"/>
        </w:trPr>
        <w:tc>
          <w:tcPr>
            <w:tcW w:w="0" w:type="auto"/>
            <w:vAlign w:val="center"/>
            <w:hideMark/>
          </w:tcPr>
          <w:p w14:paraId="588FD0E5" w14:textId="77777777" w:rsidR="00000000" w:rsidRDefault="00000000">
            <w:pPr>
              <w:bidi/>
              <w:rPr>
                <w:rFonts w:eastAsia="Times New Roman"/>
                <w:rtl/>
              </w:rPr>
            </w:pPr>
            <w:r>
              <w:rPr>
                <w:rFonts w:eastAsia="Times New Roman"/>
                <w:rtl/>
              </w:rPr>
              <w:t>الفصل الرابع: السيولة والاحتياطات والضمانات</w:t>
            </w:r>
          </w:p>
        </w:tc>
        <w:tc>
          <w:tcPr>
            <w:tcW w:w="0" w:type="auto"/>
            <w:vAlign w:val="center"/>
            <w:hideMark/>
          </w:tcPr>
          <w:p w14:paraId="204DBC02" w14:textId="77777777" w:rsidR="00000000" w:rsidRDefault="00000000">
            <w:pPr>
              <w:bidi/>
              <w:rPr>
                <w:rFonts w:eastAsia="Times New Roman"/>
                <w:rtl/>
              </w:rPr>
            </w:pPr>
            <w:r>
              <w:rPr>
                <w:rFonts w:eastAsia="Times New Roman"/>
                <w:rtl/>
              </w:rPr>
              <w:t>14</w:t>
            </w:r>
          </w:p>
        </w:tc>
      </w:tr>
      <w:tr w:rsidR="00000000" w14:paraId="41352807" w14:textId="77777777">
        <w:trPr>
          <w:tblCellSpacing w:w="15" w:type="dxa"/>
        </w:trPr>
        <w:tc>
          <w:tcPr>
            <w:tcW w:w="0" w:type="auto"/>
            <w:vAlign w:val="center"/>
            <w:hideMark/>
          </w:tcPr>
          <w:p w14:paraId="627CAEBB" w14:textId="77777777" w:rsidR="00000000" w:rsidRDefault="00000000">
            <w:pPr>
              <w:bidi/>
              <w:rPr>
                <w:rFonts w:eastAsia="Times New Roman"/>
                <w:rtl/>
              </w:rPr>
            </w:pPr>
            <w:r>
              <w:rPr>
                <w:rFonts w:eastAsia="Times New Roman"/>
                <w:rtl/>
              </w:rPr>
              <w:t>   توفير السيولة</w:t>
            </w:r>
          </w:p>
        </w:tc>
        <w:tc>
          <w:tcPr>
            <w:tcW w:w="0" w:type="auto"/>
            <w:vAlign w:val="center"/>
            <w:hideMark/>
          </w:tcPr>
          <w:p w14:paraId="64483564" w14:textId="77777777" w:rsidR="00000000" w:rsidRDefault="00000000">
            <w:pPr>
              <w:bidi/>
              <w:rPr>
                <w:rFonts w:eastAsia="Times New Roman"/>
                <w:rtl/>
              </w:rPr>
            </w:pPr>
            <w:r>
              <w:rPr>
                <w:rFonts w:eastAsia="Times New Roman"/>
                <w:rtl/>
              </w:rPr>
              <w:t>14</w:t>
            </w:r>
          </w:p>
        </w:tc>
      </w:tr>
      <w:tr w:rsidR="00000000" w14:paraId="18D3C511" w14:textId="77777777">
        <w:trPr>
          <w:tblCellSpacing w:w="15" w:type="dxa"/>
        </w:trPr>
        <w:tc>
          <w:tcPr>
            <w:tcW w:w="0" w:type="auto"/>
            <w:vAlign w:val="center"/>
            <w:hideMark/>
          </w:tcPr>
          <w:p w14:paraId="2F4D6132" w14:textId="77777777" w:rsidR="00000000" w:rsidRDefault="00000000">
            <w:pPr>
              <w:bidi/>
              <w:rPr>
                <w:rFonts w:eastAsia="Times New Roman"/>
                <w:rtl/>
              </w:rPr>
            </w:pPr>
            <w:r>
              <w:rPr>
                <w:rFonts w:eastAsia="Times New Roman"/>
                <w:rtl/>
              </w:rPr>
              <w:t>   الاحتياطات</w:t>
            </w:r>
          </w:p>
        </w:tc>
        <w:tc>
          <w:tcPr>
            <w:tcW w:w="0" w:type="auto"/>
            <w:vAlign w:val="center"/>
            <w:hideMark/>
          </w:tcPr>
          <w:p w14:paraId="46968E09" w14:textId="77777777" w:rsidR="00000000" w:rsidRDefault="00000000">
            <w:pPr>
              <w:bidi/>
              <w:rPr>
                <w:rFonts w:eastAsia="Times New Roman"/>
                <w:rtl/>
              </w:rPr>
            </w:pPr>
            <w:r>
              <w:rPr>
                <w:rFonts w:eastAsia="Times New Roman"/>
                <w:rtl/>
              </w:rPr>
              <w:t>14</w:t>
            </w:r>
          </w:p>
        </w:tc>
      </w:tr>
      <w:tr w:rsidR="00000000" w14:paraId="27691E33" w14:textId="77777777">
        <w:trPr>
          <w:tblCellSpacing w:w="15" w:type="dxa"/>
        </w:trPr>
        <w:tc>
          <w:tcPr>
            <w:tcW w:w="0" w:type="auto"/>
            <w:vAlign w:val="center"/>
            <w:hideMark/>
          </w:tcPr>
          <w:p w14:paraId="0F3BCFD5" w14:textId="77777777" w:rsidR="00000000" w:rsidRDefault="00000000">
            <w:pPr>
              <w:bidi/>
              <w:rPr>
                <w:rFonts w:eastAsia="Times New Roman"/>
                <w:rtl/>
              </w:rPr>
            </w:pPr>
            <w:r>
              <w:rPr>
                <w:rFonts w:eastAsia="Times New Roman"/>
                <w:rtl/>
              </w:rPr>
              <w:t>   الضمانات</w:t>
            </w:r>
          </w:p>
        </w:tc>
        <w:tc>
          <w:tcPr>
            <w:tcW w:w="0" w:type="auto"/>
            <w:vAlign w:val="center"/>
            <w:hideMark/>
          </w:tcPr>
          <w:p w14:paraId="04A0C9C4" w14:textId="77777777" w:rsidR="00000000" w:rsidRDefault="00000000">
            <w:pPr>
              <w:bidi/>
              <w:rPr>
                <w:rFonts w:eastAsia="Times New Roman"/>
                <w:rtl/>
              </w:rPr>
            </w:pPr>
            <w:r>
              <w:rPr>
                <w:rFonts w:eastAsia="Times New Roman"/>
                <w:rtl/>
              </w:rPr>
              <w:t>14</w:t>
            </w:r>
          </w:p>
        </w:tc>
      </w:tr>
      <w:tr w:rsidR="00000000" w14:paraId="0113E3A5" w14:textId="77777777">
        <w:trPr>
          <w:tblCellSpacing w:w="15" w:type="dxa"/>
        </w:trPr>
        <w:tc>
          <w:tcPr>
            <w:tcW w:w="0" w:type="auto"/>
            <w:vAlign w:val="center"/>
            <w:hideMark/>
          </w:tcPr>
          <w:p w14:paraId="06B854A3" w14:textId="77777777" w:rsidR="00000000" w:rsidRDefault="00000000">
            <w:pPr>
              <w:bidi/>
              <w:rPr>
                <w:rFonts w:eastAsia="Times New Roman"/>
                <w:rtl/>
              </w:rPr>
            </w:pPr>
            <w:r>
              <w:rPr>
                <w:rFonts w:eastAsia="Times New Roman"/>
                <w:rtl/>
              </w:rPr>
              <w:t>الفصل الخامس: الرقابة المالية</w:t>
            </w:r>
          </w:p>
        </w:tc>
        <w:tc>
          <w:tcPr>
            <w:tcW w:w="0" w:type="auto"/>
            <w:vAlign w:val="center"/>
            <w:hideMark/>
          </w:tcPr>
          <w:p w14:paraId="689396FA" w14:textId="77777777" w:rsidR="00000000" w:rsidRDefault="00000000">
            <w:pPr>
              <w:bidi/>
              <w:rPr>
                <w:rFonts w:eastAsia="Times New Roman"/>
                <w:rtl/>
              </w:rPr>
            </w:pPr>
            <w:r>
              <w:rPr>
                <w:rFonts w:eastAsia="Times New Roman"/>
                <w:rtl/>
              </w:rPr>
              <w:t>15</w:t>
            </w:r>
          </w:p>
        </w:tc>
      </w:tr>
      <w:tr w:rsidR="00000000" w14:paraId="31C7114A" w14:textId="77777777">
        <w:trPr>
          <w:tblCellSpacing w:w="15" w:type="dxa"/>
        </w:trPr>
        <w:tc>
          <w:tcPr>
            <w:tcW w:w="0" w:type="auto"/>
            <w:vAlign w:val="center"/>
            <w:hideMark/>
          </w:tcPr>
          <w:p w14:paraId="7310D6DA" w14:textId="77777777" w:rsidR="00000000" w:rsidRDefault="00000000">
            <w:pPr>
              <w:bidi/>
              <w:rPr>
                <w:rFonts w:eastAsia="Times New Roman"/>
                <w:rtl/>
              </w:rPr>
            </w:pPr>
            <w:r>
              <w:rPr>
                <w:rFonts w:eastAsia="Times New Roman"/>
                <w:rtl/>
              </w:rPr>
              <w:t>   الرقابة الداخلية</w:t>
            </w:r>
          </w:p>
        </w:tc>
        <w:tc>
          <w:tcPr>
            <w:tcW w:w="0" w:type="auto"/>
            <w:vAlign w:val="center"/>
            <w:hideMark/>
          </w:tcPr>
          <w:p w14:paraId="680F65F3" w14:textId="77777777" w:rsidR="00000000" w:rsidRDefault="00000000">
            <w:pPr>
              <w:bidi/>
              <w:rPr>
                <w:rFonts w:eastAsia="Times New Roman"/>
                <w:rtl/>
              </w:rPr>
            </w:pPr>
            <w:r>
              <w:rPr>
                <w:rFonts w:eastAsia="Times New Roman"/>
                <w:rtl/>
              </w:rPr>
              <w:t>15</w:t>
            </w:r>
          </w:p>
        </w:tc>
      </w:tr>
      <w:tr w:rsidR="00000000" w14:paraId="065F416E" w14:textId="77777777">
        <w:trPr>
          <w:tblCellSpacing w:w="15" w:type="dxa"/>
        </w:trPr>
        <w:tc>
          <w:tcPr>
            <w:tcW w:w="0" w:type="auto"/>
            <w:vAlign w:val="center"/>
            <w:hideMark/>
          </w:tcPr>
          <w:p w14:paraId="3CEF20F2" w14:textId="77777777" w:rsidR="00000000" w:rsidRDefault="00000000">
            <w:pPr>
              <w:bidi/>
              <w:rPr>
                <w:rFonts w:eastAsia="Times New Roman"/>
                <w:rtl/>
              </w:rPr>
            </w:pPr>
            <w:r>
              <w:rPr>
                <w:rFonts w:eastAsia="Times New Roman"/>
                <w:rtl/>
              </w:rPr>
              <w:t>   مدقق حسابات الصندوق</w:t>
            </w:r>
          </w:p>
        </w:tc>
        <w:tc>
          <w:tcPr>
            <w:tcW w:w="0" w:type="auto"/>
            <w:vAlign w:val="center"/>
            <w:hideMark/>
          </w:tcPr>
          <w:p w14:paraId="3CCFAE52" w14:textId="77777777" w:rsidR="00000000" w:rsidRDefault="00000000">
            <w:pPr>
              <w:bidi/>
              <w:rPr>
                <w:rFonts w:eastAsia="Times New Roman"/>
                <w:rtl/>
              </w:rPr>
            </w:pPr>
            <w:r>
              <w:rPr>
                <w:rFonts w:eastAsia="Times New Roman"/>
                <w:rtl/>
              </w:rPr>
              <w:t>15</w:t>
            </w:r>
          </w:p>
        </w:tc>
      </w:tr>
      <w:tr w:rsidR="00000000" w14:paraId="36799241" w14:textId="77777777">
        <w:trPr>
          <w:tblCellSpacing w:w="15" w:type="dxa"/>
        </w:trPr>
        <w:tc>
          <w:tcPr>
            <w:tcW w:w="0" w:type="auto"/>
            <w:vAlign w:val="center"/>
            <w:hideMark/>
          </w:tcPr>
          <w:p w14:paraId="0F5DD0F0" w14:textId="77777777" w:rsidR="00000000" w:rsidRDefault="00000000">
            <w:pPr>
              <w:bidi/>
              <w:rPr>
                <w:rFonts w:eastAsia="Times New Roman"/>
                <w:rtl/>
              </w:rPr>
            </w:pPr>
            <w:r>
              <w:rPr>
                <w:rFonts w:eastAsia="Times New Roman"/>
                <w:rtl/>
              </w:rPr>
              <w:t>   الرقابة على الخزينة</w:t>
            </w:r>
          </w:p>
        </w:tc>
        <w:tc>
          <w:tcPr>
            <w:tcW w:w="0" w:type="auto"/>
            <w:vAlign w:val="center"/>
            <w:hideMark/>
          </w:tcPr>
          <w:p w14:paraId="1D252E9A" w14:textId="77777777" w:rsidR="00000000" w:rsidRDefault="00000000">
            <w:pPr>
              <w:bidi/>
              <w:rPr>
                <w:rFonts w:eastAsia="Times New Roman"/>
                <w:rtl/>
              </w:rPr>
            </w:pPr>
            <w:r>
              <w:rPr>
                <w:rFonts w:eastAsia="Times New Roman"/>
                <w:rtl/>
              </w:rPr>
              <w:t>16</w:t>
            </w:r>
          </w:p>
        </w:tc>
      </w:tr>
      <w:tr w:rsidR="00000000" w14:paraId="556C2727" w14:textId="77777777">
        <w:trPr>
          <w:tblCellSpacing w:w="15" w:type="dxa"/>
        </w:trPr>
        <w:tc>
          <w:tcPr>
            <w:tcW w:w="0" w:type="auto"/>
            <w:vAlign w:val="center"/>
            <w:hideMark/>
          </w:tcPr>
          <w:p w14:paraId="70EC85F3" w14:textId="77777777" w:rsidR="00000000" w:rsidRDefault="00000000">
            <w:pPr>
              <w:bidi/>
              <w:rPr>
                <w:rFonts w:eastAsia="Times New Roman"/>
                <w:rtl/>
              </w:rPr>
            </w:pPr>
            <w:r>
              <w:rPr>
                <w:rFonts w:eastAsia="Times New Roman"/>
                <w:rtl/>
              </w:rPr>
              <w:t>   المخالفات المالية</w:t>
            </w:r>
          </w:p>
        </w:tc>
        <w:tc>
          <w:tcPr>
            <w:tcW w:w="0" w:type="auto"/>
            <w:vAlign w:val="center"/>
            <w:hideMark/>
          </w:tcPr>
          <w:p w14:paraId="3CDBC047" w14:textId="77777777" w:rsidR="00000000" w:rsidRDefault="00000000">
            <w:pPr>
              <w:bidi/>
              <w:rPr>
                <w:rFonts w:eastAsia="Times New Roman"/>
                <w:rtl/>
              </w:rPr>
            </w:pPr>
            <w:r>
              <w:rPr>
                <w:rFonts w:eastAsia="Times New Roman"/>
                <w:rtl/>
              </w:rPr>
              <w:t>16</w:t>
            </w:r>
          </w:p>
        </w:tc>
      </w:tr>
      <w:tr w:rsidR="00000000" w14:paraId="188902F0" w14:textId="77777777">
        <w:trPr>
          <w:tblCellSpacing w:w="15" w:type="dxa"/>
        </w:trPr>
        <w:tc>
          <w:tcPr>
            <w:tcW w:w="0" w:type="auto"/>
            <w:vAlign w:val="center"/>
            <w:hideMark/>
          </w:tcPr>
          <w:p w14:paraId="3126E853" w14:textId="77777777" w:rsidR="00000000" w:rsidRDefault="00000000">
            <w:pPr>
              <w:bidi/>
              <w:rPr>
                <w:rFonts w:eastAsia="Times New Roman"/>
                <w:rtl/>
              </w:rPr>
            </w:pPr>
            <w:r>
              <w:rPr>
                <w:rFonts w:eastAsia="Times New Roman"/>
                <w:rtl/>
              </w:rPr>
              <w:t>   أحكام عامة</w:t>
            </w:r>
          </w:p>
        </w:tc>
        <w:tc>
          <w:tcPr>
            <w:tcW w:w="0" w:type="auto"/>
            <w:vAlign w:val="center"/>
            <w:hideMark/>
          </w:tcPr>
          <w:p w14:paraId="3CAB73DF" w14:textId="77777777" w:rsidR="00000000" w:rsidRDefault="00000000">
            <w:pPr>
              <w:bidi/>
              <w:rPr>
                <w:rFonts w:eastAsia="Times New Roman"/>
                <w:rtl/>
              </w:rPr>
            </w:pPr>
            <w:r>
              <w:rPr>
                <w:rFonts w:eastAsia="Times New Roman"/>
                <w:rtl/>
              </w:rPr>
              <w:t>17</w:t>
            </w:r>
          </w:p>
        </w:tc>
      </w:tr>
      <w:tr w:rsidR="00000000" w14:paraId="56517EBA" w14:textId="77777777">
        <w:trPr>
          <w:tblCellSpacing w:w="15" w:type="dxa"/>
        </w:trPr>
        <w:tc>
          <w:tcPr>
            <w:tcW w:w="0" w:type="auto"/>
            <w:vAlign w:val="center"/>
            <w:hideMark/>
          </w:tcPr>
          <w:p w14:paraId="5B426B41" w14:textId="77777777" w:rsidR="00000000" w:rsidRDefault="00000000">
            <w:pPr>
              <w:bidi/>
              <w:rPr>
                <w:rFonts w:eastAsia="Times New Roman"/>
                <w:rtl/>
              </w:rPr>
            </w:pPr>
            <w:r>
              <w:rPr>
                <w:rFonts w:eastAsia="Times New Roman"/>
                <w:rtl/>
              </w:rPr>
              <w:t>الفصل السادس: الحسابات الختامية والتقارير الدورية</w:t>
            </w:r>
          </w:p>
        </w:tc>
        <w:tc>
          <w:tcPr>
            <w:tcW w:w="0" w:type="auto"/>
            <w:vAlign w:val="center"/>
            <w:hideMark/>
          </w:tcPr>
          <w:p w14:paraId="1E19940D" w14:textId="77777777" w:rsidR="00000000" w:rsidRDefault="00000000">
            <w:pPr>
              <w:bidi/>
              <w:rPr>
                <w:rFonts w:eastAsia="Times New Roman"/>
                <w:rtl/>
              </w:rPr>
            </w:pPr>
            <w:r>
              <w:rPr>
                <w:rFonts w:eastAsia="Times New Roman"/>
                <w:rtl/>
              </w:rPr>
              <w:t>18</w:t>
            </w:r>
          </w:p>
        </w:tc>
      </w:tr>
      <w:tr w:rsidR="00000000" w14:paraId="1472FE28" w14:textId="77777777">
        <w:trPr>
          <w:tblCellSpacing w:w="15" w:type="dxa"/>
        </w:trPr>
        <w:tc>
          <w:tcPr>
            <w:tcW w:w="0" w:type="auto"/>
            <w:vAlign w:val="center"/>
            <w:hideMark/>
          </w:tcPr>
          <w:p w14:paraId="0F7794C4" w14:textId="77777777" w:rsidR="00000000" w:rsidRDefault="00000000">
            <w:pPr>
              <w:bidi/>
              <w:rPr>
                <w:rFonts w:eastAsia="Times New Roman"/>
                <w:rtl/>
              </w:rPr>
            </w:pPr>
            <w:r>
              <w:rPr>
                <w:rFonts w:eastAsia="Times New Roman"/>
                <w:rtl/>
              </w:rPr>
              <w:t>   الحسابات الختامية</w:t>
            </w:r>
          </w:p>
        </w:tc>
        <w:tc>
          <w:tcPr>
            <w:tcW w:w="0" w:type="auto"/>
            <w:vAlign w:val="center"/>
            <w:hideMark/>
          </w:tcPr>
          <w:p w14:paraId="7992EBF5" w14:textId="77777777" w:rsidR="00000000" w:rsidRDefault="00000000">
            <w:pPr>
              <w:bidi/>
              <w:rPr>
                <w:rFonts w:eastAsia="Times New Roman"/>
                <w:rtl/>
              </w:rPr>
            </w:pPr>
            <w:r>
              <w:rPr>
                <w:rFonts w:eastAsia="Times New Roman"/>
                <w:rtl/>
              </w:rPr>
              <w:t>18</w:t>
            </w:r>
          </w:p>
        </w:tc>
      </w:tr>
      <w:tr w:rsidR="00000000" w14:paraId="29515555" w14:textId="77777777">
        <w:trPr>
          <w:tblCellSpacing w:w="15" w:type="dxa"/>
        </w:trPr>
        <w:tc>
          <w:tcPr>
            <w:tcW w:w="0" w:type="auto"/>
            <w:vAlign w:val="center"/>
            <w:hideMark/>
          </w:tcPr>
          <w:p w14:paraId="1A8D0A98" w14:textId="77777777" w:rsidR="00000000" w:rsidRDefault="00000000">
            <w:pPr>
              <w:bidi/>
              <w:rPr>
                <w:rFonts w:eastAsia="Times New Roman"/>
                <w:rtl/>
              </w:rPr>
            </w:pPr>
            <w:r>
              <w:rPr>
                <w:rFonts w:eastAsia="Times New Roman"/>
                <w:rtl/>
              </w:rPr>
              <w:t>   التقارير الدورية</w:t>
            </w:r>
          </w:p>
        </w:tc>
        <w:tc>
          <w:tcPr>
            <w:tcW w:w="0" w:type="auto"/>
            <w:vAlign w:val="center"/>
            <w:hideMark/>
          </w:tcPr>
          <w:p w14:paraId="2FDC1654" w14:textId="77777777" w:rsidR="00000000" w:rsidRDefault="00000000">
            <w:pPr>
              <w:bidi/>
              <w:rPr>
                <w:rFonts w:eastAsia="Times New Roman"/>
                <w:rtl/>
              </w:rPr>
            </w:pPr>
            <w:r>
              <w:rPr>
                <w:rFonts w:eastAsia="Times New Roman"/>
                <w:rtl/>
              </w:rPr>
              <w:t>18</w:t>
            </w:r>
          </w:p>
        </w:tc>
      </w:tr>
      <w:tr w:rsidR="00000000" w14:paraId="2E6BD7A8" w14:textId="77777777">
        <w:trPr>
          <w:tblCellSpacing w:w="15" w:type="dxa"/>
        </w:trPr>
        <w:tc>
          <w:tcPr>
            <w:tcW w:w="0" w:type="auto"/>
            <w:vAlign w:val="center"/>
            <w:hideMark/>
          </w:tcPr>
          <w:p w14:paraId="304355ED" w14:textId="77777777" w:rsidR="00000000" w:rsidRDefault="00000000">
            <w:pPr>
              <w:bidi/>
              <w:rPr>
                <w:rFonts w:eastAsia="Times New Roman"/>
                <w:rtl/>
              </w:rPr>
            </w:pPr>
            <w:r>
              <w:rPr>
                <w:rFonts w:eastAsia="Times New Roman"/>
                <w:rtl/>
              </w:rPr>
              <w:t>الفصل السابع: التبرعات والهدايا</w:t>
            </w:r>
          </w:p>
        </w:tc>
        <w:tc>
          <w:tcPr>
            <w:tcW w:w="0" w:type="auto"/>
            <w:vAlign w:val="center"/>
            <w:hideMark/>
          </w:tcPr>
          <w:p w14:paraId="224439D8" w14:textId="77777777" w:rsidR="00000000" w:rsidRDefault="00000000">
            <w:pPr>
              <w:bidi/>
              <w:rPr>
                <w:rFonts w:eastAsia="Times New Roman"/>
                <w:rtl/>
              </w:rPr>
            </w:pPr>
            <w:r>
              <w:rPr>
                <w:rFonts w:eastAsia="Times New Roman"/>
                <w:rtl/>
              </w:rPr>
              <w:t>19</w:t>
            </w:r>
          </w:p>
        </w:tc>
      </w:tr>
      <w:tr w:rsidR="00000000" w14:paraId="22A50B8C" w14:textId="77777777">
        <w:trPr>
          <w:tblCellSpacing w:w="15" w:type="dxa"/>
        </w:trPr>
        <w:tc>
          <w:tcPr>
            <w:tcW w:w="0" w:type="auto"/>
            <w:vAlign w:val="center"/>
            <w:hideMark/>
          </w:tcPr>
          <w:p w14:paraId="7A3D06BE" w14:textId="77777777" w:rsidR="00000000" w:rsidRDefault="00000000">
            <w:pPr>
              <w:bidi/>
              <w:rPr>
                <w:rFonts w:eastAsia="Times New Roman"/>
                <w:rtl/>
              </w:rPr>
            </w:pPr>
            <w:r>
              <w:rPr>
                <w:rFonts w:eastAsia="Times New Roman"/>
                <w:rtl/>
              </w:rPr>
              <w:t>   تقديم الهدايا للغير</w:t>
            </w:r>
          </w:p>
        </w:tc>
        <w:tc>
          <w:tcPr>
            <w:tcW w:w="0" w:type="auto"/>
            <w:vAlign w:val="center"/>
            <w:hideMark/>
          </w:tcPr>
          <w:p w14:paraId="1238A881" w14:textId="77777777" w:rsidR="00000000" w:rsidRDefault="00000000">
            <w:pPr>
              <w:bidi/>
              <w:rPr>
                <w:rFonts w:eastAsia="Times New Roman"/>
                <w:rtl/>
              </w:rPr>
            </w:pPr>
            <w:r>
              <w:rPr>
                <w:rFonts w:eastAsia="Times New Roman"/>
                <w:rtl/>
              </w:rPr>
              <w:t>19</w:t>
            </w:r>
          </w:p>
        </w:tc>
      </w:tr>
      <w:tr w:rsidR="00000000" w14:paraId="30CB7853" w14:textId="77777777">
        <w:trPr>
          <w:tblCellSpacing w:w="15" w:type="dxa"/>
        </w:trPr>
        <w:tc>
          <w:tcPr>
            <w:tcW w:w="0" w:type="auto"/>
            <w:vAlign w:val="center"/>
            <w:hideMark/>
          </w:tcPr>
          <w:p w14:paraId="30B8B38E" w14:textId="77777777" w:rsidR="00000000" w:rsidRDefault="00000000">
            <w:pPr>
              <w:bidi/>
              <w:rPr>
                <w:rFonts w:eastAsia="Times New Roman"/>
                <w:rtl/>
              </w:rPr>
            </w:pPr>
            <w:r>
              <w:rPr>
                <w:rFonts w:eastAsia="Times New Roman"/>
                <w:rtl/>
              </w:rPr>
              <w:t>   قبول الموظف للهدايا أو التبرعات من الغير</w:t>
            </w:r>
          </w:p>
        </w:tc>
        <w:tc>
          <w:tcPr>
            <w:tcW w:w="0" w:type="auto"/>
            <w:vAlign w:val="center"/>
            <w:hideMark/>
          </w:tcPr>
          <w:p w14:paraId="38CD232E" w14:textId="77777777" w:rsidR="00000000" w:rsidRDefault="00000000">
            <w:pPr>
              <w:bidi/>
              <w:rPr>
                <w:rFonts w:eastAsia="Times New Roman"/>
                <w:rtl/>
              </w:rPr>
            </w:pPr>
            <w:r>
              <w:rPr>
                <w:rFonts w:eastAsia="Times New Roman"/>
                <w:rtl/>
              </w:rPr>
              <w:t>19</w:t>
            </w:r>
          </w:p>
        </w:tc>
      </w:tr>
    </w:tbl>
    <w:p w14:paraId="08D3CF1D"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الفصل الأول: الأحكام والقواعد العامة</w:t>
      </w:r>
    </w:p>
    <w:p w14:paraId="40BD3F8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 تعريفات عامة</w:t>
      </w:r>
    </w:p>
    <w:p w14:paraId="373B46D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يكون للتعابير التالية والمستخدمة ضمن هذه اللائحة المعاني المبينة بجانبها ما لم يقتضِ السياق خلاف ذلك:</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0"/>
        <w:gridCol w:w="7484"/>
      </w:tblGrid>
      <w:tr w:rsidR="00000000" w14:paraId="7774D8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1A2276" w14:textId="77777777" w:rsidR="00000000" w:rsidRDefault="00000000">
            <w:pPr>
              <w:bidi/>
              <w:rPr>
                <w:rFonts w:eastAsia="Times New Roman"/>
                <w:rtl/>
              </w:rPr>
            </w:pPr>
            <w:r>
              <w:rPr>
                <w:rFonts w:eastAsia="Times New Roman"/>
                <w:rtl/>
              </w:rPr>
              <w:t>الصندوق</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90015" w14:textId="77777777" w:rsidR="00000000" w:rsidRDefault="00000000">
            <w:pPr>
              <w:bidi/>
              <w:rPr>
                <w:rFonts w:eastAsia="Times New Roman"/>
                <w:rtl/>
              </w:rPr>
            </w:pPr>
            <w:r>
              <w:rPr>
                <w:rFonts w:eastAsia="Times New Roman"/>
                <w:rtl/>
              </w:rPr>
              <w:t>صندوق آل هويمل (الألفة)</w:t>
            </w:r>
          </w:p>
        </w:tc>
      </w:tr>
      <w:tr w:rsidR="00000000" w14:paraId="1D2810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AE32FF" w14:textId="77777777" w:rsidR="00000000" w:rsidRDefault="00000000">
            <w:pPr>
              <w:bidi/>
              <w:rPr>
                <w:rFonts w:eastAsia="Times New Roman"/>
                <w:rtl/>
              </w:rPr>
            </w:pPr>
            <w:r>
              <w:rPr>
                <w:rFonts w:eastAsia="Times New Roman"/>
                <w:rtl/>
              </w:rPr>
              <w:t>مجلس الأمناء</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74AA9" w14:textId="77777777" w:rsidR="00000000" w:rsidRDefault="00000000">
            <w:pPr>
              <w:bidi/>
              <w:rPr>
                <w:rFonts w:eastAsia="Times New Roman"/>
                <w:rtl/>
              </w:rPr>
            </w:pPr>
            <w:r>
              <w:rPr>
                <w:rFonts w:eastAsia="Times New Roman"/>
                <w:rtl/>
              </w:rPr>
              <w:t>السلطة العليا المسؤولة عن الصندوق</w:t>
            </w:r>
          </w:p>
        </w:tc>
      </w:tr>
      <w:tr w:rsidR="00000000" w14:paraId="3697DA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FCE10C" w14:textId="77777777" w:rsidR="00000000" w:rsidRDefault="00000000">
            <w:pPr>
              <w:bidi/>
              <w:rPr>
                <w:rFonts w:eastAsia="Times New Roman"/>
                <w:rtl/>
              </w:rPr>
            </w:pPr>
            <w:r>
              <w:rPr>
                <w:rFonts w:eastAsia="Times New Roman"/>
                <w:rtl/>
              </w:rPr>
              <w:t>المدير التنفيذي</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25BC9" w14:textId="77777777" w:rsidR="00000000" w:rsidRDefault="00000000">
            <w:pPr>
              <w:bidi/>
              <w:rPr>
                <w:rFonts w:eastAsia="Times New Roman"/>
                <w:rtl/>
              </w:rPr>
            </w:pPr>
            <w:r>
              <w:rPr>
                <w:rFonts w:eastAsia="Times New Roman"/>
                <w:rtl/>
              </w:rPr>
              <w:t>المدير التنفيذي للصندوق.</w:t>
            </w:r>
          </w:p>
        </w:tc>
      </w:tr>
      <w:tr w:rsidR="00000000" w14:paraId="152D86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9323BD" w14:textId="77777777" w:rsidR="00000000" w:rsidRDefault="00000000">
            <w:pPr>
              <w:bidi/>
              <w:rPr>
                <w:rFonts w:eastAsia="Times New Roman"/>
                <w:rtl/>
              </w:rPr>
            </w:pPr>
            <w:r>
              <w:rPr>
                <w:rFonts w:eastAsia="Times New Roman"/>
                <w:rtl/>
              </w:rPr>
              <w:t>إدارة الشؤون الإدارية والمالية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EFF85" w14:textId="77777777" w:rsidR="00000000" w:rsidRDefault="00000000">
            <w:pPr>
              <w:bidi/>
              <w:rPr>
                <w:rFonts w:eastAsia="Times New Roman"/>
                <w:rtl/>
              </w:rPr>
            </w:pPr>
            <w:r>
              <w:rPr>
                <w:rFonts w:eastAsia="Times New Roman"/>
                <w:rtl/>
              </w:rPr>
              <w:t>الإدارة المسؤولة عن الشؤون الإدارية والمالية والموارد البشرية في الصندوق.</w:t>
            </w:r>
          </w:p>
        </w:tc>
      </w:tr>
      <w:tr w:rsidR="00000000" w14:paraId="2051E8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9C3F6E" w14:textId="77777777" w:rsidR="00000000" w:rsidRDefault="00000000">
            <w:pPr>
              <w:bidi/>
              <w:rPr>
                <w:rFonts w:eastAsia="Times New Roman"/>
                <w:rtl/>
              </w:rPr>
            </w:pPr>
            <w:r>
              <w:rPr>
                <w:rFonts w:eastAsia="Times New Roman"/>
                <w:rtl/>
              </w:rPr>
              <w:t>اللائحة</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A22B3" w14:textId="77777777" w:rsidR="00000000" w:rsidRDefault="00000000">
            <w:pPr>
              <w:bidi/>
              <w:rPr>
                <w:rFonts w:eastAsia="Times New Roman"/>
                <w:rtl/>
              </w:rPr>
            </w:pPr>
            <w:r>
              <w:rPr>
                <w:rFonts w:eastAsia="Times New Roman"/>
                <w:rtl/>
              </w:rPr>
              <w:t>لائحة السياسات المالية والمحاسبية الخاصة بالصندوق.</w:t>
            </w:r>
          </w:p>
        </w:tc>
      </w:tr>
      <w:tr w:rsidR="00000000" w14:paraId="5C7EFB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497917" w14:textId="77777777" w:rsidR="00000000" w:rsidRDefault="00000000">
            <w:pPr>
              <w:bidi/>
              <w:rPr>
                <w:rFonts w:eastAsia="Times New Roman"/>
                <w:rtl/>
              </w:rPr>
            </w:pPr>
            <w:r>
              <w:rPr>
                <w:rFonts w:eastAsia="Times New Roman"/>
                <w:rtl/>
              </w:rPr>
              <w:t>الموظف</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713C9" w14:textId="77777777" w:rsidR="00000000" w:rsidRDefault="00000000">
            <w:pPr>
              <w:bidi/>
              <w:rPr>
                <w:rFonts w:eastAsia="Times New Roman"/>
                <w:rtl/>
              </w:rPr>
            </w:pPr>
            <w:r>
              <w:rPr>
                <w:rFonts w:eastAsia="Times New Roman"/>
                <w:rtl/>
              </w:rPr>
              <w:t>هو كل من يعمل بالصندوق إن كان موظفًا أو موظفة، وهو نفسه العامل المذكور في نظام العمل المعتمد في المملكة العربية السعودية.</w:t>
            </w:r>
          </w:p>
        </w:tc>
      </w:tr>
    </w:tbl>
    <w:p w14:paraId="0E7808E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 الهدف من اللائحة</w:t>
      </w:r>
    </w:p>
    <w:p w14:paraId="2DFB62C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تهدف هذه اللائحة إلى بيان القواعد الأساسية للنظام المالي والمحاسبي الذي يراعى اتباعه من قبل كافة العاملين في الصندوق عند القيام بجميع الأنشطة المالية، كما تهدف إلى المحافظة على أموال وممتلكات الصندوق وتنظيم قواعد الصرف والتحصيل وقواعد المراقبة والضبط الداخلي وسلامة الحسابات المالية.</w:t>
      </w:r>
    </w:p>
    <w:p w14:paraId="2009881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 السرية والخصوصية</w:t>
      </w:r>
    </w:p>
    <w:p w14:paraId="28B5E63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إن هذه اللائحة وجميع المعلومات المدرجة فيها هي ملكية خاصة بالصندوق، ويجب أن تُستخدم فيما يتصل بأداء الأعمال ذات العلاقة، وكذلك لا يحق استخدامها أو نسخها لأي غرض آخر إلا بموافقة كتابية مسبقة من مجلس الأمناء.</w:t>
      </w:r>
    </w:p>
    <w:p w14:paraId="654DB75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 الهدف من السياسات والإجراءات</w:t>
      </w:r>
    </w:p>
    <w:p w14:paraId="717FDCB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إن هذه اللائحة تبين السياسات والإجراءات التي تحكم الأنشطة الموكلة للمالية في الصندوق، والهدف من هذه السياسات والإجراءات ما يلي:</w:t>
      </w:r>
    </w:p>
    <w:p w14:paraId="5142932C"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وضع معايير رقابية مناسبة لكافة الأنشطة المالية.</w:t>
      </w:r>
    </w:p>
    <w:p w14:paraId="0214D83A"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تحديد السياسات والإجراءات المالية للصندوق بشكل واضح بما فيها الموازنات والتقارير الإدارية بكفاءة وفاعلية، وذلك لاستخدامها في إدارة وتنظيم الصندوق بكافة أنشطته ووظائفه.</w:t>
      </w:r>
    </w:p>
    <w:p w14:paraId="74B7E95B"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تأمين وتوفير دليل مرجعي محدَّث لكافة موظفي الشؤون المالية في الصندوق.</w:t>
      </w:r>
    </w:p>
    <w:p w14:paraId="4E80426B"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ضمان الانسجام والتوافق عند تطبيق السياسات والإجراءات على نطاق وظائف ومهام الشؤون المالية داخل الصندوق.</w:t>
      </w:r>
    </w:p>
    <w:p w14:paraId="2980E51B"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ضمان استمرارية وظائف ومهام الشؤون المالية.</w:t>
      </w:r>
    </w:p>
    <w:p w14:paraId="50E1F54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 مسؤولية حفظ وتطبيق هذه اللائحة</w:t>
      </w:r>
    </w:p>
    <w:p w14:paraId="078C8988"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مهمة حفظ السياسات والإجراءات الموجودة في هذه اللائحة تقع على عاتق مدير إدارة الشؤون الإدارية والمالية أو من يخوله مجلس الأمناء بذلك.</w:t>
      </w:r>
    </w:p>
    <w:p w14:paraId="3584D1DE"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مراجعة دليل السياسات والإجراءات سنويًا أو في مدة أقل من ذلك حسب الحاجة، لمراعاة تغيرات العمل الرئيسة داخل الصندوق.</w:t>
      </w:r>
    </w:p>
    <w:p w14:paraId="4373F29D"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أي تغيير في إجراءات الأعمال يجب اعتماده من قبل صاحب الصلاحية.</w:t>
      </w:r>
    </w:p>
    <w:p w14:paraId="522F3704"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أي تغيير في السياسات المدرجة يجب أن يُقدَّم لمجلس الأمناء لأخذ الموافقة.</w:t>
      </w:r>
    </w:p>
    <w:p w14:paraId="785E8751"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من مهام الشؤون المالية إيصال وتوضيح هذه السياسات والإجراءات للموظفين، بالإضافة إلى التوصية بالتعديلات للمدير التنفيذي عند الضرورة.</w:t>
      </w:r>
    </w:p>
    <w:p w14:paraId="5D7A19B9"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مراجعة نموذج اقتراح تعديل/ إجراء (نموذج 1) والتوقيع عليه من قبل المدير التنفيذي والرفع به لصاحب الصلاحية للاعتماد.</w:t>
      </w:r>
    </w:p>
    <w:p w14:paraId="3039AC3E"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من مسؤولية الموظف المعنيّ فهم معاني ومقاصد هذه السياسات، أما إذا كانت هناك أي أسئلة أو استفسارات تتعلق بالسياسات أو قدرته على الاستجابة بفعالية لمتطلباتها، فالمطلوب من الموظف تقديم هذه الاستفسارات للمالية فورًا.</w:t>
      </w:r>
    </w:p>
    <w:p w14:paraId="2F919ECA"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الغرض الأساسي من هذه السياسات تقديم أساس لوعي وفهم سليم ومتسق ومتكامل لجميع الجوانب المرتبطة بهذه الوظائف حتى وإن تغيّر الأفراد العاملين فيها.</w:t>
      </w:r>
    </w:p>
    <w:p w14:paraId="0085842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 أمن وحماية المستندات</w:t>
      </w:r>
    </w:p>
    <w:p w14:paraId="1D2C6F3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يجب الاحتفاظ بجميع المستندات في مكان آمن وبطريقة سليمة، ومنها المستندات والوثائق الآتية:</w:t>
      </w:r>
    </w:p>
    <w:p w14:paraId="4CB27129"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الحسابات السنوية وتقارير المراجعة.</w:t>
      </w:r>
    </w:p>
    <w:p w14:paraId="74AC0660"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جميع العقود والاتفاقيات المبرمة مع الصندوق.</w:t>
      </w:r>
    </w:p>
    <w:p w14:paraId="067D762F"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سندات الملكية.</w:t>
      </w:r>
    </w:p>
    <w:p w14:paraId="162B8C5E"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المراسلات مع البنوك، المانحين، المكاتب الاستشارية وغيرهم.</w:t>
      </w:r>
    </w:p>
    <w:p w14:paraId="1FB4BAD5"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أي مستندات أخرى ذات أهمية مالية أو قانونية.</w:t>
      </w:r>
    </w:p>
    <w:p w14:paraId="7370383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(7) اعتماد اللائحة</w:t>
      </w:r>
    </w:p>
    <w:p w14:paraId="3328C68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تُعتمد هذه اللائحة من قبل مجلس الأمناء، وذلك بعد مناقشتها، ولا يجوز تعديل أو تغيير أي مادة أو فقرة فيها إلا بموجب قرار صادر عن صاحب الصلاحية أو من يفوضه بذلك، وفي حالة صدور أي تعديلات ينبغي تعميمها على كل من يهمه الأمر قبل بدء سريانها بوقت مناسب.</w:t>
      </w:r>
    </w:p>
    <w:p w14:paraId="3E56211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(8) تطبيق اللائحة</w:t>
      </w:r>
    </w:p>
    <w:p w14:paraId="0940FBC1"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كل ما لم يرد به نص في هذه اللائحة يُعتبر من صلاحيات مجلس الأمناء أو من يفوضه، وبما لا يتعارض مع الأنظمة واللوائح المعمول بها في المملكة العربية السعودية.</w:t>
      </w:r>
    </w:p>
    <w:p w14:paraId="1D06C0A8"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حيثما يقع الشك في نص أو تفسير أي من أحكام هذه اللائحة، فإن قرار الفصل فيه في يد المدير التنفيذي.</w:t>
      </w:r>
    </w:p>
    <w:p w14:paraId="2719A095"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يستمر العمل بالقرارات والتعاميم المالية المعمول بها حاليًا، ويُلغى اعتماد اللائحة كل ما يتعارض معها.</w:t>
      </w:r>
    </w:p>
    <w:p w14:paraId="1D324CC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(9) رقابة تطبيق اللائحة</w:t>
      </w:r>
    </w:p>
    <w:p w14:paraId="2DB7F6D6"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المدير التنفيذي في الصندوق هو المسؤول عن مراقبة تطبيق هذه اللائحة والالتزام بها، وعليه إخطار مجلس الأمناء عن أي مخالفة للعمل لمعالجتها فورًا واتخاذ الإجراءات اللازمة والكفيلة بذلك، وإبلاغه بالأمور ذات الأهمية إذا دعت الحاجة إلى ذلك.</w:t>
      </w:r>
    </w:p>
    <w:p w14:paraId="05853E5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مادة (10) صلاحية التوقيع عن الصندوق</w:t>
      </w:r>
    </w:p>
    <w:p w14:paraId="63B57E33"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من يملك حق التوقيع عن الصندوق هو من يخوله صاحب الصلاحية حسب لائحة الصلاحيات المعمول بها في الصندوق.</w:t>
      </w:r>
    </w:p>
    <w:p w14:paraId="44B74843"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 xml:space="preserve">تُحدَّد الصلاحيات المالية وفقًا للائحة الصلاحيات، وكما يقر نظام التوقيع عن الصندوق على أن يتضمن ذلك ما يلي: </w:t>
      </w:r>
    </w:p>
    <w:p w14:paraId="465C1518" w14:textId="77777777" w:rsidR="00000000" w:rsidRDefault="00000000">
      <w:pPr>
        <w:numPr>
          <w:ilvl w:val="1"/>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حدود عمليات الصرف المالي.</w:t>
      </w:r>
    </w:p>
    <w:p w14:paraId="55A222FE" w14:textId="77777777" w:rsidR="00000000" w:rsidRDefault="00000000">
      <w:pPr>
        <w:numPr>
          <w:ilvl w:val="1"/>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نماذج التوقيعات المعتمدة مع بيانات تواريخ سريانها.</w:t>
      </w:r>
    </w:p>
    <w:p w14:paraId="48254BFB"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الفصل الثاني: السياسات المالية والمحاسبية</w:t>
      </w:r>
    </w:p>
    <w:p w14:paraId="59E0B0A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سياسات عامة</w:t>
      </w:r>
    </w:p>
    <w:p w14:paraId="1BE4DF2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(11) سياسات عامة</w:t>
      </w:r>
    </w:p>
    <w:p w14:paraId="36521D75"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السنة المالية للصندوق تبدأ في 1/1 من كل عام ميلادي وتنتهي في 12/31 من العام نفسه، ويتم إقفال الدفاتر المحاسبية في نهاية كل شهر.</w:t>
      </w:r>
    </w:p>
    <w:p w14:paraId="0740EB1F"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يتّبع الصندوق القواعد والأعراف المحاسبية المتعارف عليها والمعمول بها.</w:t>
      </w:r>
    </w:p>
    <w:p w14:paraId="6088C10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(12) برنامج خاص للحسابات</w:t>
      </w:r>
    </w:p>
    <w:p w14:paraId="79620F4B"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يُمسك الصندوق حساباته باستخدام نظام خاص بالحسابات على الحاسب لإثبات وتسجيل موجودات ومطلوبات وإيرادات ومصروفات الصندوق.</w:t>
      </w:r>
    </w:p>
    <w:p w14:paraId="41F1A3B6"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تقوم الشؤون المالية بالتأكد المستمر من صلاحية النظام وملاءمته مع الاحتياجات ومتطلبات العمل المالي والمحاسبي والتحليل والتخطيط والرقابة، ومتابعة الأعمال فيه، والسعي لتحديثه وتطويره وإبقائه متناسقًا مع أعلى مستويات الأداء المحاسبي.</w:t>
      </w:r>
    </w:p>
    <w:p w14:paraId="6E22538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الأسس المحاسبية</w:t>
      </w:r>
    </w:p>
    <w:p w14:paraId="35EA8CA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(13) الأسس المحاسبية</w:t>
      </w:r>
    </w:p>
    <w:p w14:paraId="0221AD45"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تُقيَّد حسابات الصندوق بمبدأ القيد المزدوج ووفقًا للأسس والمبادئ المحاسبية المتعارف عليها والمعمول بها.</w:t>
      </w:r>
    </w:p>
    <w:p w14:paraId="6100ED0E"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 xml:space="preserve">يتم إعداد الحسابات وفقًا للأسس والمفاهيم العامة الآتية: </w:t>
      </w:r>
    </w:p>
    <w:p w14:paraId="7B932CBE"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تسجيل الأصول بموجب مبدأ التكلفة التاريخية وبالريال السعودي.</w:t>
      </w:r>
    </w:p>
    <w:p w14:paraId="58287320"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تسجيل الإيرادات والمصاريف على أساس الاستحقاق.</w:t>
      </w:r>
    </w:p>
    <w:p w14:paraId="22D58771"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الصندوق قائم على فرض الاستمرارية.</w:t>
      </w:r>
    </w:p>
    <w:p w14:paraId="74B9B458"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العمل بمبدأ الإفصاح الكامل للقوائم المالية.</w:t>
      </w:r>
    </w:p>
    <w:p w14:paraId="134879F3"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على الصندوق الاحتفاظ بسجلات محاسبية مستقلة.</w:t>
      </w:r>
    </w:p>
    <w:p w14:paraId="5E7B1AFE"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يجب الاحتفاظ بالدفاتر المحاسبية والقوائم المالية وجميع العمليات المحاسبية بطريقة تتيح لأي طرف له علاقة بالرجوع والاطلاع عليها في أي وقت مناسب.</w:t>
      </w:r>
    </w:p>
    <w:p w14:paraId="33C7798F" w14:textId="77777777" w:rsidR="00000000" w:rsidRDefault="00000000">
      <w:pPr>
        <w:numPr>
          <w:ilvl w:val="1"/>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أرشفة الفواتير والسجلات ومحاضر الاجتماعات والقرارات على أساس علمي وبطريقة منظمة، والحفظ بحسب المدد النظامية لكل سجل.</w:t>
      </w:r>
    </w:p>
    <w:p w14:paraId="068F436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(14) إعداد التقارير المحاسبية</w:t>
      </w:r>
    </w:p>
    <w:p w14:paraId="4118D7AD"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إعداد التقارير على أساس (شهري، ربع سنوي، سنوي)، بحيث تشمل جميع الاستحقاقات الضرورية بالإفصاح بصورة واضحة ودقيقة عن الموقف المالي ونتائج الأنشطة المتعلقة بالصندوق.</w:t>
      </w:r>
    </w:p>
    <w:p w14:paraId="7116CFDA"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إعداد التقارير المالية لكافة أنشطة الصندوق، ويتم تقديمها لمجلس الأمناء للاطلاع والاعتماد.</w:t>
      </w:r>
    </w:p>
    <w:p w14:paraId="1330CD6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مادة (15) تسوية الحسابات الشهرية</w:t>
      </w:r>
    </w:p>
    <w:p w14:paraId="52443E1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تُسوّى حسابات الصندوق بشكل شهري:</w:t>
      </w:r>
    </w:p>
    <w:p w14:paraId="1F0E93C8"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النقد في البنوك.</w:t>
      </w:r>
    </w:p>
    <w:p w14:paraId="0D482591"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الذمم المدينة.</w:t>
      </w:r>
    </w:p>
    <w:p w14:paraId="23D5F136"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الذمم الدائنة.</w:t>
      </w:r>
    </w:p>
    <w:p w14:paraId="61936DAC"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المبالغ المدفوعة مقدمًا.</w:t>
      </w:r>
    </w:p>
    <w:p w14:paraId="6FE33D24"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السلف.</w:t>
      </w:r>
    </w:p>
    <w:p w14:paraId="7BAD903A"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تقارير اللجان.</w:t>
      </w:r>
    </w:p>
    <w:p w14:paraId="4C82EE8A"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الأصول الثابتة.</w:t>
      </w:r>
    </w:p>
    <w:p w14:paraId="56060C8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إدارة الحسابات البنكية</w:t>
      </w:r>
    </w:p>
    <w:p w14:paraId="411AB20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(16) سياسات التعامل مع الحسابات البنكية</w:t>
      </w:r>
    </w:p>
    <w:p w14:paraId="382D092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يجب اتباع السياسات التالية عند القيام بأي عمل يتعلق بالحسابات البنكية:</w:t>
      </w:r>
    </w:p>
    <w:p w14:paraId="32C580CD"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فتح جميع الحسابات البنكية باسم الصندوق.</w:t>
      </w:r>
    </w:p>
    <w:p w14:paraId="5DEB0B91"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توقيع كافة الشيكات الصادرة من قبل المسؤول والمفوض بالتوقيع حسب لائحة الصلاحيات المعتمدة في الصندوق.</w:t>
      </w:r>
    </w:p>
    <w:p w14:paraId="1D27A460"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إجراء عمليات تسوية كافة الحسابات البنكية على أساس شهري.</w:t>
      </w:r>
    </w:p>
    <w:p w14:paraId="14D9C388"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حل كافة المسائل العالقة والتي تظهر في عمليات التسوية والتحري عنها مباشرةً حين ظهورها.</w:t>
      </w:r>
    </w:p>
    <w:p w14:paraId="012EE4EB"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قفل أي حساب وفقًا للإجراءات المتبعة.</w:t>
      </w:r>
    </w:p>
    <w:p w14:paraId="7F10BACC"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تكون صلاحية التحويل بين حسابات الصندوق لصاحب الصلاحية وحسب الحاجة.</w:t>
      </w:r>
    </w:p>
    <w:p w14:paraId="3FDB237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دورة الإقفال الشهرية</w:t>
      </w:r>
    </w:p>
    <w:p w14:paraId="54ED4FB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(17) إقفال المستحقات الشهرية</w:t>
      </w:r>
    </w:p>
    <w:p w14:paraId="2F173EF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يجب إقفال المستحقات شهريًا ومنها الآتي:</w:t>
      </w:r>
    </w:p>
    <w:p w14:paraId="29D7B219"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المستحقات المتعلقة بالموظفين.</w:t>
      </w:r>
    </w:p>
    <w:p w14:paraId="52D8222D"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جميع المصروفات.</w:t>
      </w:r>
    </w:p>
    <w:p w14:paraId="48A401EC"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جميع الإيرادات.</w:t>
      </w:r>
    </w:p>
    <w:p w14:paraId="56EA91F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وعند إقفال الدورة الشهرية للمستحقات يجب اتباع الآتي:</w:t>
      </w:r>
    </w:p>
    <w:p w14:paraId="7FEE0199"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تسجيل كافة المستحقات طبقًا للأنظمة والقوانين المعمول بها.</w:t>
      </w:r>
    </w:p>
    <w:p w14:paraId="68C0411E"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المستحقات من قبل صاحب الصلاحية.</w:t>
      </w:r>
    </w:p>
    <w:p w14:paraId="328F038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(18) تقييد وإقفال الدفعات المقدمة والمستحقة</w:t>
      </w:r>
    </w:p>
    <w:p w14:paraId="33870D8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عند الإقفال الشهري للمصاريف المدفوعة مقدمًا والمستحقة يجب على الصندوق مراعاة تقييد جميع الدفعات.</w:t>
      </w:r>
    </w:p>
    <w:p w14:paraId="5F1F232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المصروفات الرأسمالية</w:t>
      </w:r>
    </w:p>
    <w:p w14:paraId="4894559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(19) سياسة الصرف من المصروفات الرأسمالية</w:t>
      </w:r>
    </w:p>
    <w:p w14:paraId="7DA4C4E4"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عملية الصرف من المصروفات الرأسمالية يكون طبقًا للمبلغ المعتمد في الموازنة وطبقًا لإجراءات الموافقة والتعميد المتبعة في الصندوق.</w:t>
      </w:r>
    </w:p>
    <w:p w14:paraId="352257C3"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أي أصل تتجاوز قيمته ألف ريال سعودي يجب أن يُدرج في قائمة الأصول الرأسمالية.</w:t>
      </w:r>
    </w:p>
    <w:p w14:paraId="018DB447"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تُسجَّل المصروفات الرأسمالية وفق المعايير المحاسبية المعتمدة لإدراجها في حسابات الأصول الثابتة.</w:t>
      </w:r>
    </w:p>
    <w:p w14:paraId="3449B28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إثبات الأعباء المالية والإدلاء بالمعلومات</w:t>
      </w:r>
    </w:p>
    <w:p w14:paraId="0A51C6E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(20) إثبات الأعباء المالية</w:t>
      </w:r>
    </w:p>
    <w:p w14:paraId="7E472D5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إن أي أمر يترتب عليه عبء مالي ينبغي أن يُرفع فيه أمر كتابي، ولا تُعتمد الأوامر الشفهية.</w:t>
      </w:r>
    </w:p>
    <w:p w14:paraId="0BA3606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(21) الإدلاء بالمعلومات المالية</w:t>
      </w:r>
    </w:p>
    <w:p w14:paraId="15B50530"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يجوز الإدلاء بأي معلومات أو بيانات للغير فيما يخص النواحي المالية للصندوق دون تعميد خطي من المدير التنفيذي.</w:t>
      </w:r>
    </w:p>
    <w:p w14:paraId="5C94D2C2"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يُمنع منعًا باتًا إخراج المستندات المالية والتقارير والقوائم المالية أو صور عنها إلى خارج الصندوق إلا بموافقة خطية من المدير التنفيذي.</w:t>
      </w:r>
    </w:p>
    <w:p w14:paraId="546651E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إدارة الأصول</w:t>
      </w:r>
    </w:p>
    <w:p w14:paraId="7460638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(22) أنواع الأصول</w:t>
      </w:r>
    </w:p>
    <w:p w14:paraId="30D6373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الأصول تشمل ما يلي:</w:t>
      </w:r>
    </w:p>
    <w:p w14:paraId="2511DDE1"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الأصول الثابتة: وهي عبارة عن الأراضي والمباني والمرافق والمعدات وأجهزة الحاسب والطابعات ووسائل النقل والأثاث اللازمة لحاجة العمل.</w:t>
      </w:r>
    </w:p>
    <w:p w14:paraId="3979B57D"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الأصول المتداولة: وهي عبارة عن النقدية اللازمة لحاجة العمل، بالإضافة إلى الأصول المتداولة الأخرى.</w:t>
      </w:r>
    </w:p>
    <w:p w14:paraId="0D34517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(23) سياسات إدارة الأصول</w:t>
      </w:r>
    </w:p>
    <w:p w14:paraId="2B25AF33"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حيازة الأصول الثابتة طبقًا للإجراءات المعتمدة، ويتم تقييدها في السجلات بتكلفتها التاريخية في تاريخ الحيازة.</w:t>
      </w:r>
    </w:p>
    <w:p w14:paraId="5FBF0C1F"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يجب الإفصاح عن الأصول الثابتة المقيدة في القوائم المالية الخاصة بالفترات التي تعقب تاريخ حيازتها وبعد تسوية الإهلاك المتراكم لها.</w:t>
      </w:r>
    </w:p>
    <w:p w14:paraId="3F40DDE0"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يجب توزيع تكلفة الأصول القابلة للإهلاك على العمر الإنتاجي للأصل باستخدام طريقة الإهلاك المباشر بالنسب السنوية المعتمدة.</w:t>
      </w:r>
    </w:p>
    <w:p w14:paraId="368CA155"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حساب الإهلاك على أساس شهري، وكما يتم تحميل الإهلاك على أساس كامل لكل شهر اعتبارًا من تاريخ حيازة الأصل، بينما في حالة التخلص من الأصل لا يُحمَّل الإهلاك على الشهر الذي تم التخلص فيه من الأصل، ويتم متابعتها من قبل الإدارة المالية.</w:t>
      </w:r>
    </w:p>
    <w:p w14:paraId="4C16143E"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إعداد بطاقات مرقمة لكل أصل من الأصول الثابتة لتوثيق الأصل وتاريخ حيازته.</w:t>
      </w:r>
    </w:p>
    <w:p w14:paraId="06136A9D"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يجب إجراء جرد دوري للأصول الثابتة، ويجب مقارنة نتائج الجرد مع قوائم الأصول الثابتة حسب السجلات المقيدة من قبل، وفي حالة عدم المطابقة يجب إجراء التسويات اللازمة واتخاذ قرار بشأنها بعد التحقق من صاحب الصلاحية.</w:t>
      </w:r>
    </w:p>
    <w:p w14:paraId="31EDC594"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التخلص من الأصول الثابتة يتم وفقًا للإجراءات المعتمدة، ويجب تحميل المكاسب (أو الخسائر) من الأصول الثابتة المُتخلَّص منها على حساب الأرباح والخسائر.</w:t>
      </w:r>
    </w:p>
    <w:p w14:paraId="09C18F9E"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يجري احتساب استهلاك الأصول بموجب طريقة القسط الثابت على الفترة المقدرة للعمر الإنتاجي لها.</w:t>
      </w:r>
    </w:p>
    <w:p w14:paraId="61AF537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(24) متابعة سجل الأصول</w:t>
      </w:r>
    </w:p>
    <w:p w14:paraId="1E232AB2"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إدراج جميع الأصول التي تم إضافتها في سجل الأصول الثابتة ليتم حساب الإهلاك في نهاية الشهر للأصول بالكامل.</w:t>
      </w:r>
    </w:p>
    <w:p w14:paraId="4629B64C"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استبعاد جميع الأصول التي تم التخلص منها خلال الشهر من سجل الأصول الثابتة.</w:t>
      </w:r>
    </w:p>
    <w:p w14:paraId="49434DF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الموازنات التقديرية</w:t>
      </w:r>
    </w:p>
    <w:p w14:paraId="3612B3B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(25) أسس إعداد الموازنة التقديرية</w:t>
      </w:r>
    </w:p>
    <w:p w14:paraId="0685CCDA"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يُعد الصندوق خطة تشغيلية مشتقة من الخطة الإستراتيجية طويلة الأجل، وتشمل على الخطط الفرعية، ومن هذه الخطط الفرعية خطة القوى البشرية، وتُدرج فيها الوظائف التي من المتوقع استحداثها. وعلى أن تشمل هذه الخطة عدد الموظفين الجدد ومستواهم المهني وتكلفتهم المالية والتاريخ المتوقع لالتحاقهم بالعمل.</w:t>
      </w:r>
    </w:p>
    <w:p w14:paraId="56107859"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تُعد الخطة التشغيلية أساسًا لإعداد الموازنة التقديرية.</w:t>
      </w:r>
    </w:p>
    <w:p w14:paraId="50E5CE2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(26) أهداف الموازنة التقديرية</w:t>
      </w:r>
    </w:p>
    <w:p w14:paraId="1B23075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الموازنة التقديرية هي عبارة عن الخطة المالية السنوية للصندوق لتحقيق الأهداف المدرجة في الخطة السنوية، وهي التي تتضمن جميع الاستخدامات والموارد لمختلف أنشطة الصندوق، ويسعى من وراء إعدادها تحقيق ما يلي:</w:t>
      </w:r>
    </w:p>
    <w:p w14:paraId="29DC4AAD"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التعبير المالي عن الخطة التشغيلية المعدة على أساس علمي، مستندةً إلى احتياجات واقعية وأهداف قابلة للتحقيق.</w:t>
      </w:r>
    </w:p>
    <w:p w14:paraId="032994AF"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رصد الموارد المالية اللازمة لتمويل الأنشطة التي يسعى الصندوق لتحقيقها.</w:t>
      </w:r>
    </w:p>
    <w:p w14:paraId="6D39BC23"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مساعدة إدارة الصندوق على تنفيذ سياساته والتعريف بتلك السياسات والعمل بها.</w:t>
      </w:r>
    </w:p>
    <w:p w14:paraId="5AF37E41"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قياس الأداء الكلي للصندوق.</w:t>
      </w:r>
    </w:p>
    <w:p w14:paraId="4A3F77FA"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الرقابة والضبط الداخلي، وذلك عن طريق المقارنات المستمرة بين الأرقام المقدرة والأرقام الفعلية.</w:t>
      </w:r>
    </w:p>
    <w:p w14:paraId="7FEA8F07"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مساعدة إدارة الصندوق على تقدير احتياجاته من رأس المال العامل وحجم السيولة النقدية اللازمة لسداد الالتزامات الدورية أولًا بأول.</w:t>
      </w:r>
    </w:p>
    <w:p w14:paraId="647DFE3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(27) أقسام الموازنة التقديرية</w:t>
      </w:r>
    </w:p>
    <w:p w14:paraId="508F96B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يُعد الصندوق موازنة تقديرية لإيراداته ونفقاته كانعكاس مالي للخطة التشغيلية، على أن تشمل الموازنة التقديرية الآتي:</w:t>
      </w:r>
    </w:p>
    <w:p w14:paraId="2F95F6E6"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الموازنة التقديرية للنفقات التشغيلية وتضم تكلفة القوى البشرية القائمة على رأس العمل وتكلفة القوى العاملة المضافة خلال العام القادم، ونفقات المواد والخدمات المستهلكة.</w:t>
      </w:r>
    </w:p>
    <w:p w14:paraId="272D982B"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الموازنة التقديرية للمصاريف الرأسمالية وتشمل الأصول الثابتة مثل تكلفة المعدات والتجهيزات وغيرها.</w:t>
      </w:r>
    </w:p>
    <w:p w14:paraId="1B336F75"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الموازنة التقديرية للإنفاق على أعمال وخدمات الصندوق.</w:t>
      </w:r>
    </w:p>
    <w:p w14:paraId="1F479A12"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الموازنة التقديرية لإيرادات الصندوق ومصادر التمويل.</w:t>
      </w:r>
    </w:p>
    <w:p w14:paraId="18EE71B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مادة (28) المدة الزمنية للموازنة التقديرية</w:t>
      </w:r>
    </w:p>
    <w:p w14:paraId="0E8D56C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المالية مشروع الموازنة التقديرية بالتعاون مع إدارات الصندوق المختلفة قبل نهاية السنة بثلاثة أشهر على الأكثر.</w:t>
      </w:r>
    </w:p>
    <w:p w14:paraId="5F467C8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(29) مسؤولية إعداد الموازنة التقديرية</w:t>
      </w:r>
    </w:p>
    <w:p w14:paraId="2E23893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تختص الشؤون المالية بوضع التخطيط المالي (الموازنة التقديرية) للصندوق، ومن ثم تُقدَّم لصاحب الصلاحية للاعتماد.</w:t>
      </w:r>
    </w:p>
    <w:p w14:paraId="2454558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(30) الالتزام بالموازنة التقديرية</w:t>
      </w:r>
    </w:p>
    <w:p w14:paraId="5262059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تلتزم الإدارات بمشروع الموازنة التقديرية، ويقوم كل منها بتنفيذ ما جاء بها، وكلٌّ منهم في حدود صلاحياته واختصاصاته.</w:t>
      </w:r>
    </w:p>
    <w:p w14:paraId="157E559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(31) التعديل في بنود الموازنة التقديرية</w:t>
      </w:r>
    </w:p>
    <w:p w14:paraId="2AA7525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من الممكن تجاوز - تعديل/ زيادة/ إلغاء - المبالغ المالية المقررة للبنود في الموازنة التقديرية، وذلك عن طريق ما هو مبين في لائحة الصلاحيات المعتمدة في الصندوق.</w:t>
      </w:r>
    </w:p>
    <w:p w14:paraId="700F639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(32) التأخر في اعتماد الموازنة التقديرية</w:t>
      </w:r>
    </w:p>
    <w:p w14:paraId="196CA5B3"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تأخر صدور اعتماد الموازنة التقديرية عن الأول من بداية العام المالي، فيستمر العمل في حدود اعتمادات الموازنة السابقة لكل شهر مماثل من العام المنصرم لحين اعتماد الموازنة الجديدة.</w:t>
      </w:r>
    </w:p>
    <w:p w14:paraId="781D71A8"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يجوز الصرف من الاعتمادات الجديدة في الموازنة التقديرية الجديدة إلا بعد إقرارها.</w:t>
      </w:r>
    </w:p>
    <w:p w14:paraId="1C9E2BA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أسس إعداد الحسابات الختامية</w:t>
      </w:r>
    </w:p>
    <w:p w14:paraId="7AFC5AA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(33) إعداد الحسابات الختامية</w:t>
      </w:r>
    </w:p>
    <w:p w14:paraId="3E2FE94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الحسابات الختامية والميزانية العمومية لعرضها على مجلس الأمناء لدراستها واعتمادها النهائي في موعد أقصاه ثلاثة أشهر من انتهاء السنة المالية.</w:t>
      </w:r>
    </w:p>
    <w:p w14:paraId="4F16276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(34) ضوابط إعداد الميزانية</w:t>
      </w:r>
    </w:p>
    <w:p w14:paraId="1FF1B07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يُراعى عند إعداد الميزانية والحسابات الختامية اتباع المعايير المحاسبية المتعارف عليها والمعمول بها.</w:t>
      </w:r>
    </w:p>
    <w:p w14:paraId="160BCB9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النظام المحاسبي الإلكتروني</w:t>
      </w:r>
    </w:p>
    <w:p w14:paraId="5D8DBA6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(35) إمساك السجلات المحاسبية الإلكترونية</w:t>
      </w:r>
    </w:p>
    <w:p w14:paraId="21346F1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إمساك السجلات اللازمة لقيد حسابات الصندوق المختلفة بما يكفل تسهيل إعداد الحسابات الختامية في نهاية السنة المالية.</w:t>
      </w:r>
    </w:p>
    <w:p w14:paraId="73957F6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(36) أنواع السجلات المحاسبية</w:t>
      </w:r>
    </w:p>
    <w:p w14:paraId="49452394"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السجلات المحاسبية وفقًا لما تقتضيه طبيعة أعمال الصندوق، بحيث تُمكِّن من تحقيق الأغراض المذكورة في البنود السابقة، وتُمكِّن من سهولة استخراج البيانات ووضوحها.</w:t>
      </w:r>
    </w:p>
    <w:p w14:paraId="7C72AF2B"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أي سجلات إحصائية أو بيانية لتوفير ما تطلبه وما تقتضيه عمليات المتابعة المالية والمحاسبية.</w:t>
      </w:r>
    </w:p>
    <w:p w14:paraId="56B6EC9F"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الفصل الثالث: المدفوعات والمقبوضات</w:t>
      </w:r>
    </w:p>
    <w:p w14:paraId="42A06E1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المدفوعات</w:t>
      </w:r>
    </w:p>
    <w:p w14:paraId="1FAC82D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(37) سياسات الصرف</w:t>
      </w:r>
    </w:p>
    <w:p w14:paraId="3824FA3A"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صرف المبالغ بمقتضى أمر الصرف، ويتم الصرف بشيكات أو حوالات بنكية مرفقًا بسند الصرف.</w:t>
      </w:r>
    </w:p>
    <w:p w14:paraId="7DA067C5"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من الممكن عند الضرورة صرف مبلغ معين لموظف أو أكثر، يُصرف منه على بعض أعمال الصندوق بصفة عهدة مالية مؤقتة على أن تُسوّى عند انتهاء الغرض منها.</w:t>
      </w:r>
    </w:p>
    <w:p w14:paraId="0DB9F591"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يتم الصرف إلا بعد التحقق من تنفيذ الطرف الآخر لالتزاماته طبقًا للتعاقد المحرر بينه وبين الصندوق، ومع ذلك فإن من الممكن صرف مبالغ مقدمة تحت الحساب إذا دعت الحاجة لذلك، ولكن بشرط الحصول على الضمان الكافي، مع أخذ موافقة المدير التنفيذي على ذلك.</w:t>
      </w:r>
    </w:p>
    <w:p w14:paraId="320E7F0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(38) سياسات إصدار الشيكات أو الحوالات</w:t>
      </w:r>
    </w:p>
    <w:p w14:paraId="712C616C"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يُصرف أي شيك أو حوالة إلا بموجب نموذج طلب إصدار شيك أو حوالة، وبتوقيع ومصادقة صاحب الصلاحية، وللمستفيد الأول فقط.</w:t>
      </w:r>
    </w:p>
    <w:p w14:paraId="4EA24E51"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يُحرَّر الشيك أو تُحوَّل الحوالة إلا بعد المراجعة وأخذ التوصية المحاسبية وموافقة صاحب الصلاحية على ذلك.</w:t>
      </w:r>
    </w:p>
    <w:p w14:paraId="43A34A6C"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تحتفظ الشؤون المالية بدفاتر الشيكات الواردة من البنك، ويتسلم الموظف المعني الدفاتر اللازمة أولًا بأول، وإرجاع ما لم يُستخدم منها في نهاية كل يوم لحفظه في الخزينة.</w:t>
      </w:r>
    </w:p>
    <w:p w14:paraId="6A6AF8A2"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يُحظر بتاتًا توقيع أي شيك على بياض.</w:t>
      </w:r>
    </w:p>
    <w:p w14:paraId="24D1522B"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تُحفظ الشيكات الملغاة مع أصولها بدفتر الشيكات، ومن يخالف هذا الأمر يتحمل مسؤولية ذلك.</w:t>
      </w:r>
    </w:p>
    <w:p w14:paraId="0D4A0401"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يُحظر استخراج أي شيك لحامله بدون تدوين اسم المستفيد الأول.</w:t>
      </w:r>
    </w:p>
    <w:p w14:paraId="6B885FAB"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يقوم الموظف المعني بمراجعة الشيكات الصادرة يوميًا بتتبع تسلسل أرقامها، ومطابقتها مع أمر الصرف الخاص بكل شيك، والاحتفاظ بكعوب الشيكات، ويتم التقييد في حساب البنك مع مراعاة أن يتم القيد يوميًا.</w:t>
      </w:r>
    </w:p>
    <w:p w14:paraId="69CB23FF"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تتم مطابقة كشوف البنك بكشف البنك الدفتري شهريًا، وتتم التسوية له بمعرفة مدير إدارة الشؤون الإدارية والمالية وأخذ موافقته عليه.</w:t>
      </w:r>
    </w:p>
    <w:p w14:paraId="3130D7A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(39) سياسة التعامل مع المستندات</w:t>
      </w:r>
    </w:p>
    <w:p w14:paraId="39CE490F"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يجب أن تُحفظ أصول المستندات المؤيدة للصرف مع الشيكات عند التوقيع، ويجب أن يُؤشَّر على المستندات بما يفيد إصدار الشيكات.</w:t>
      </w:r>
    </w:p>
    <w:p w14:paraId="39D5960C"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فُقدت المستندات المؤيدة لاستحقاق مبلغ معين، جاز أن يتم الصرف بموافقة المدير التنفيذي بعد التأكد من عدم سابقة الصرف، ويُشترط أخذ التعهد اللازم على طالب الصرف بتحميله النتائج التي تترتب على تكرار الصرف، وأن يُقدّم طالب الصرف بدل فاقد عن المستند إن أمكن.</w:t>
      </w:r>
    </w:p>
    <w:p w14:paraId="51EA1CC8"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 فقدان شيك، يُوجّه خطاب للبنك بإلغاء هذا الشيك وعدم صرفه.</w:t>
      </w:r>
    </w:p>
    <w:p w14:paraId="1D5EF701"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يُراعى التوقيع على صورة الشيك وعلى مستند الصرف من قبل المخوَّل بالاستلام مع تحريره لسند قبض يفيد استلامه الشيك.</w:t>
      </w:r>
    </w:p>
    <w:p w14:paraId="5F36ACBD"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تُوثَّق البيانات على كعب الشيك ويُحتفظ بها.</w:t>
      </w:r>
    </w:p>
    <w:p w14:paraId="4F8DC48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مادة (40) اعتماد أمر الصرف</w:t>
      </w:r>
    </w:p>
    <w:p w14:paraId="0CB917C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يتم اعتماد أمر الصرف من الصندوق على الوجه الآتي:</w:t>
      </w:r>
    </w:p>
    <w:p w14:paraId="33D30C7C" w14:textId="77777777" w:rsidR="00000000" w:rsidRDefault="00000000">
      <w:pPr>
        <w:numPr>
          <w:ilvl w:val="0"/>
          <w:numId w:val="2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يستوفي جميع المستندات التي تجعله قابلًا للصرف، ومراجعته ومن ثم اعتماده من قبل صاحب الصلاحية.</w:t>
      </w:r>
    </w:p>
    <w:p w14:paraId="4292B1EF" w14:textId="77777777" w:rsidR="00000000" w:rsidRDefault="00000000">
      <w:pPr>
        <w:numPr>
          <w:ilvl w:val="0"/>
          <w:numId w:val="2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كان الصرف بموجب فواتير الموردين يجب أن تكون الفواتير أصلية وباسم المورد ومختومة منه، وأن تُرفق بإذن الصرف وأمر الاعتماد وموقّع عليه من المسؤول باستلام المواد وأنها مطابقة للمواصفات المطلوبة.</w:t>
      </w:r>
    </w:p>
    <w:p w14:paraId="10C10335" w14:textId="77777777" w:rsidR="00000000" w:rsidRDefault="00000000">
      <w:pPr>
        <w:numPr>
          <w:ilvl w:val="0"/>
          <w:numId w:val="2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يجب أن يُؤشَّر على الفاتورة من قبل المالية بأنه لم يسبق صرف قيمة هذه الفاتورة من قبل.</w:t>
      </w:r>
    </w:p>
    <w:p w14:paraId="57A4B283" w14:textId="77777777" w:rsidR="00000000" w:rsidRDefault="00000000">
      <w:pPr>
        <w:numPr>
          <w:ilvl w:val="0"/>
          <w:numId w:val="2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تكون المستندات باسم الصندوق وليست باسم أحد موظفيها.</w:t>
      </w:r>
    </w:p>
    <w:p w14:paraId="6461368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(41) سياسة التعامل مع المصروفات</w:t>
      </w:r>
    </w:p>
    <w:p w14:paraId="0075212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يتم التعامل مع جميع المصاريف حسب السياسة الآتية:</w:t>
      </w:r>
    </w:p>
    <w:p w14:paraId="28857550"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الإبلاغ عن جميع المشتريات التي تتم مباشرةً عند الشراء.</w:t>
      </w:r>
    </w:p>
    <w:p w14:paraId="22F254FC"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تسجيل جميع المشتريات عند استلامها بإيصال استلام المواد.</w:t>
      </w:r>
    </w:p>
    <w:p w14:paraId="45B2FB23"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التعميد والموافقة على جميع المصاريف حسب الإجراءات المعتمدة، ولا يجوز تجزئة العملية الواحدة بهدف اعتمادها من صاحب صلاحية أقل.</w:t>
      </w:r>
    </w:p>
    <w:p w14:paraId="7E5936A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العهد العينية والمالية الدائمة والمؤقتة</w:t>
      </w:r>
    </w:p>
    <w:p w14:paraId="3F92B16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(42) سياسات استخدام العهد المالية</w:t>
      </w:r>
    </w:p>
    <w:p w14:paraId="79ABDB3C" w14:textId="77777777" w:rsidR="00000000" w:rsidRDefault="00000000">
      <w:pPr>
        <w:numPr>
          <w:ilvl w:val="0"/>
          <w:numId w:val="3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يعتمد المدير التنفيذي نظامًا للعهد الدائمة والمؤقتة، ويشمل النظام تحديد قيمة العهد وحالات الصرف منها والحد الأقصى لكل عهدة، وتحديد مستلم العهدة ومن له حق الاعتماد، ويراعى عند تحديد قيمة العهد والحد الأقصى لكل منها طبيعة الأعمال التي يترتب عليها عملية الصرف من العهدة.</w:t>
      </w:r>
    </w:p>
    <w:p w14:paraId="51067672" w14:textId="77777777" w:rsidR="00000000" w:rsidRDefault="00000000">
      <w:pPr>
        <w:numPr>
          <w:ilvl w:val="0"/>
          <w:numId w:val="3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على المكلَّف بالصرف من العهدة المالية تقديم المستندات أو الفواتير الدالة على الصرف مع استمارة الاستعاضة بعد تفريغ بنود الصرف في الاستمارة المذكورة، لتسهيل مراجعة المستندات التي يجب أن تكون مستوفاة لشروط الصرف على استمارة الاستعاضة.</w:t>
      </w:r>
    </w:p>
    <w:p w14:paraId="7FFAD1BF" w14:textId="77777777" w:rsidR="00000000" w:rsidRDefault="00000000">
      <w:pPr>
        <w:numPr>
          <w:ilvl w:val="0"/>
          <w:numId w:val="3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تُصرف العهد المالية ويتم متابعتها ومعالجتها الدفترية بموجب نموذج تسجيل عهدة تُحال نسخة منه إلى الحسابات لإثبات قيودها المحاسبية، وتُسجَّل كعهدة شخصية تُستخدم من قبل موظف معين وتُسجَّل عليه.</w:t>
      </w:r>
    </w:p>
    <w:p w14:paraId="544D8086" w14:textId="77777777" w:rsidR="00000000" w:rsidRDefault="00000000">
      <w:pPr>
        <w:numPr>
          <w:ilvl w:val="0"/>
          <w:numId w:val="3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يجوز صرف عهدة مالية من عهدة مالية أخرى أو عهدة لموظف من موظف آخر.</w:t>
      </w:r>
    </w:p>
    <w:p w14:paraId="3C48838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(43) تصفية العهدة المستديمة</w:t>
      </w:r>
    </w:p>
    <w:p w14:paraId="44E991C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تُصفّى العهدة المستديمة في الحالات التالية:</w:t>
      </w:r>
    </w:p>
    <w:p w14:paraId="4F8A55AF" w14:textId="77777777" w:rsidR="00000000" w:rsidRDefault="00000000">
      <w:pPr>
        <w:numPr>
          <w:ilvl w:val="0"/>
          <w:numId w:val="3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نهاية السنة المالية.</w:t>
      </w:r>
    </w:p>
    <w:p w14:paraId="090604FA" w14:textId="77777777" w:rsidR="00000000" w:rsidRDefault="00000000">
      <w:pPr>
        <w:numPr>
          <w:ilvl w:val="0"/>
          <w:numId w:val="3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عندما يطلب المدير التنفيذي تصفيتها.</w:t>
      </w:r>
    </w:p>
    <w:p w14:paraId="46F99B9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(44) سياسات استخدام العهد العينية</w:t>
      </w:r>
    </w:p>
    <w:p w14:paraId="70D31FEF" w14:textId="77777777" w:rsidR="00000000" w:rsidRDefault="00000000">
      <w:pPr>
        <w:numPr>
          <w:ilvl w:val="0"/>
          <w:numId w:val="3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مواد العهد العينية يتم الشراء لها بحسب الحاجة، ومن الممكن الاستثناء في حدود ضيقة وبموافقة المدير التنفيذي بشراء بعض مواد العهد المتكررة الاستعمال وسريعة الاستهلاك، وإذا كان هذا الشراء يحقق وفرًا ماليًا للصندوق.</w:t>
      </w:r>
    </w:p>
    <w:p w14:paraId="6E7D0E7B" w14:textId="77777777" w:rsidR="00000000" w:rsidRDefault="00000000">
      <w:pPr>
        <w:numPr>
          <w:ilvl w:val="0"/>
          <w:numId w:val="3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إن الأجهزة والمعدات والأدوات والأثاث والمفروشات وتجهيزات الحاسب الآلي ووسائل الاتصال ووسائل النقل التي تُصرف أو تُشترى وتوضع تحت تصرف موظف أو مجموعة من الموظفين لغرض تنفيذ مهام وظائفهم أو لاستخدامهم الشخصي تخضع لقيدها وتسجيلها في (سجل العهد العينية) وإثباتها كعهدة مسلَّمة لموظف معين، ويكون مسؤولًا عنها وعن سلامتها والمحافظة عليها وحسن استعمالها حسب الأصول وعلى الوجه الصحيح وإعادتها إلى الصندوق عند الطلب.</w:t>
      </w:r>
    </w:p>
    <w:p w14:paraId="4EA16BDC" w14:textId="77777777" w:rsidR="00000000" w:rsidRDefault="00000000">
      <w:pPr>
        <w:numPr>
          <w:ilvl w:val="0"/>
          <w:numId w:val="3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تقوم الشؤون المالية بإعداد نظام خاص للعهد، حتى يُسهِّل حصر وتسجيل حركة العهد ومتابعتها وإرجاعها وتصفيتها.</w:t>
      </w:r>
    </w:p>
    <w:p w14:paraId="21B3B569" w14:textId="77777777" w:rsidR="00000000" w:rsidRDefault="00000000">
      <w:pPr>
        <w:numPr>
          <w:ilvl w:val="0"/>
          <w:numId w:val="3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تُسدَّد تعويضات نهاية الخدمة ولا تُمنح براءة الذمة لأي موظف تنتهي خدماته من الصندوق ما لم يقم بتسليم كافة العهد المسجلة عليه أو سداد القيم المترتبة عليه من العهد التي لم يسلّمها.</w:t>
      </w:r>
    </w:p>
    <w:p w14:paraId="0643327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(45) صرف العهدة المؤقتة</w:t>
      </w:r>
    </w:p>
    <w:p w14:paraId="5AF4F23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يعتمد المدير التنفيذي صرف العهد المؤقتة لموظف معين لمواجهة الاحتياجات العاجلة والتي يُشترط فيها الدفع النقدي والفوري ولحاجة ملحة لذلك، ضمن النظام المتبع والمعمول به، ويُبيَّن في طلب الصرف كيفية تسوية العهدة ومدتها، وعلى أن تُسدَّد العهد وتُسوّى حساباتها بمجرد انتهاء الغرض الذي صُرفت من أجله، ويُحظر صرف العهدة المؤقتة في غير الأغراض المخصصة لها ولا يجوز استعاضتها.</w:t>
      </w:r>
    </w:p>
    <w:p w14:paraId="01FC73F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الرواتب والأجور</w:t>
      </w:r>
    </w:p>
    <w:p w14:paraId="4CFA3BC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(46) صرف الرواتب</w:t>
      </w:r>
    </w:p>
    <w:p w14:paraId="36D401B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تُصرف مرتبات وأجور العاملين في يوم 27 من كل شهر ميلادي، وعلى أن لا تتأخر عن نهاية الشهر ذاته.</w:t>
      </w:r>
    </w:p>
    <w:p w14:paraId="7E535BD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(47) الحالات التي يجوز للصندوق صرف الرواتب والأجور قبل التاريخ المحدد</w:t>
      </w:r>
    </w:p>
    <w:p w14:paraId="5EF833E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المواسم والأعياد الرسمية، وما على شاكلتها، بشرط موافقة المدير التنفيذي على ذلك.</w:t>
      </w:r>
    </w:p>
    <w:p w14:paraId="72ED1B0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إدارة المصروفات النثرية</w:t>
      </w:r>
    </w:p>
    <w:p w14:paraId="0D32FF7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(48) ضبط المصروفات النثرية</w:t>
      </w:r>
    </w:p>
    <w:p w14:paraId="7880225E" w14:textId="77777777" w:rsidR="00000000" w:rsidRDefault="00000000">
      <w:pPr>
        <w:numPr>
          <w:ilvl w:val="0"/>
          <w:numId w:val="3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المحافظة على مبالغ عهدة المصروفات النثرية في مختلف الإدارات وفقًا لحدود الصرف المعتمدة.</w:t>
      </w:r>
    </w:p>
    <w:p w14:paraId="66B366AF" w14:textId="77777777" w:rsidR="00000000" w:rsidRDefault="00000000">
      <w:pPr>
        <w:numPr>
          <w:ilvl w:val="0"/>
          <w:numId w:val="3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تُغذَّى عهدة المصروفات النثرية بعد صرفها بحدود مُقرَّرة ومتفق عليها، وبناءً على ذلك يتم تدوين وتقييد المصروفات التي تمت من عهدة المصروفات النثرية.</w:t>
      </w:r>
    </w:p>
    <w:p w14:paraId="0B772F3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(49) استعاضة عهدة المصروفات النثرية</w:t>
      </w:r>
    </w:p>
    <w:p w14:paraId="765A996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عند تجاوز المبلغ المستخدم من عهدة المصروفات النثرية (75%) من إجمالي المبلغ المعتمد، تُعوَّض العهدة حسب الإجراء المتبع.</w:t>
      </w:r>
    </w:p>
    <w:p w14:paraId="0CBB26F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المقبوضات</w:t>
      </w:r>
    </w:p>
    <w:p w14:paraId="02D3580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(50) المبالغ النقدية في الخزينة</w:t>
      </w:r>
    </w:p>
    <w:p w14:paraId="00E5E80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يُحدِّد مجلس الأمناء الحد الأقصى للمبالغ النقدية التي يُحتفظ بها في خزينة الصندوق.</w:t>
      </w:r>
    </w:p>
    <w:p w14:paraId="0F023CD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(51) مسؤولية حفظ الخزينة</w:t>
      </w:r>
    </w:p>
    <w:p w14:paraId="63E3EF3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يُعد المحاسب مسؤولًا عما بعهدته في الخزينة من نقد أو شيكات أو أوراق ذات قيمة.</w:t>
      </w:r>
    </w:p>
    <w:p w14:paraId="3A5D012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(52) ضوابط تحرير سندات القبض</w:t>
      </w:r>
    </w:p>
    <w:p w14:paraId="1D012D7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يُحرَّر سند قبض (يأخذ رقمًا مسلسلًا متفقًا عليه) للمبالغ التي يتم استلامها، ويتضمن السند المعلومات التالية:</w:t>
      </w:r>
    </w:p>
    <w:p w14:paraId="513A56AB"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اسم الدافع.</w:t>
      </w:r>
    </w:p>
    <w:p w14:paraId="461BC48C"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قيمة المبلغ المستلم بالأرقام والحروف والعملة.</w:t>
      </w:r>
    </w:p>
    <w:p w14:paraId="32501450"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تاريخ الاستلام.</w:t>
      </w:r>
    </w:p>
    <w:p w14:paraId="452818A7"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بيان سبب الدفع.</w:t>
      </w:r>
    </w:p>
    <w:p w14:paraId="2E46A579"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طريقة الاستلام (نقدًا/ شيك/ تحويل بنكي - اسم البنك ورقم الحساب وتاريخ إصدار الشيك -).</w:t>
      </w:r>
    </w:p>
    <w:p w14:paraId="6746CE86"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توقيع السند من المحاسب ومديره المباشر.</w:t>
      </w:r>
    </w:p>
    <w:p w14:paraId="226DD40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(53) توريد النقد إلى البنك</w:t>
      </w:r>
    </w:p>
    <w:p w14:paraId="6A6BF93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يُعد المحاسب مسؤولًا عن توريد ما يزيد عن الرصيد النقدي المحدد إلى حساب الصندوق بالبنك في اليوم التالي على الأكثر، وحفظ إشعار الإيداع، وفي الحالات التي يتعذر فيها إيداع المبالغ الزائدة أو الشيكات بالبنوك لأي سبب كان، لا بد من إخطار المدير التنفيذي بذلك.</w:t>
      </w:r>
    </w:p>
    <w:p w14:paraId="4B44A9A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(54) متابعة حقوق الصندوق</w:t>
      </w:r>
    </w:p>
    <w:p w14:paraId="242DD42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إن على الشؤون المالية متابعة حقوق الصندوق في أوقات استحقاقها، وإعداد التقارير لمدير إدارة الشؤون الإدارية والمالية عن أي حقوق استحقت وتعذر تحصيلها لاتخاذ الإجراءات المناسبة بشأنها، وكما لا يجوز التنازل عن أي حق من حقوق الصندوق يتعذر تحصيله إلا بعد اتخاذ كافة الوسائل اللازمة لتحصيله، وكما يمكن بقرار من صاحب الصلاحية إعدام الديون المستحقة للصندوق والتي لم تُحصَّل بعد استنفاذ كافة الوسائل الممكنة للتحصيل.</w:t>
      </w:r>
    </w:p>
    <w:p w14:paraId="0D3167AA"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الفصل الرابع: السيولة والاحتياطات والضمانات</w:t>
      </w:r>
    </w:p>
    <w:p w14:paraId="3B62A9C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توفير السيولة</w:t>
      </w:r>
    </w:p>
    <w:p w14:paraId="5317A93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(55) مسؤولية توفير السيولة</w:t>
      </w:r>
    </w:p>
    <w:p w14:paraId="4DC32A66" w14:textId="77777777" w:rsidR="00000000" w:rsidRDefault="00000000">
      <w:pPr>
        <w:numPr>
          <w:ilvl w:val="0"/>
          <w:numId w:val="3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مجلس الأمناء هو المسؤول عن توفير السيولة اللازمة لمواجهة مدفوعات الصندوق الجارية والرأسمالية كما هو معتمد في الموازنة التقديرية، مع تجنب تعطيل السيولة الفائضة بدون الاستفادة منها.</w:t>
      </w:r>
    </w:p>
    <w:p w14:paraId="533E6438" w14:textId="77777777" w:rsidR="00000000" w:rsidRDefault="00000000">
      <w:pPr>
        <w:numPr>
          <w:ilvl w:val="0"/>
          <w:numId w:val="3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مجلس الأمناء هو من عليه البحث عن مصادر التمويل المختلفة وإجراء المقارنة اللازمة لاختيار المصدر الأفضل للتمويل.</w:t>
      </w:r>
    </w:p>
    <w:p w14:paraId="1B97980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الاحتياطات</w:t>
      </w:r>
    </w:p>
    <w:p w14:paraId="21B01CA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(56) الاحتياطات</w:t>
      </w:r>
    </w:p>
    <w:p w14:paraId="7C484A3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تُشكَّل الاحتياطيات سنويًا بقرار من مجلس الأمناء، ويتم الصرف من الاحتياطيات النقدية للصندوق وفقًا لذلك.</w:t>
      </w:r>
    </w:p>
    <w:p w14:paraId="7C553E5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الضمانات</w:t>
      </w:r>
    </w:p>
    <w:p w14:paraId="6D452EF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(57) أقسام الضمانات</w:t>
      </w:r>
    </w:p>
    <w:p w14:paraId="1228F10A" w14:textId="77777777" w:rsidR="00000000" w:rsidRDefault="00000000">
      <w:pPr>
        <w:numPr>
          <w:ilvl w:val="0"/>
          <w:numId w:val="3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ضمانات للغير: وتشمل المبالغ النقدية وخطابات الضمان الصادرة عن المصارف وما في حكمها، والكفالات والاقتطاعات المقدمة من الغير كتأمين عن عقود أو ارتباطات يلتزم بتنفيذها تجاه الصندوق.</w:t>
      </w:r>
    </w:p>
    <w:p w14:paraId="47B3BE9C" w14:textId="77777777" w:rsidR="00000000" w:rsidRDefault="00000000">
      <w:pPr>
        <w:numPr>
          <w:ilvl w:val="0"/>
          <w:numId w:val="3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ضمانات لدى الغير: وتشمل المبالغ النقدية وخطابات الضمان الصادرة عن المصارف وما في حكمها أو الكفالات أو الاقتطاعات المقدمة من الصندوق للغير كتأمين عن عقود أو ارتباطات لها.</w:t>
      </w:r>
    </w:p>
    <w:p w14:paraId="55A4466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(58) تسجيل الضمانات</w:t>
      </w:r>
    </w:p>
    <w:p w14:paraId="1A2EC90C" w14:textId="77777777" w:rsidR="00000000" w:rsidRDefault="00000000">
      <w:pPr>
        <w:numPr>
          <w:ilvl w:val="0"/>
          <w:numId w:val="3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تُسوّى الضمانات المقدمة أو المودَعة من الغير وفق الأحكام التعاقدية الخاصة بها، كما تُرد إلى أصحابها إذا زال السبب الذي قُدِّمَت من أجله، وبعد موافقة المدير التنفيذي على ذلك.</w:t>
      </w:r>
    </w:p>
    <w:p w14:paraId="0FE39818" w14:textId="77777777" w:rsidR="00000000" w:rsidRDefault="00000000">
      <w:pPr>
        <w:numPr>
          <w:ilvl w:val="0"/>
          <w:numId w:val="3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تُسجَّل الضمانات لدى الغير على الجهات المستفيدة منها على أن تُسترد كليًا أو جزئيًا وفق أحكام العقود المبرمة لهذا الغرض أو زوال الأسباب التي قُدِّمَت من أجلها.</w:t>
      </w:r>
    </w:p>
    <w:p w14:paraId="294E962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(59) حفظ مستندات الضمانات</w:t>
      </w:r>
    </w:p>
    <w:p w14:paraId="46E424C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تُحفظ وثائق الضمانات المقدمة للصندوق في ملف خاص لدى الشؤون المالية، ويُراعى العودة إليها وفحصها دوريًا بغية التأكد من استمرار صلاحيتها أو انتهاء أجلها، وتكون المالية مسؤولة عن صحة القيود المحاسبية الخاصة بالضمانات النقدية ومتابعة استردادها بحلول أجلها، ويكون حفظ هذه الوثائق لعشر سنوات.</w:t>
      </w:r>
    </w:p>
    <w:p w14:paraId="396487E4"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الفصل الخامس: الرقابة المالية</w:t>
      </w:r>
    </w:p>
    <w:p w14:paraId="60BE113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الرقابة الداخلية</w:t>
      </w:r>
    </w:p>
    <w:p w14:paraId="76A8421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(60) سياسة الرقابة الداخلية على أموال الصندوق</w:t>
      </w:r>
    </w:p>
    <w:p w14:paraId="2FFBC8D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يصدر المدير التنفيذي القرارات الكفيلة بإحكام الرقابة الداخلية على أموال الصندوق وأوجه استخدامها في كل عملية، على أن تشمل هذه القرارات بصفة خاصة قواعد الرقابة على الإنفاق، وتداول النقدية، وأوراق القبض والأجور والمرتبات وغيرها من أوجه الإنفاق.</w:t>
      </w:r>
    </w:p>
    <w:p w14:paraId="6954B65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(61) ضوابط المراجعة المالية</w:t>
      </w:r>
    </w:p>
    <w:p w14:paraId="71E450CA" w14:textId="77777777" w:rsidR="00000000" w:rsidRDefault="00000000">
      <w:pPr>
        <w:numPr>
          <w:ilvl w:val="0"/>
          <w:numId w:val="3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التأكد من صحة تطبيق النظام المالي والمحاسبي وإثبات القيود اليومية.</w:t>
      </w:r>
    </w:p>
    <w:p w14:paraId="5EFC5B21" w14:textId="77777777" w:rsidR="00000000" w:rsidRDefault="00000000">
      <w:pPr>
        <w:numPr>
          <w:ilvl w:val="0"/>
          <w:numId w:val="3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التأكد من سلامة تطبيق وتنفيذ السياسات والأنظمة والإجراءات المالية.</w:t>
      </w:r>
    </w:p>
    <w:p w14:paraId="1240E3AC" w14:textId="77777777" w:rsidR="00000000" w:rsidRDefault="00000000">
      <w:pPr>
        <w:numPr>
          <w:ilvl w:val="0"/>
          <w:numId w:val="3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فحص ومتابعة أرصدة وحركة الحسابات وإبداء الرأي حيالها.</w:t>
      </w:r>
    </w:p>
    <w:p w14:paraId="5E6AF96D" w14:textId="77777777" w:rsidR="00000000" w:rsidRDefault="00000000">
      <w:pPr>
        <w:numPr>
          <w:ilvl w:val="0"/>
          <w:numId w:val="3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التأكد من صحة طلبات الشراء والعقود والاتفاقيات وجميع أنواع المستندات التي تُنشئ التزامًا على الصندوق تجاه الغير.</w:t>
      </w:r>
    </w:p>
    <w:p w14:paraId="48EFB06D" w14:textId="77777777" w:rsidR="00000000" w:rsidRDefault="00000000">
      <w:pPr>
        <w:numPr>
          <w:ilvl w:val="0"/>
          <w:numId w:val="3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التأكد من تحصيل أموال الصندوق ومستحقاته لدى الغير وإثباتها بالدفاتر والسجلات المحاسبية.</w:t>
      </w:r>
    </w:p>
    <w:p w14:paraId="2E5019A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(62) تقارير الرقابة المالية</w:t>
      </w:r>
    </w:p>
    <w:p w14:paraId="51F5875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ترفع الشؤون المالية تقريرًا دوريًا يبين وضع الصندوق ومقدار الفائض أو العجز النقدي في نهاية كل ثلاثة أشهر إلى مدير إدارة الشؤون الإدارية والمالية لرفعه للمدير التنفيذي للاطلاع والاعتماد.</w:t>
      </w:r>
    </w:p>
    <w:p w14:paraId="5355123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مدقق حسابات الصندوق</w:t>
      </w:r>
    </w:p>
    <w:p w14:paraId="01A9392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(63) تكليف مراجع الحسابات</w:t>
      </w:r>
    </w:p>
    <w:p w14:paraId="540341B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يُكلِّف مجلس الأمناء مراجع حسابات خارجي "مكتب تدقيق قانوني" من الأشخاص ذوي الصفة الطبيعية أو الاعتبارية المرخص لهم بالعمل في المملكة، وذلك لمراجعة حسابات الصندوق ويحدد أتعابه.</w:t>
      </w:r>
    </w:p>
    <w:p w14:paraId="1BFD2FE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(64) ضوابط تكليف مراجع الحسابات</w:t>
      </w:r>
    </w:p>
    <w:p w14:paraId="5B2359C1" w14:textId="77777777" w:rsidR="00000000" w:rsidRDefault="00000000">
      <w:pPr>
        <w:numPr>
          <w:ilvl w:val="0"/>
          <w:numId w:val="3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يجوز الجمع بين عمل مراجع الحسابات بالصندوق وبين شغل وظيفة فيه، كما لا يجوز أن تكون له مصلحة مباشرة في أي من أعمال الصندوق.</w:t>
      </w:r>
    </w:p>
    <w:p w14:paraId="76371AB9" w14:textId="77777777" w:rsidR="00000000" w:rsidRDefault="00000000">
      <w:pPr>
        <w:numPr>
          <w:ilvl w:val="0"/>
          <w:numId w:val="3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يجوز لمراجع الحسابات أن يتقاضى أي مكافآت أو بدلات سوى الأتعاب المقررة له سنويًا.</w:t>
      </w:r>
    </w:p>
    <w:p w14:paraId="3B0934B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(65) ضوابط عمل مراجع الحسابات</w:t>
      </w:r>
    </w:p>
    <w:p w14:paraId="6B379CDA" w14:textId="77777777" w:rsidR="00000000" w:rsidRDefault="00000000">
      <w:pPr>
        <w:numPr>
          <w:ilvl w:val="0"/>
          <w:numId w:val="4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على جميع المختصين بالصندوق في مجاله التعاون مع مراجع الحسابات، وذلك بتقديم كافة البيانات والمعلومات الكاملة والصحيحة عن أعمال الصندوق، وذلك بهدف إبداء رأيه الفني المحايد.</w:t>
      </w:r>
    </w:p>
    <w:p w14:paraId="4F8951A1" w14:textId="77777777" w:rsidR="00000000" w:rsidRDefault="00000000">
      <w:pPr>
        <w:numPr>
          <w:ilvl w:val="0"/>
          <w:numId w:val="4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لمراجع الحسابات أو من ينتدبه في كل وقت من أوقات العمل الرسمية الاطلاع على جميع الدفاتر والسجلات والمستندات وطلب البيانات والإيضاحات التي يرى ضرورة الحصول عليها لأداء مهمته، وعلى إدارات الصندوق المختلفة تيسير مهمته في ذلك.</w:t>
      </w:r>
    </w:p>
    <w:p w14:paraId="620D5FD5" w14:textId="77777777" w:rsidR="00000000" w:rsidRDefault="00000000">
      <w:pPr>
        <w:numPr>
          <w:ilvl w:val="0"/>
          <w:numId w:val="4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عند اكتشاف أي اختلاس أو مخالفة تُعرِّض أموال أو أصول الصندوق للضياع أو سوء الاستخدام، يتعين على مراجع الحسابات تقديم تقرير فوري بذلك إلى المدير التنفيذي لاتخاذ الإجراءات اللازمة، ويُزوَّد مجلس الأمناء بصورة من ذلك التقرير إذا دعت الحاجة.</w:t>
      </w:r>
    </w:p>
    <w:p w14:paraId="3622601F" w14:textId="77777777" w:rsidR="00000000" w:rsidRDefault="00000000">
      <w:pPr>
        <w:numPr>
          <w:ilvl w:val="0"/>
          <w:numId w:val="4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 عدم تمكين مراجع الحسابات من أداء مهمته، يرفع مراجع الحسابات تقريرًا بذلك إلى مجلس الأمناء لاتخاذ الإجراءات اللازمة.</w:t>
      </w:r>
    </w:p>
    <w:p w14:paraId="5FCE54C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الرقابة على الخزينة</w:t>
      </w:r>
    </w:p>
    <w:p w14:paraId="09968BF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(66) سياسات الرقابة على الخزينة (الصندوق)</w:t>
      </w:r>
    </w:p>
    <w:p w14:paraId="6F845560" w14:textId="77777777" w:rsidR="00000000" w:rsidRDefault="00000000">
      <w:pPr>
        <w:numPr>
          <w:ilvl w:val="0"/>
          <w:numId w:val="4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تخضع الخزائن للمراجعة والجرد الدوري والمفاجئ، وكما يجب أن يتم الجرد الدوري مرة على الأقل شهريًا، ويكون الجرد شاملًا لكافة محتويات الخزينة، ويُحرَّر به محضر في كل مرة يوضح نتيجة الجرد باختصار ويوقع عليه المحاسب في نهاية المحضر باستلام ما في الخزينة من محتويات.</w:t>
      </w:r>
    </w:p>
    <w:p w14:paraId="42CC2B20" w14:textId="77777777" w:rsidR="00000000" w:rsidRDefault="00000000">
      <w:pPr>
        <w:numPr>
          <w:ilvl w:val="0"/>
          <w:numId w:val="4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 ظهور أي فروقات بالعجز أو الزيادة في رصيد الخزينة، يُرفع الأمر إلى صاحب الصلاحية لتحديد المسؤولية واتخاذ الإجراء المناسب.</w:t>
      </w:r>
    </w:p>
    <w:p w14:paraId="2D9F502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المخالفات المالية</w:t>
      </w:r>
    </w:p>
    <w:p w14:paraId="53D2C6B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(67) ضوابط التعامل مع المخالفات المالية</w:t>
      </w:r>
    </w:p>
    <w:p w14:paraId="581EB040" w14:textId="77777777" w:rsidR="00000000" w:rsidRDefault="00000000">
      <w:pPr>
        <w:numPr>
          <w:ilvl w:val="0"/>
          <w:numId w:val="4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 حدوث مخالفات مالية، ينبغي على المدير التنفيذي تشكيل لجنة للتحقيق في الأمر وإعداد تقرير مفصل بها، لاتخاذ الإجراء اللازم وفق ما تنص عليه اللوائح والأنظمة المعتمدة.</w:t>
      </w:r>
    </w:p>
    <w:p w14:paraId="2C5C698F" w14:textId="77777777" w:rsidR="00000000" w:rsidRDefault="00000000">
      <w:pPr>
        <w:numPr>
          <w:ilvl w:val="0"/>
          <w:numId w:val="4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ثبت أن الموظف المخالف قد تلقى مساعدة للوصول إلى هدفه من أي من موظفي الصندوق، فإن ذلك الشخص الذي أعانه يُعتبر شريكًا له في المخالفة.</w:t>
      </w:r>
    </w:p>
    <w:p w14:paraId="704A5269" w14:textId="77777777" w:rsidR="00000000" w:rsidRDefault="00000000">
      <w:pPr>
        <w:numPr>
          <w:ilvl w:val="0"/>
          <w:numId w:val="4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بمجرد علم المدير المباشر أو أي موظف من موظفي الصندوق بأي إجراء أو تصرف يترتب عليه مخالفة مالية أو خسائر في أموال الصندوق، يجب عليه إخطار المدير التنفيذي لاتخاذ الإجراءات الفورية اللازمة في هذا الشأن، وفي حال عدم قيامه بذلك فيُعد شريكًا للموظف المخالف.</w:t>
      </w:r>
    </w:p>
    <w:p w14:paraId="6E488093" w14:textId="77777777" w:rsidR="00000000" w:rsidRDefault="00000000">
      <w:pPr>
        <w:numPr>
          <w:ilvl w:val="0"/>
          <w:numId w:val="4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الموظف الذي يقوم بتزوير مستندات أو يقدم مستندات مزورة أو معلومات كاذبة ويتمكن بمقتضاها من الحصول على أموال من الصندوق أو الاحتيال على الغير، فإنه يجب رد تلك الأموال، ثم يتخذ المدير التنفيذي الإجراءات اللازمة حيال ذلك.</w:t>
      </w:r>
    </w:p>
    <w:p w14:paraId="6E79801C" w14:textId="77777777" w:rsidR="00000000" w:rsidRDefault="00000000">
      <w:pPr>
        <w:numPr>
          <w:ilvl w:val="0"/>
          <w:numId w:val="4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اختلس الموظف الموكل إليه تحصيل أموال تخص الصندوق لمنفعته الخاصة، يجب عليه رد المبالغ المختلسة مرة أخرى، ويتخذ المدير التنفيذي الإجراءات اللازمة حيال ذلك.</w:t>
      </w:r>
    </w:p>
    <w:p w14:paraId="4634A3FD" w14:textId="77777777" w:rsidR="00000000" w:rsidRDefault="00000000">
      <w:pPr>
        <w:numPr>
          <w:ilvl w:val="0"/>
          <w:numId w:val="4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حالة تكرار حدوث مخالفات مالية في الصندوق، فإنه يقع على المدير المباشر تحمل مسؤولية تلك المخالفات، وتُتخذ الإجراءات اللازمة حياله.</w:t>
      </w:r>
    </w:p>
    <w:p w14:paraId="6C83F77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أحكام عامة</w:t>
      </w:r>
    </w:p>
    <w:p w14:paraId="1DB8EF1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(68) أحكام عامة</w:t>
      </w:r>
    </w:p>
    <w:p w14:paraId="5AB9FA95" w14:textId="77777777" w:rsidR="00000000" w:rsidRDefault="00000000">
      <w:pPr>
        <w:numPr>
          <w:ilvl w:val="0"/>
          <w:numId w:val="4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تسري أحكام هذه اللائحة على كافة المعاملات المالية في الصندوق وكل ما من شأنه المحافظة على أموالها ونظام الضبط الداخلي بها، كما تنظم قواعد الصرف والتحصيل وجهات الاعتماد وقواعد المراجعة والحسابات المالية والقواعد الخاصة بالميزانية العمومية.</w:t>
      </w:r>
    </w:p>
    <w:p w14:paraId="2BCF182C" w14:textId="77777777" w:rsidR="00000000" w:rsidRDefault="00000000">
      <w:pPr>
        <w:numPr>
          <w:ilvl w:val="0"/>
          <w:numId w:val="4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المدير التنفيذي مسؤول عن تنفيذ ومراقبة أحكام هذه اللائحة، وكافة القرارات التنفيذية الخاصة بها، ومراقبة القواعد المالية المنصوص عليها في باقي لوائح الصندوق، ويُعد مسؤولًا أمام مجلس الأمناء عن ذلك.</w:t>
      </w:r>
    </w:p>
    <w:p w14:paraId="42DF14FE" w14:textId="77777777" w:rsidR="00000000" w:rsidRDefault="00000000">
      <w:pPr>
        <w:numPr>
          <w:ilvl w:val="0"/>
          <w:numId w:val="4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تكون صلاحيات عمليات الصرف المالية من بنود الموازنة المعتمدة بناءً على طلب الإدارة المعنية طبقًا للائحة الصلاحيات المعتمدة.</w:t>
      </w:r>
    </w:p>
    <w:p w14:paraId="03353948"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الفصل السادس: الحسابات الختامية والتقارير الدورية</w:t>
      </w:r>
    </w:p>
    <w:p w14:paraId="2BE32CF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الحسابات الختامية</w:t>
      </w:r>
    </w:p>
    <w:p w14:paraId="453FCC5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(69) إعداد الحسابات الختامية</w:t>
      </w:r>
    </w:p>
    <w:p w14:paraId="3B8F8F62" w14:textId="77777777" w:rsidR="00000000" w:rsidRDefault="00000000">
      <w:pPr>
        <w:numPr>
          <w:ilvl w:val="0"/>
          <w:numId w:val="4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تصدر التعليمات الواجب اتباعها لإقفال الحسابات في بداية الشهر الأخير من السنة المالية للصندوق.</w:t>
      </w:r>
    </w:p>
    <w:p w14:paraId="0D7C71A8" w14:textId="77777777" w:rsidR="00000000" w:rsidRDefault="00000000">
      <w:pPr>
        <w:numPr>
          <w:ilvl w:val="0"/>
          <w:numId w:val="4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الانتهاء من إعداد ميزان المراجعة السنوي والقوائم المالية الختامية التي تقوم بإعدادها الإدارة المالية مؤيدةً بمرفقاتها التفصيلية ومناقشتها مع مدقق حسابات الصندوق خلال الشهر الأول من انتهاء السنة المالية للصندوق.</w:t>
      </w:r>
    </w:p>
    <w:p w14:paraId="7A20DF58" w14:textId="77777777" w:rsidR="00000000" w:rsidRDefault="00000000">
      <w:pPr>
        <w:numPr>
          <w:ilvl w:val="0"/>
          <w:numId w:val="4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إعداد الحسابات الختامية وعرضها على مجلس الأمناء بهدف استكمال إجراءات مناقشتها خلال شهر ونصف من انتهاء السنة المالية للصندوق للاطلاع والمراجعة.</w:t>
      </w:r>
    </w:p>
    <w:p w14:paraId="5A251E57" w14:textId="77777777" w:rsidR="00000000" w:rsidRDefault="00000000">
      <w:pPr>
        <w:numPr>
          <w:ilvl w:val="0"/>
          <w:numId w:val="4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رفع الحسابات الختامية بصورتها النهائية لعرضها على مجلس الأمناء، وذلك بموعد أقصاه شهرين من انتهاء السنة المالية لاعتمادها.</w:t>
      </w:r>
    </w:p>
    <w:p w14:paraId="5D09D4AF" w14:textId="77777777" w:rsidR="00000000" w:rsidRDefault="00000000">
      <w:pPr>
        <w:numPr>
          <w:ilvl w:val="0"/>
          <w:numId w:val="4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الانتهاء من الحسابات الختامية بصورتها النهائية معتمدة من مجلس الأمناء بموعد أقصاه ثلاثة أشهر من انتهاء السنة المالية.</w:t>
      </w:r>
    </w:p>
    <w:p w14:paraId="5D3118B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التقارير الدورية</w:t>
      </w:r>
    </w:p>
    <w:p w14:paraId="3F8CECF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(70) إعداد التقارير الدورية</w:t>
      </w:r>
    </w:p>
    <w:p w14:paraId="1C6C393F" w14:textId="77777777" w:rsidR="00000000" w:rsidRDefault="00000000">
      <w:pPr>
        <w:numPr>
          <w:ilvl w:val="0"/>
          <w:numId w:val="4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إعداد التقارير المالية الدورية والتأكد من صحة البيانات المدرجة فيها.</w:t>
      </w:r>
    </w:p>
    <w:p w14:paraId="7EDCD41D" w14:textId="77777777" w:rsidR="00000000" w:rsidRDefault="00000000">
      <w:pPr>
        <w:numPr>
          <w:ilvl w:val="0"/>
          <w:numId w:val="4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تحليل البيانات الواردة في التقارير المالية والحسابات الختامية باستخدام أساليب التحليل المالي المتعارف عليها ورفع تقرير بنتائج هذا التحليل ومدلولاته للإدارة العليا للاطلاع.</w:t>
      </w:r>
    </w:p>
    <w:p w14:paraId="78C25F8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(71) اعتماد التقارير المالية</w:t>
      </w:r>
    </w:p>
    <w:p w14:paraId="53D6EB8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عند اعتماد التقارير المالية يجب أن تشتمل كحد أدنى على الآتي:</w:t>
      </w:r>
    </w:p>
    <w:p w14:paraId="7717344B" w14:textId="77777777" w:rsidR="00000000" w:rsidRDefault="00000000">
      <w:pPr>
        <w:numPr>
          <w:ilvl w:val="0"/>
          <w:numId w:val="4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ميزان المراجعة الإجمالي عن الفترة المنتهية بتاريخ تقديم التقارير.</w:t>
      </w:r>
    </w:p>
    <w:p w14:paraId="503E2AAA" w14:textId="77777777" w:rsidR="00000000" w:rsidRDefault="00000000">
      <w:pPr>
        <w:numPr>
          <w:ilvl w:val="0"/>
          <w:numId w:val="4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قائمة المركز المالي للصندوق.</w:t>
      </w:r>
    </w:p>
    <w:p w14:paraId="7BF79AB0" w14:textId="77777777" w:rsidR="00000000" w:rsidRDefault="00000000">
      <w:pPr>
        <w:numPr>
          <w:ilvl w:val="0"/>
          <w:numId w:val="4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قائمة التدفقات النقدية.</w:t>
      </w:r>
    </w:p>
    <w:p w14:paraId="64F65775" w14:textId="77777777" w:rsidR="00000000" w:rsidRDefault="00000000">
      <w:pPr>
        <w:numPr>
          <w:ilvl w:val="0"/>
          <w:numId w:val="4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مقارنة الإنفاق الفعلي مع الاعتمادات المخصصة له في الموازنة التقديرية.</w:t>
      </w:r>
    </w:p>
    <w:p w14:paraId="598617B7" w14:textId="77777777" w:rsidR="00000000" w:rsidRDefault="00000000">
      <w:pPr>
        <w:numPr>
          <w:ilvl w:val="0"/>
          <w:numId w:val="4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أي إيضاحات أخرى تحتاجها الإدارة العليا.</w:t>
      </w:r>
    </w:p>
    <w:p w14:paraId="0848BD1F"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الفصل السابع: التبرعات والهدايا</w:t>
      </w:r>
    </w:p>
    <w:p w14:paraId="698C087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الهدايا للغير</w:t>
      </w:r>
    </w:p>
    <w:p w14:paraId="3C2E35B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(72) الهدايا</w:t>
      </w:r>
    </w:p>
    <w:p w14:paraId="53CEAD6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يحق للمدير التنفيذي تقديم الهدايا العينية بشتى أنواعها للغير (متعاون/ زائر .... إلخ) باسم الصندوق بما لا يتجاوز ألف ريال لكل حالة.</w:t>
      </w:r>
    </w:p>
    <w:p w14:paraId="3AE01E8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قبول الموظف للهدايا أو التبرعات من الغير</w:t>
      </w:r>
    </w:p>
    <w:p w14:paraId="43007C3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(73) قبول التبرعات والهدايا</w:t>
      </w:r>
    </w:p>
    <w:p w14:paraId="04A9E29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لا يحق قبول التبرعات أو الهدايا العينية أو النقدية المقدمة للموظف في الصندوق بصفته الشخصية أو بصفته الوظيفية، ويُعد الموظف الذي يقبل مثل هذه التبرعات أو الهدايا مخالفًا لأنظمة الصندوق ويخضع للمساءلة.</w:t>
      </w:r>
    </w:p>
    <w:p w14:paraId="0465519C" w14:textId="77777777" w:rsidR="00B857F2" w:rsidRDefault="00000000">
      <w:pPr>
        <w:pStyle w:val="NormalWeb"/>
        <w:bidi/>
        <w:spacing w:before="450" w:beforeAutospacing="0"/>
        <w:jc w:val="center"/>
        <w:rPr>
          <w:rFonts w:ascii="Traditional Arabic" w:hAnsi="Traditional Arabic" w:cs="Traditional Arabic"/>
          <w:rtl/>
          <w:lang w:bidi="ar"/>
        </w:rPr>
      </w:pPr>
      <w:r>
        <w:rPr>
          <w:rStyle w:val="Emphasis"/>
          <w:rFonts w:ascii="Traditional Arabic" w:hAnsi="Traditional Arabic" w:cs="Traditional Arabic"/>
          <w:rtl/>
          <w:lang w:bidi="ar"/>
        </w:rPr>
        <w:t>جميع النماذج المالية توجد في دليل نماذج العمل</w:t>
      </w:r>
    </w:p>
    <w:sectPr w:rsidR="00B8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02C"/>
    <w:multiLevelType w:val="multilevel"/>
    <w:tmpl w:val="1EEA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A49DF"/>
    <w:multiLevelType w:val="multilevel"/>
    <w:tmpl w:val="69C2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0023A"/>
    <w:multiLevelType w:val="multilevel"/>
    <w:tmpl w:val="3958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C6A2A"/>
    <w:multiLevelType w:val="multilevel"/>
    <w:tmpl w:val="182C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75FA0"/>
    <w:multiLevelType w:val="multilevel"/>
    <w:tmpl w:val="B212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24646"/>
    <w:multiLevelType w:val="multilevel"/>
    <w:tmpl w:val="7EB4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C3781C"/>
    <w:multiLevelType w:val="multilevel"/>
    <w:tmpl w:val="58E0EF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44428"/>
    <w:multiLevelType w:val="multilevel"/>
    <w:tmpl w:val="F266D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73BD9"/>
    <w:multiLevelType w:val="multilevel"/>
    <w:tmpl w:val="438E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E1FBC"/>
    <w:multiLevelType w:val="multilevel"/>
    <w:tmpl w:val="2CB2E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C4FFB"/>
    <w:multiLevelType w:val="multilevel"/>
    <w:tmpl w:val="3A12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F7485"/>
    <w:multiLevelType w:val="multilevel"/>
    <w:tmpl w:val="A336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0D05CA"/>
    <w:multiLevelType w:val="multilevel"/>
    <w:tmpl w:val="72CA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F1685"/>
    <w:multiLevelType w:val="multilevel"/>
    <w:tmpl w:val="33D2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041853"/>
    <w:multiLevelType w:val="multilevel"/>
    <w:tmpl w:val="9866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2D5D0B"/>
    <w:multiLevelType w:val="multilevel"/>
    <w:tmpl w:val="718C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91B8E"/>
    <w:multiLevelType w:val="multilevel"/>
    <w:tmpl w:val="7FBC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2849C1"/>
    <w:multiLevelType w:val="multilevel"/>
    <w:tmpl w:val="5A2CC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5A119A"/>
    <w:multiLevelType w:val="multilevel"/>
    <w:tmpl w:val="C6FC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181886"/>
    <w:multiLevelType w:val="multilevel"/>
    <w:tmpl w:val="E7BE0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EE0F4A"/>
    <w:multiLevelType w:val="multilevel"/>
    <w:tmpl w:val="5252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082FA8"/>
    <w:multiLevelType w:val="multilevel"/>
    <w:tmpl w:val="E334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D7BAE"/>
    <w:multiLevelType w:val="multilevel"/>
    <w:tmpl w:val="258E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190082"/>
    <w:multiLevelType w:val="multilevel"/>
    <w:tmpl w:val="3914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B7712D"/>
    <w:multiLevelType w:val="multilevel"/>
    <w:tmpl w:val="1E62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5E59E1"/>
    <w:multiLevelType w:val="multilevel"/>
    <w:tmpl w:val="A814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765F40"/>
    <w:multiLevelType w:val="multilevel"/>
    <w:tmpl w:val="DA04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E33B2"/>
    <w:multiLevelType w:val="multilevel"/>
    <w:tmpl w:val="C82EFF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442CC1"/>
    <w:multiLevelType w:val="multilevel"/>
    <w:tmpl w:val="28CC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C04857"/>
    <w:multiLevelType w:val="multilevel"/>
    <w:tmpl w:val="FEF6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7144D4"/>
    <w:multiLevelType w:val="multilevel"/>
    <w:tmpl w:val="94305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0637A"/>
    <w:multiLevelType w:val="multilevel"/>
    <w:tmpl w:val="FCD8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7C237A"/>
    <w:multiLevelType w:val="multilevel"/>
    <w:tmpl w:val="599C2A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9D37DE"/>
    <w:multiLevelType w:val="multilevel"/>
    <w:tmpl w:val="0AEC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887001"/>
    <w:multiLevelType w:val="multilevel"/>
    <w:tmpl w:val="3DEE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1937C9"/>
    <w:multiLevelType w:val="multilevel"/>
    <w:tmpl w:val="B70AAF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CD0B8B"/>
    <w:multiLevelType w:val="multilevel"/>
    <w:tmpl w:val="EB16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DD77F7"/>
    <w:multiLevelType w:val="multilevel"/>
    <w:tmpl w:val="3862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B6264E"/>
    <w:multiLevelType w:val="multilevel"/>
    <w:tmpl w:val="8CD2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C606C5"/>
    <w:multiLevelType w:val="multilevel"/>
    <w:tmpl w:val="CEEC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E4320D"/>
    <w:multiLevelType w:val="multilevel"/>
    <w:tmpl w:val="A2FA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3B0469"/>
    <w:multiLevelType w:val="multilevel"/>
    <w:tmpl w:val="A916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3C250B"/>
    <w:multiLevelType w:val="multilevel"/>
    <w:tmpl w:val="98B8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DB6357"/>
    <w:multiLevelType w:val="multilevel"/>
    <w:tmpl w:val="73F8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15097E"/>
    <w:multiLevelType w:val="multilevel"/>
    <w:tmpl w:val="B5422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F805A8"/>
    <w:multiLevelType w:val="multilevel"/>
    <w:tmpl w:val="6010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B05BA3"/>
    <w:multiLevelType w:val="multilevel"/>
    <w:tmpl w:val="7F48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4574">
    <w:abstractNumId w:val="20"/>
  </w:num>
  <w:num w:numId="2" w16cid:durableId="104077183">
    <w:abstractNumId w:val="1"/>
  </w:num>
  <w:num w:numId="3" w16cid:durableId="1127435688">
    <w:abstractNumId w:val="8"/>
  </w:num>
  <w:num w:numId="4" w16cid:durableId="1150249579">
    <w:abstractNumId w:val="29"/>
  </w:num>
  <w:num w:numId="5" w16cid:durableId="1957444493">
    <w:abstractNumId w:val="32"/>
  </w:num>
  <w:num w:numId="6" w16cid:durableId="474684009">
    <w:abstractNumId w:val="22"/>
  </w:num>
  <w:num w:numId="7" w16cid:durableId="732853659">
    <w:abstractNumId w:val="24"/>
  </w:num>
  <w:num w:numId="8" w16cid:durableId="1567915799">
    <w:abstractNumId w:val="6"/>
  </w:num>
  <w:num w:numId="9" w16cid:durableId="1025405740">
    <w:abstractNumId w:val="39"/>
  </w:num>
  <w:num w:numId="10" w16cid:durableId="360741469">
    <w:abstractNumId w:val="12"/>
  </w:num>
  <w:num w:numId="11" w16cid:durableId="874466093">
    <w:abstractNumId w:val="7"/>
  </w:num>
  <w:num w:numId="12" w16cid:durableId="1745378113">
    <w:abstractNumId w:val="15"/>
  </w:num>
  <w:num w:numId="13" w16cid:durableId="1704017506">
    <w:abstractNumId w:val="4"/>
  </w:num>
  <w:num w:numId="14" w16cid:durableId="1434591916">
    <w:abstractNumId w:val="5"/>
  </w:num>
  <w:num w:numId="15" w16cid:durableId="139659550">
    <w:abstractNumId w:val="26"/>
  </w:num>
  <w:num w:numId="16" w16cid:durableId="1893956272">
    <w:abstractNumId w:val="40"/>
  </w:num>
  <w:num w:numId="17" w16cid:durableId="2061778983">
    <w:abstractNumId w:val="0"/>
  </w:num>
  <w:num w:numId="18" w16cid:durableId="1625579373">
    <w:abstractNumId w:val="27"/>
  </w:num>
  <w:num w:numId="19" w16cid:durableId="1581404968">
    <w:abstractNumId w:val="9"/>
  </w:num>
  <w:num w:numId="20" w16cid:durableId="2042897158">
    <w:abstractNumId w:val="30"/>
  </w:num>
  <w:num w:numId="21" w16cid:durableId="1105996838">
    <w:abstractNumId w:val="33"/>
  </w:num>
  <w:num w:numId="22" w16cid:durableId="1666400259">
    <w:abstractNumId w:val="43"/>
  </w:num>
  <w:num w:numId="23" w16cid:durableId="1078283877">
    <w:abstractNumId w:val="38"/>
  </w:num>
  <w:num w:numId="24" w16cid:durableId="1872111144">
    <w:abstractNumId w:val="17"/>
  </w:num>
  <w:num w:numId="25" w16cid:durableId="44989985">
    <w:abstractNumId w:val="3"/>
  </w:num>
  <w:num w:numId="26" w16cid:durableId="439885398">
    <w:abstractNumId w:val="46"/>
  </w:num>
  <w:num w:numId="27" w16cid:durableId="92170209">
    <w:abstractNumId w:val="37"/>
  </w:num>
  <w:num w:numId="28" w16cid:durableId="637952584">
    <w:abstractNumId w:val="31"/>
  </w:num>
  <w:num w:numId="29" w16cid:durableId="2123264098">
    <w:abstractNumId w:val="13"/>
  </w:num>
  <w:num w:numId="30" w16cid:durableId="304041957">
    <w:abstractNumId w:val="11"/>
  </w:num>
  <w:num w:numId="31" w16cid:durableId="471748841">
    <w:abstractNumId w:val="14"/>
  </w:num>
  <w:num w:numId="32" w16cid:durableId="332270734">
    <w:abstractNumId w:val="18"/>
  </w:num>
  <w:num w:numId="33" w16cid:durableId="133328456">
    <w:abstractNumId w:val="28"/>
  </w:num>
  <w:num w:numId="34" w16cid:durableId="877087334">
    <w:abstractNumId w:val="45"/>
  </w:num>
  <w:num w:numId="35" w16cid:durableId="686709267">
    <w:abstractNumId w:val="36"/>
  </w:num>
  <w:num w:numId="36" w16cid:durableId="1828472912">
    <w:abstractNumId w:val="23"/>
  </w:num>
  <w:num w:numId="37" w16cid:durableId="1801992792">
    <w:abstractNumId w:val="44"/>
  </w:num>
  <w:num w:numId="38" w16cid:durableId="717508597">
    <w:abstractNumId w:val="41"/>
  </w:num>
  <w:num w:numId="39" w16cid:durableId="2116560238">
    <w:abstractNumId w:val="16"/>
  </w:num>
  <w:num w:numId="40" w16cid:durableId="1439181298">
    <w:abstractNumId w:val="10"/>
  </w:num>
  <w:num w:numId="41" w16cid:durableId="1543982683">
    <w:abstractNumId w:val="35"/>
  </w:num>
  <w:num w:numId="42" w16cid:durableId="990132167">
    <w:abstractNumId w:val="21"/>
  </w:num>
  <w:num w:numId="43" w16cid:durableId="497960119">
    <w:abstractNumId w:val="42"/>
  </w:num>
  <w:num w:numId="44" w16cid:durableId="163935798">
    <w:abstractNumId w:val="34"/>
  </w:num>
  <w:num w:numId="45" w16cid:durableId="908853981">
    <w:abstractNumId w:val="19"/>
  </w:num>
  <w:num w:numId="46" w16cid:durableId="906259154">
    <w:abstractNumId w:val="2"/>
  </w:num>
  <w:num w:numId="47" w16cid:durableId="11130168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5C5E"/>
    <w:rsid w:val="00015C5E"/>
    <w:rsid w:val="00050F4B"/>
    <w:rsid w:val="00B85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D93C2"/>
  <w15:chartTrackingRefBased/>
  <w15:docId w15:val="{A2A2188E-018C-438E-B195-A41E3579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4394</Words>
  <Characters>25048</Characters>
  <Application>Microsoft Office Word</Application>
  <DocSecurity>0</DocSecurity>
  <Lines>208</Lines>
  <Paragraphs>58</Paragraphs>
  <ScaleCrop>false</ScaleCrop>
  <Company/>
  <LinksUpToDate>false</LinksUpToDate>
  <CharactersWithSpaces>29384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لائحة السياسات المالية والمحاسبية</dc:title>
  <dc:subject/>
  <dc:creator>Abdelrahman Wael Mohamed Salman Soliman</dc:creator>
  <cp:keywords/>
  <dc:description/>
  <cp:lastModifiedBy>Abdelrahman Wael Mohamed Salman Soliman</cp:lastModifiedBy>
  <cp:revision>2</cp:revision>
  <dcterms:created xsi:type="dcterms:W3CDTF">2026-08-19T19:38:00Z</dcterms:created>
  <dcterms:modified xsi:type="dcterms:W3CDTF">2026-08-19T19:38:00Z</dcterms:modified>
</cp:coreProperties>
</file>