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120"/>
        <w:jc w:val="center"/>
      </w:pPr>
      <w:r>
        <w:rPr>
          <w:rFonts w:ascii="Arial" w:hAnsi="Arial" w:cs="Arial"/>
          <w:b/>
          <w:sz w:val="32"/>
        </w:rPr>
        <w:t>سياسة حفظ الوثائق وإتلافها</w:t>
      </w:r>
    </w:p>
    <w:p>
      <w:pPr>
        <w:bidi w:val="1"/>
        <w:spacing w:after="120"/>
        <w:jc w:val="center"/>
      </w:pPr>
      <w:r>
        <w:rPr>
          <w:rFonts w:ascii="Arial" w:hAnsi="Arial" w:cs="Arial"/>
          <w:b w:val="0"/>
          <w:sz w:val="22"/>
        </w:rPr>
        <w:t>هذه السياسة معتمدة من قبل مجلس الأمناء بتاريخ 1437/07/01 هـ</w:t>
      </w:r>
    </w:p>
    <w:p>
      <w:r>
        <w:br w:type="page"/>
      </w:r>
    </w:p>
    <w:p>
      <w:pPr>
        <w:bidi w:val="1"/>
        <w:spacing w:after="120"/>
        <w:jc w:val="right"/>
      </w:pPr>
      <w:r>
        <w:rPr>
          <w:rFonts w:ascii="Arial" w:hAnsi="Arial" w:cs="Arial"/>
          <w:b/>
          <w:color w:val="2E74B5"/>
          <w:sz w:val="28"/>
        </w:rPr>
        <w:t>المادة الأولى: التمهيد</w:t>
      </w:r>
    </w:p>
    <w:p>
      <w:pPr>
        <w:bidi w:val="1"/>
        <w:spacing w:after="120"/>
        <w:jc w:val="right"/>
      </w:pPr>
      <w:r>
        <w:rPr>
          <w:rFonts w:ascii="Arial" w:hAnsi="Arial" w:cs="Arial"/>
          <w:b w:val="0"/>
          <w:sz w:val="22"/>
        </w:rPr>
        <w:t>يقدم هذه السياسة الإرشادية التي على الصندوق اتباعها بشكل خاص لإدارة وحفظ وإتلاف الوثائق الخاصة بالصندوق.</w:t>
      </w:r>
    </w:p>
    <w:p>
      <w:pPr>
        <w:bidi w:val="1"/>
        <w:spacing w:after="120"/>
        <w:jc w:val="right"/>
      </w:pPr>
      <w:r>
        <w:rPr>
          <w:rFonts w:ascii="Arial" w:hAnsi="Arial" w:cs="Arial"/>
          <w:b/>
          <w:color w:val="2E74B5"/>
          <w:sz w:val="28"/>
        </w:rPr>
        <w:t>المادة الثانية: نطاق التطبيق</w:t>
      </w:r>
    </w:p>
    <w:p>
      <w:pPr>
        <w:bidi w:val="1"/>
        <w:spacing w:after="120"/>
        <w:jc w:val="right"/>
      </w:pPr>
      <w:r>
        <w:rPr>
          <w:rFonts w:ascii="Arial" w:hAnsi="Arial" w:cs="Arial"/>
          <w:b w:val="0"/>
          <w:sz w:val="22"/>
        </w:rPr>
        <w:t>تستهدف هذه السياسة جميع من يعمل لصالح الصندوق وبالاخص رؤساء أقسام أو إدارات الصندوق والمستقلين التنفيذيين وأمناء مجلس الأمناء، حيث تقع عليهم مسؤولية تطبيق ومتابعة ما يرد في هذه السياسة.</w:t>
      </w:r>
    </w:p>
    <w:p>
      <w:pPr>
        <w:bidi w:val="1"/>
        <w:spacing w:after="120"/>
        <w:jc w:val="right"/>
      </w:pPr>
      <w:r>
        <w:rPr>
          <w:rFonts w:ascii="Arial" w:hAnsi="Arial" w:cs="Arial"/>
          <w:b/>
          <w:color w:val="2E74B5"/>
          <w:sz w:val="28"/>
        </w:rPr>
        <w:t>المادة الثالثة: إدارة وحفظ السجلات الأساسية</w:t>
      </w:r>
    </w:p>
    <w:p>
      <w:pPr>
        <w:bidi w:val="1"/>
        <w:spacing w:after="120"/>
        <w:jc w:val="right"/>
      </w:pPr>
      <w:r>
        <w:rPr>
          <w:rFonts w:ascii="Arial" w:hAnsi="Arial" w:cs="Arial"/>
          <w:b w:val="0"/>
          <w:sz w:val="22"/>
        </w:rPr>
        <w:t>يجب على الصندوق الاحتفاظ بجميع الوثائق في مركز إداري بمقر الصندوق ومخزن ما يحتاج لذلك وترقيمها قبل الحفظ ويتولى مجلس الأمناء تحديد المسئول عن ذلك، وتشمل هذه السجلات ما يلي:</w:t>
      </w:r>
    </w:p>
    <w:p>
      <w:pPr>
        <w:pStyle w:val="ListBullet"/>
        <w:bidi w:val="1"/>
        <w:spacing w:after="120"/>
        <w:jc w:val="right"/>
      </w:pPr>
      <w:r>
        <w:rPr>
          <w:rFonts w:ascii="Arial" w:hAnsi="Arial" w:cs="Arial"/>
          <w:b w:val="0"/>
          <w:sz w:val="22"/>
        </w:rPr>
        <w:t>الاتجاهات الأساسية للصندوق وأي لوائح نظامية أخرى.</w:t>
      </w:r>
    </w:p>
    <w:p>
      <w:pPr>
        <w:pStyle w:val="ListBullet"/>
        <w:bidi w:val="1"/>
        <w:spacing w:after="120"/>
        <w:jc w:val="right"/>
      </w:pPr>
      <w:r>
        <w:rPr>
          <w:rFonts w:ascii="Arial" w:hAnsi="Arial" w:cs="Arial"/>
          <w:b w:val="0"/>
          <w:sz w:val="22"/>
        </w:rPr>
        <w:t>سجل العضوية لمجلس الأمناء موضحاً به تاريخ بدء عضوية وطريقة الانتخاب / الترقية (بالانتخاب / الترقية) وتاريخ الانتهاء والسبب.</w:t>
      </w:r>
    </w:p>
    <w:p>
      <w:pPr>
        <w:pStyle w:val="ListBullet"/>
        <w:bidi w:val="1"/>
        <w:spacing w:after="120"/>
        <w:jc w:val="right"/>
      </w:pPr>
      <w:r>
        <w:rPr>
          <w:rFonts w:ascii="Arial" w:hAnsi="Arial" w:cs="Arial"/>
          <w:b w:val="0"/>
          <w:sz w:val="22"/>
        </w:rPr>
        <w:t>سجل اجتماعات وقرارات مجلس الأمناء.</w:t>
      </w:r>
    </w:p>
    <w:p>
      <w:pPr>
        <w:pStyle w:val="ListBullet"/>
        <w:bidi w:val="1"/>
        <w:spacing w:after="120"/>
        <w:jc w:val="right"/>
      </w:pPr>
      <w:r>
        <w:rPr>
          <w:rFonts w:ascii="Arial" w:hAnsi="Arial" w:cs="Arial"/>
          <w:b w:val="0"/>
          <w:sz w:val="22"/>
        </w:rPr>
        <w:t>السجلات المالية والبنكية.</w:t>
      </w:r>
    </w:p>
    <w:p>
      <w:pPr>
        <w:pStyle w:val="ListBullet"/>
        <w:bidi w:val="1"/>
        <w:spacing w:after="120"/>
        <w:jc w:val="right"/>
      </w:pPr>
      <w:r>
        <w:rPr>
          <w:rFonts w:ascii="Arial" w:hAnsi="Arial" w:cs="Arial"/>
          <w:b w:val="0"/>
          <w:sz w:val="22"/>
        </w:rPr>
        <w:t>سجل العائد.</w:t>
      </w:r>
    </w:p>
    <w:p>
      <w:pPr>
        <w:pStyle w:val="ListBullet"/>
        <w:bidi w:val="1"/>
        <w:spacing w:after="120"/>
        <w:jc w:val="right"/>
      </w:pPr>
      <w:r>
        <w:rPr>
          <w:rFonts w:ascii="Arial" w:hAnsi="Arial" w:cs="Arial"/>
          <w:b w:val="0"/>
          <w:sz w:val="22"/>
        </w:rPr>
        <w:t>سجل المتحصلات والأصول.</w:t>
      </w:r>
    </w:p>
    <w:p>
      <w:pPr>
        <w:pStyle w:val="ListBullet"/>
        <w:bidi w:val="1"/>
        <w:spacing w:after="120"/>
        <w:jc w:val="right"/>
      </w:pPr>
      <w:r>
        <w:rPr>
          <w:rFonts w:ascii="Arial" w:hAnsi="Arial" w:cs="Arial"/>
          <w:b w:val="0"/>
          <w:sz w:val="22"/>
        </w:rPr>
        <w:t>ملفات لحفظ كافة الفواتير والإيصالات.</w:t>
      </w:r>
    </w:p>
    <w:p>
      <w:pPr>
        <w:pStyle w:val="ListBullet"/>
        <w:bidi w:val="1"/>
        <w:spacing w:after="120"/>
        <w:jc w:val="right"/>
      </w:pPr>
      <w:r>
        <w:rPr>
          <w:rFonts w:ascii="Arial" w:hAnsi="Arial" w:cs="Arial"/>
          <w:b w:val="0"/>
          <w:sz w:val="22"/>
        </w:rPr>
        <w:t>سجل المكاتب والمراسلات.</w:t>
      </w:r>
    </w:p>
    <w:p>
      <w:pPr>
        <w:pStyle w:val="ListBullet"/>
        <w:bidi w:val="1"/>
        <w:spacing w:after="120"/>
        <w:jc w:val="right"/>
      </w:pPr>
      <w:r>
        <w:rPr>
          <w:rFonts w:ascii="Arial" w:hAnsi="Arial" w:cs="Arial"/>
          <w:b w:val="0"/>
          <w:sz w:val="22"/>
        </w:rPr>
        <w:t>سجل الزوارات.</w:t>
      </w:r>
    </w:p>
    <w:p>
      <w:pPr>
        <w:pStyle w:val="ListBullet"/>
        <w:bidi w:val="1"/>
        <w:spacing w:after="120"/>
        <w:jc w:val="right"/>
      </w:pPr>
      <w:r>
        <w:rPr>
          <w:rFonts w:ascii="Arial" w:hAnsi="Arial" w:cs="Arial"/>
          <w:b w:val="0"/>
          <w:sz w:val="22"/>
        </w:rPr>
        <w:t>سجل التعاينات.</w:t>
      </w:r>
    </w:p>
    <w:p>
      <w:pPr>
        <w:pStyle w:val="ListBullet"/>
        <w:bidi w:val="1"/>
        <w:spacing w:after="120"/>
        <w:jc w:val="right"/>
      </w:pPr>
      <w:r>
        <w:rPr>
          <w:rFonts w:ascii="Arial" w:hAnsi="Arial" w:cs="Arial"/>
          <w:b w:val="0"/>
          <w:sz w:val="22"/>
        </w:rPr>
        <w:t>سجل الشراكات والتعاقدات.</w:t>
      </w:r>
    </w:p>
    <w:p>
      <w:pPr>
        <w:bidi w:val="1"/>
        <w:spacing w:after="120"/>
        <w:jc w:val="right"/>
      </w:pPr>
      <w:r>
        <w:rPr>
          <w:rFonts w:ascii="Arial" w:hAnsi="Arial" w:cs="Arial"/>
          <w:b/>
          <w:color w:val="2E74B5"/>
          <w:sz w:val="28"/>
        </w:rPr>
        <w:t>المادة الرابعة: تصنيف ومو اع حفظ الوثائق</w:t>
      </w:r>
    </w:p>
    <w:p>
      <w:pPr>
        <w:bidi w:val="1"/>
        <w:spacing w:after="120"/>
        <w:jc w:val="right"/>
      </w:pPr>
      <w:r>
        <w:rPr>
          <w:rFonts w:ascii="Arial" w:hAnsi="Arial" w:cs="Arial"/>
          <w:b w:val="0"/>
          <w:sz w:val="22"/>
        </w:rPr>
        <w:t>يحتفظ الصندوق بالوثائق على النحو الآتي، مع ضرورة وجود نسخ إلكترونية:</w:t>
      </w:r>
    </w:p>
    <w:p>
      <w:pPr>
        <w:bidi w:val="1"/>
        <w:spacing w:after="120"/>
        <w:jc w:val="right"/>
      </w:pPr>
      <w:r>
        <w:rPr>
          <w:rFonts w:ascii="Arial" w:hAnsi="Arial" w:cs="Arial"/>
          <w:b/>
          <w:color w:val="2E74B5"/>
          <w:sz w:val="28"/>
        </w:rPr>
        <w:t>1. الوثائق الرسمية والرسمية:</w:t>
      </w:r>
    </w:p>
    <w:p>
      <w:pPr>
        <w:bidi w:val="1"/>
        <w:spacing w:after="120"/>
        <w:jc w:val="right"/>
      </w:pPr>
      <w:r>
        <w:rPr>
          <w:rFonts w:ascii="Arial" w:hAnsi="Arial" w:cs="Arial"/>
          <w:b w:val="0"/>
          <w:sz w:val="22"/>
        </w:rPr>
        <w:t>تحفظ بمكتب المدير التنفيذي وتشمل:</w:t>
      </w:r>
    </w:p>
    <w:p>
      <w:pPr>
        <w:pStyle w:val="ListBullet"/>
        <w:bidi w:val="1"/>
        <w:spacing w:after="120"/>
        <w:jc w:val="right"/>
      </w:pPr>
      <w:r>
        <w:rPr>
          <w:rFonts w:ascii="Arial" w:hAnsi="Arial" w:cs="Arial"/>
          <w:b w:val="0"/>
          <w:sz w:val="22"/>
        </w:rPr>
        <w:t>السياسات واللوائح والأنظمة المنظمة للعمل. (مثل ترخيص تأسيس الصندوق، اللائحة الأساسية، السياسات الصندوق)</w:t>
      </w:r>
    </w:p>
    <w:p>
      <w:pPr>
        <w:pStyle w:val="ListBullet"/>
        <w:bidi w:val="1"/>
        <w:spacing w:after="120"/>
        <w:jc w:val="right"/>
      </w:pPr>
      <w:r>
        <w:rPr>
          <w:rFonts w:ascii="Arial" w:hAnsi="Arial" w:cs="Arial"/>
          <w:b w:val="0"/>
          <w:sz w:val="22"/>
        </w:rPr>
        <w:t>ملف العضوية (مجلس الأمناء)</w:t>
      </w:r>
    </w:p>
    <w:p>
      <w:pPr>
        <w:pStyle w:val="ListBullet"/>
        <w:bidi w:val="1"/>
        <w:spacing w:after="120"/>
        <w:jc w:val="right"/>
      </w:pPr>
      <w:r>
        <w:rPr>
          <w:rFonts w:ascii="Arial" w:hAnsi="Arial" w:cs="Arial"/>
          <w:b w:val="0"/>
          <w:sz w:val="22"/>
        </w:rPr>
        <w:t>ملف اجتماعات (مجلس الأمناء)</w:t>
      </w:r>
    </w:p>
    <w:p>
      <w:pPr>
        <w:pStyle w:val="ListBullet"/>
        <w:bidi w:val="1"/>
        <w:spacing w:after="120"/>
        <w:jc w:val="right"/>
      </w:pPr>
      <w:r>
        <w:rPr>
          <w:rFonts w:ascii="Arial" w:hAnsi="Arial" w:cs="Arial"/>
          <w:b w:val="0"/>
          <w:sz w:val="22"/>
        </w:rPr>
        <w:t>ملف المكاتب والمراسلات الصادرة (الداخلي - الخارجي).</w:t>
      </w:r>
    </w:p>
    <w:p>
      <w:pPr>
        <w:pStyle w:val="ListBullet"/>
        <w:bidi w:val="1"/>
        <w:spacing w:after="120"/>
        <w:jc w:val="right"/>
      </w:pPr>
      <w:r>
        <w:rPr>
          <w:rFonts w:ascii="Arial" w:hAnsi="Arial" w:cs="Arial"/>
          <w:b w:val="0"/>
          <w:sz w:val="22"/>
        </w:rPr>
        <w:t>العقود والانتفاقات والشراكات والتعاوض.</w:t>
      </w:r>
    </w:p>
    <w:p>
      <w:r>
        <w:br w:type="page"/>
      </w:r>
    </w:p>
    <w:p>
      <w:pPr>
        <w:bidi w:val="1"/>
        <w:spacing w:after="120"/>
        <w:jc w:val="right"/>
      </w:pPr>
      <w:r>
        <w:rPr>
          <w:rFonts w:ascii="Arial" w:hAnsi="Arial" w:cs="Arial"/>
          <w:b/>
          <w:color w:val="2E74B5"/>
          <w:sz w:val="28"/>
        </w:rPr>
        <w:t>الوثائق المالية</w:t>
      </w:r>
    </w:p>
    <w:p>
      <w:pPr>
        <w:bidi w:val="1"/>
        <w:spacing w:after="120"/>
        <w:jc w:val="right"/>
      </w:pPr>
      <w:r>
        <w:rPr>
          <w:rFonts w:ascii="Arial" w:hAnsi="Arial" w:cs="Arial"/>
          <w:b w:val="0"/>
          <w:sz w:val="22"/>
        </w:rPr>
        <w:t>تحفظ في الإدارة المالية. وتشمل:</w:t>
      </w:r>
    </w:p>
    <w:p>
      <w:pPr>
        <w:pStyle w:val="ListBullet"/>
        <w:bidi w:val="1"/>
        <w:spacing w:after="120"/>
        <w:jc w:val="right"/>
      </w:pPr>
      <w:r>
        <w:rPr>
          <w:rFonts w:ascii="Arial" w:hAnsi="Arial" w:cs="Arial"/>
          <w:b w:val="0"/>
          <w:sz w:val="22"/>
        </w:rPr>
        <w:t>السجلات المالية (بيانات الحسابات البنكية، المعاملات البنكية، الإيصالات، العهدة، الفواتير، التبرعات، التقارير، الرواتب، الشيكات).</w:t>
      </w:r>
    </w:p>
    <w:p>
      <w:pPr>
        <w:pStyle w:val="ListBullet"/>
        <w:bidi w:val="1"/>
        <w:spacing w:after="120"/>
        <w:jc w:val="right"/>
      </w:pPr>
      <w:r>
        <w:rPr>
          <w:rFonts w:ascii="Arial" w:hAnsi="Arial" w:cs="Arial"/>
          <w:b w:val="0"/>
          <w:sz w:val="22"/>
        </w:rPr>
        <w:t>سجل الممتلكات والأصول.</w:t>
      </w:r>
    </w:p>
    <w:p>
      <w:pPr>
        <w:bidi w:val="1"/>
        <w:spacing w:after="120"/>
        <w:jc w:val="right"/>
      </w:pPr>
      <w:r>
        <w:rPr>
          <w:rFonts w:ascii="Arial" w:hAnsi="Arial" w:cs="Arial"/>
          <w:b/>
          <w:color w:val="2E74B5"/>
          <w:sz w:val="28"/>
        </w:rPr>
        <w:t>وثائق الإجراءات والموارد البشرية</w:t>
      </w:r>
    </w:p>
    <w:p>
      <w:pPr>
        <w:bidi w:val="1"/>
        <w:spacing w:after="120"/>
        <w:jc w:val="right"/>
      </w:pPr>
      <w:r>
        <w:rPr>
          <w:rFonts w:ascii="Arial" w:hAnsi="Arial" w:cs="Arial"/>
          <w:b w:val="0"/>
          <w:sz w:val="22"/>
        </w:rPr>
        <w:t>تحفظ بشكل أساسي في إدارة الموارد البشرية وتنسخ لكل إدارة. وتشمل:</w:t>
      </w:r>
    </w:p>
    <w:p>
      <w:pPr>
        <w:pStyle w:val="ListBullet"/>
        <w:bidi w:val="1"/>
        <w:spacing w:after="120"/>
        <w:jc w:val="right"/>
      </w:pPr>
      <w:r>
        <w:rPr>
          <w:rFonts w:ascii="Arial" w:hAnsi="Arial" w:cs="Arial"/>
          <w:b w:val="0"/>
          <w:sz w:val="22"/>
        </w:rPr>
        <w:t>شؤون الموارد البشرية (الموظفين - التوظيف).</w:t>
      </w:r>
    </w:p>
    <w:p>
      <w:pPr>
        <w:pStyle w:val="ListBullet"/>
        <w:bidi w:val="1"/>
        <w:spacing w:after="120"/>
        <w:jc w:val="right"/>
      </w:pPr>
      <w:r>
        <w:rPr>
          <w:rFonts w:ascii="Arial" w:hAnsi="Arial" w:cs="Arial"/>
          <w:b w:val="0"/>
          <w:sz w:val="22"/>
        </w:rPr>
        <w:t>خطط وتقارير البرامج.</w:t>
      </w:r>
    </w:p>
    <w:p>
      <w:pPr>
        <w:pStyle w:val="ListBullet"/>
        <w:bidi w:val="1"/>
        <w:spacing w:after="120"/>
        <w:jc w:val="right"/>
      </w:pPr>
      <w:r>
        <w:rPr>
          <w:rFonts w:ascii="Arial" w:hAnsi="Arial" w:cs="Arial"/>
          <w:b w:val="0"/>
          <w:sz w:val="22"/>
        </w:rPr>
        <w:t>دليل الإجراءات والنماذج الإدارية.</w:t>
      </w:r>
    </w:p>
    <w:p>
      <w:pPr>
        <w:pStyle w:val="ListBullet"/>
        <w:bidi w:val="1"/>
        <w:spacing w:after="120"/>
        <w:jc w:val="right"/>
      </w:pPr>
      <w:r>
        <w:rPr>
          <w:rFonts w:ascii="Arial" w:hAnsi="Arial" w:cs="Arial"/>
          <w:b w:val="0"/>
          <w:sz w:val="22"/>
        </w:rPr>
        <w:t>التعليمات الداخلية.</w:t>
      </w:r>
    </w:p>
    <w:p>
      <w:pPr>
        <w:bidi w:val="1"/>
        <w:spacing w:after="120"/>
        <w:jc w:val="right"/>
      </w:pPr>
      <w:r>
        <w:rPr>
          <w:rFonts w:ascii="Arial" w:hAnsi="Arial" w:cs="Arial"/>
          <w:b/>
          <w:color w:val="2E74B5"/>
          <w:sz w:val="28"/>
        </w:rPr>
        <w:t>وثائق المتطوعين</w:t>
      </w:r>
    </w:p>
    <w:p>
      <w:pPr>
        <w:bidi w:val="1"/>
        <w:spacing w:after="120"/>
        <w:jc w:val="right"/>
      </w:pPr>
      <w:r>
        <w:rPr>
          <w:rFonts w:ascii="Arial" w:hAnsi="Arial" w:cs="Arial"/>
          <w:b w:val="0"/>
          <w:sz w:val="22"/>
        </w:rPr>
        <w:t>تحفظ لدى إدارة التقنية والإتصالات وإدارة الموارد البشرية قسم التطوع، ولا يسمح لأحد بالاطلاع عليها إلا بما يتوافق مع سياستنا.</w:t>
      </w:r>
    </w:p>
    <w:p>
      <w:pPr>
        <w:pStyle w:val="ListBullet"/>
        <w:bidi w:val="1"/>
        <w:spacing w:after="120"/>
        <w:jc w:val="right"/>
      </w:pPr>
      <w:r>
        <w:rPr>
          <w:rFonts w:ascii="Arial" w:hAnsi="Arial" w:cs="Arial"/>
          <w:b w:val="0"/>
          <w:sz w:val="22"/>
        </w:rPr>
        <w:t>سجل المتطوعين (البيانات الأساسية / نوع العمل المكلف / المنجزات / ساعات التطوع).</w:t>
      </w:r>
    </w:p>
    <w:p>
      <w:pPr>
        <w:pStyle w:val="ListBullet"/>
        <w:bidi w:val="1"/>
        <w:spacing w:after="120"/>
        <w:jc w:val="right"/>
      </w:pPr>
      <w:r>
        <w:rPr>
          <w:rFonts w:ascii="Arial" w:hAnsi="Arial" w:cs="Arial"/>
          <w:b w:val="0"/>
          <w:sz w:val="22"/>
        </w:rPr>
        <w:t>سجل الزوار.</w:t>
      </w:r>
    </w:p>
    <w:p>
      <w:pPr>
        <w:bidi w:val="1"/>
        <w:spacing w:after="120"/>
        <w:jc w:val="right"/>
      </w:pPr>
      <w:r>
        <w:rPr>
          <w:rFonts w:ascii="Arial" w:hAnsi="Arial" w:cs="Arial"/>
          <w:b/>
          <w:color w:val="2E74B5"/>
          <w:sz w:val="28"/>
        </w:rPr>
        <w:t>بيانات المستفيدين</w:t>
      </w:r>
    </w:p>
    <w:p>
      <w:pPr>
        <w:bidi w:val="1"/>
        <w:spacing w:after="120"/>
        <w:jc w:val="right"/>
      </w:pPr>
      <w:r>
        <w:rPr>
          <w:rFonts w:ascii="Arial" w:hAnsi="Arial" w:cs="Arial"/>
          <w:b w:val="0"/>
          <w:sz w:val="22"/>
        </w:rPr>
        <w:t>تحفظ لدى إدارة المساعدات فقط، ولا يسمح لأحد بالاطلاع عليها إلا بما يتوافق مع سياستنا واقتصاد الحاجة لذلك. وتشمل:</w:t>
      </w:r>
    </w:p>
    <w:p>
      <w:pPr>
        <w:pStyle w:val="ListBullet"/>
        <w:bidi w:val="1"/>
        <w:spacing w:after="120"/>
        <w:jc w:val="right"/>
      </w:pPr>
      <w:r>
        <w:rPr>
          <w:rFonts w:ascii="Arial" w:hAnsi="Arial" w:cs="Arial"/>
          <w:b w:val="0"/>
          <w:sz w:val="22"/>
        </w:rPr>
        <w:t>سجل المستفيدين وبياناتهم.</w:t>
      </w:r>
    </w:p>
    <w:p>
      <w:pPr>
        <w:pStyle w:val="ListBullet"/>
        <w:bidi w:val="1"/>
        <w:spacing w:after="120"/>
        <w:jc w:val="right"/>
      </w:pPr>
      <w:r>
        <w:rPr>
          <w:rFonts w:ascii="Arial" w:hAnsi="Arial" w:cs="Arial"/>
          <w:b w:val="0"/>
          <w:sz w:val="22"/>
        </w:rPr>
        <w:t>جميع وثائق المستفيدين الخاصة المطلوبة، وفقاً لملف خاص لكل مستفيد.</w:t>
      </w:r>
    </w:p>
    <w:p>
      <w:pPr>
        <w:bidi w:val="1"/>
        <w:spacing w:after="120"/>
        <w:jc w:val="right"/>
      </w:pPr>
      <w:r>
        <w:rPr>
          <w:rFonts w:ascii="Arial" w:hAnsi="Arial" w:cs="Arial"/>
          <w:b/>
          <w:color w:val="2E74B5"/>
          <w:sz w:val="28"/>
        </w:rPr>
        <w:t>المدة الخامسة: مدة الاحتفاظ بالوثائق (مدد الحفظ)</w:t>
      </w:r>
    </w:p>
    <w:tbl>
      <w:tblPr>
        <w:tblStyle w:val="TableGrid"/>
        <w:tblW w:type="auto" w:w="0"/>
        <w:tblLayout w:type="autofit"/>
        <w:tblLook w:firstColumn="1" w:firstRow="1" w:lastColumn="0" w:lastRow="0" w:noHBand="0" w:noVBand="1" w:val="04A0"/>
        <w:bidiVisual/>
      </w:tblPr>
      <w:tblGrid>
        <w:gridCol w:w="4536"/>
        <w:gridCol w:w="4536"/>
      </w:tblGrid>
      <w:tr>
        <w:tc>
          <w:tcPr>
            <w:tcW w:type="dxa" w:w="4536"/>
            <w:shd w:val="clear" w:color="auto" w:fill="DDEBF7"/>
          </w:tcPr>
          <w:p>
            <w:pPr>
              <w:bidi w:val="1"/>
              <w:jc w:val="center"/>
            </w:pPr>
            <w:r>
              <w:rPr>
                <w:rFonts w:ascii="Arial" w:hAnsi="Arial" w:cs="Arial"/>
                <w:b/>
                <w:sz w:val="22"/>
              </w:rPr>
              <w:t>السجلات/الوثائق</w:t>
            </w:r>
          </w:p>
        </w:tc>
        <w:tc>
          <w:tcPr>
            <w:tcW w:type="dxa" w:w="4536"/>
            <w:shd w:val="clear" w:color="auto" w:fill="DDEBF7"/>
          </w:tcPr>
          <w:p>
            <w:pPr>
              <w:bidi w:val="1"/>
              <w:jc w:val="center"/>
            </w:pPr>
            <w:r>
              <w:rPr>
                <w:rFonts w:ascii="Arial" w:hAnsi="Arial" w:cs="Arial"/>
                <w:b/>
                <w:sz w:val="22"/>
              </w:rPr>
              <w:t>مدة الحفظ</w:t>
            </w:r>
          </w:p>
        </w:tc>
      </w:tr>
      <w:tr>
        <w:tc>
          <w:tcPr>
            <w:tcW w:type="dxa" w:w="4536"/>
          </w:tcPr>
          <w:p>
            <w:pPr>
              <w:bidi w:val="1"/>
              <w:jc w:val="center"/>
            </w:pPr>
            <w:r>
              <w:rPr>
                <w:rFonts w:ascii="Arial" w:hAnsi="Arial" w:cs="Arial"/>
                <w:b w:val="0"/>
                <w:sz w:val="22"/>
              </w:rPr>
              <w:t>الأنشطة الأساسية للصندوق وأي لجان تنظيمية أخرى، سجل العضوية في مجلس الأمناء، سجل اجتماعات وقرارات مجلس الأمناء، سجل الممتلكات والأصول.</w:t>
            </w:r>
          </w:p>
        </w:tc>
        <w:tc>
          <w:tcPr>
            <w:tcW w:type="dxa" w:w="4536"/>
          </w:tcPr>
          <w:p>
            <w:pPr>
              <w:bidi w:val="1"/>
              <w:jc w:val="center"/>
            </w:pPr>
            <w:r>
              <w:rPr>
                <w:rFonts w:ascii="Arial" w:hAnsi="Arial" w:cs="Arial"/>
                <w:b w:val="0"/>
                <w:sz w:val="22"/>
              </w:rPr>
              <w:t>حفظ دائم</w:t>
            </w:r>
          </w:p>
        </w:tc>
      </w:tr>
      <w:tr>
        <w:tc>
          <w:tcPr>
            <w:tcW w:type="dxa" w:w="4536"/>
          </w:tcPr>
          <w:p>
            <w:pPr>
              <w:bidi w:val="1"/>
              <w:jc w:val="center"/>
            </w:pPr>
            <w:r>
              <w:rPr>
                <w:rFonts w:ascii="Arial" w:hAnsi="Arial" w:cs="Arial"/>
                <w:b w:val="0"/>
                <w:sz w:val="22"/>
              </w:rPr>
              <w:t>السجلات المالية والبنكية والعقد، سجل التبرعات، سجل الزبائن.</w:t>
            </w:r>
          </w:p>
        </w:tc>
        <w:tc>
          <w:tcPr>
            <w:tcW w:type="dxa" w:w="4536"/>
          </w:tcPr>
          <w:p>
            <w:pPr>
              <w:bidi w:val="1"/>
              <w:jc w:val="center"/>
            </w:pPr>
            <w:r>
              <w:rPr>
                <w:rFonts w:ascii="Arial" w:hAnsi="Arial" w:cs="Arial"/>
                <w:b w:val="0"/>
                <w:sz w:val="22"/>
              </w:rPr>
              <w:t>حفظ لمدة 10 سنوات</w:t>
            </w:r>
          </w:p>
        </w:tc>
      </w:tr>
      <w:tr>
        <w:tc>
          <w:tcPr>
            <w:tcW w:type="dxa" w:w="4536"/>
          </w:tcPr>
          <w:p>
            <w:pPr>
              <w:bidi w:val="1"/>
              <w:jc w:val="center"/>
            </w:pPr>
            <w:r>
              <w:rPr>
                <w:rFonts w:ascii="Arial" w:hAnsi="Arial" w:cs="Arial"/>
                <w:b w:val="0"/>
                <w:sz w:val="22"/>
              </w:rPr>
              <w:t>ملفات لحفظ كافة الفواتير والإيصالات، سجل المكاتب والرسائل.</w:t>
            </w:r>
          </w:p>
        </w:tc>
        <w:tc>
          <w:tcPr>
            <w:tcW w:type="dxa" w:w="4536"/>
          </w:tcPr>
          <w:p>
            <w:pPr>
              <w:bidi w:val="1"/>
              <w:jc w:val="center"/>
            </w:pPr>
            <w:r>
              <w:rPr>
                <w:rFonts w:ascii="Arial" w:hAnsi="Arial" w:cs="Arial"/>
                <w:b w:val="0"/>
                <w:sz w:val="22"/>
              </w:rPr>
              <w:t>حفظ لمدة 5 سنوات</w:t>
            </w:r>
          </w:p>
        </w:tc>
      </w:tr>
    </w:tbl>
    <w:p>
      <w:pPr>
        <w:spacing w:after="240"/>
      </w:pPr>
    </w:p>
    <w:p>
      <w:r>
        <w:br w:type="page"/>
      </w:r>
    </w:p>
    <w:p>
      <w:pPr>
        <w:bidi w:val="1"/>
        <w:spacing w:after="120"/>
        <w:jc w:val="right"/>
      </w:pPr>
      <w:r>
        <w:rPr>
          <w:rFonts w:ascii="Arial" w:hAnsi="Arial" w:cs="Arial"/>
          <w:b/>
          <w:color w:val="2E74B5"/>
          <w:sz w:val="28"/>
        </w:rPr>
        <w:t>المادة السابعة: إتلاف الوثائق</w:t>
      </w:r>
    </w:p>
    <w:p>
      <w:pPr>
        <w:bidi w:val="1"/>
        <w:spacing w:after="120"/>
        <w:jc w:val="right"/>
      </w:pPr>
      <w:r>
        <w:rPr>
          <w:rFonts w:ascii="Arial" w:hAnsi="Arial" w:cs="Arial"/>
          <w:b/>
          <w:color w:val="2E74B5"/>
          <w:sz w:val="28"/>
        </w:rPr>
        <w:t>۱. مسؤولية الإتلاف وتشكيل اللجنة:</w:t>
      </w:r>
    </w:p>
    <w:p>
      <w:pPr>
        <w:bidi w:val="1"/>
        <w:spacing w:after="120"/>
        <w:jc w:val="right"/>
      </w:pPr>
      <w:r>
        <w:rPr>
          <w:rFonts w:ascii="Arial" w:hAnsi="Arial" w:cs="Arial"/>
          <w:b w:val="0"/>
          <w:sz w:val="22"/>
        </w:rPr>
        <w:t>يكون الشخص المسئول عن هذه السياسة هو المدير التنفيذي. ويتم إتلاف الوثائق التي انتهت مدة حفظها وإنتقالها إلى مرحلة إتلاف بعد موافقة اللجنة من الإدارات التالية:</w:t>
      </w:r>
    </w:p>
    <w:p>
      <w:pPr>
        <w:pStyle w:val="ListBullet"/>
        <w:bidi w:val="1"/>
        <w:spacing w:after="120"/>
        <w:jc w:val="right"/>
      </w:pPr>
      <w:r>
        <w:rPr>
          <w:rFonts w:ascii="Arial" w:hAnsi="Arial" w:cs="Arial"/>
          <w:b w:val="0"/>
          <w:sz w:val="22"/>
        </w:rPr>
        <w:t>منتوب من إدارة التقنية والاتصال.</w:t>
      </w:r>
    </w:p>
    <w:p>
      <w:pPr>
        <w:pStyle w:val="ListBullet"/>
        <w:bidi w:val="1"/>
        <w:spacing w:after="120"/>
        <w:jc w:val="right"/>
      </w:pPr>
      <w:r>
        <w:rPr>
          <w:rFonts w:ascii="Arial" w:hAnsi="Arial" w:cs="Arial"/>
          <w:b w:val="0"/>
          <w:sz w:val="22"/>
        </w:rPr>
        <w:t>منتوب من الإدارة المعنية.</w:t>
      </w:r>
    </w:p>
    <w:p>
      <w:pPr>
        <w:pStyle w:val="ListBullet"/>
        <w:bidi w:val="1"/>
        <w:spacing w:after="120"/>
        <w:jc w:val="right"/>
      </w:pPr>
      <w:r>
        <w:rPr>
          <w:rFonts w:ascii="Arial" w:hAnsi="Arial" w:cs="Arial"/>
          <w:b w:val="0"/>
          <w:sz w:val="22"/>
        </w:rPr>
        <w:t>منتوب من إدارة الشؤون الإدارية والمالية.</w:t>
      </w:r>
    </w:p>
    <w:p>
      <w:pPr>
        <w:bidi w:val="1"/>
        <w:spacing w:after="120"/>
        <w:jc w:val="right"/>
      </w:pPr>
      <w:r>
        <w:rPr>
          <w:rFonts w:ascii="Arial" w:hAnsi="Arial" w:cs="Arial"/>
          <w:b w:val="0"/>
          <w:sz w:val="22"/>
        </w:rPr>
        <w:t>تعتبر اللجنة مكونة من ثلاثة أعضاء.</w:t>
      </w:r>
    </w:p>
    <w:p>
      <w:pPr>
        <w:bidi w:val="1"/>
        <w:spacing w:after="120"/>
        <w:jc w:val="right"/>
      </w:pPr>
      <w:r>
        <w:rPr>
          <w:rFonts w:ascii="Arial" w:hAnsi="Arial" w:cs="Arial"/>
          <w:b/>
          <w:color w:val="2E74B5"/>
          <w:sz w:val="28"/>
        </w:rPr>
        <w:t>۲. إجراءات الإتلاف والتوقيع:</w:t>
      </w:r>
    </w:p>
    <w:p>
      <w:pPr>
        <w:pStyle w:val="ListBullet"/>
        <w:bidi w:val="1"/>
        <w:spacing w:after="120"/>
        <w:jc w:val="right"/>
      </w:pPr>
      <w:r>
        <w:rPr>
          <w:rFonts w:ascii="Arial" w:hAnsi="Arial" w:cs="Arial"/>
          <w:b w:val="0"/>
          <w:sz w:val="22"/>
        </w:rPr>
        <w:t>طلب الإتلاف: يقوم الإدارة المطلابة بالإتلاف برفع طلب بالوثائق المراد إتلافها إلى المدير التنفيذي طبقاً لنموذج "بيان إتلاف" ويثق.</w:t>
      </w:r>
    </w:p>
    <w:p>
      <w:pPr>
        <w:pStyle w:val="ListBullet"/>
        <w:bidi w:val="1"/>
        <w:spacing w:after="120"/>
        <w:jc w:val="right"/>
      </w:pPr>
      <w:r>
        <w:rPr>
          <w:rFonts w:ascii="Arial" w:hAnsi="Arial" w:cs="Arial"/>
          <w:b w:val="0"/>
          <w:sz w:val="22"/>
        </w:rPr>
        <w:t>مصرح الإتلاف: يتم إعداد مجزر رسمي بإتلاف الوثائق.</w:t>
      </w:r>
    </w:p>
    <w:p>
      <w:pPr>
        <w:pStyle w:val="ListBullet"/>
        <w:bidi w:val="1"/>
        <w:spacing w:after="120"/>
        <w:jc w:val="right"/>
      </w:pPr>
      <w:r>
        <w:rPr>
          <w:rFonts w:ascii="Arial" w:hAnsi="Arial" w:cs="Arial"/>
          <w:b w:val="0"/>
          <w:sz w:val="22"/>
        </w:rPr>
        <w:t>التخلص الأمن: يتم التخلص من الوثائق التي صدر بها مجزر إتلاف بطريقة أمنة وتضمن خصوصية وثائق الصندوق، كما تراعي سلامة البيئة وعدام الإضرار بها أو عدم إهدار الموارد.</w:t>
      </w:r>
    </w:p>
    <w:p>
      <w:pPr>
        <w:pStyle w:val="ListBullet"/>
        <w:bidi w:val="1"/>
        <w:spacing w:after="120"/>
        <w:jc w:val="right"/>
      </w:pPr>
      <w:r>
        <w:rPr>
          <w:rFonts w:ascii="Arial" w:hAnsi="Arial" w:cs="Arial"/>
          <w:b w:val="0"/>
          <w:sz w:val="22"/>
        </w:rPr>
        <w:t>حفظ المجزر: يتم الاحتفاظ بنسخة من المجزر في الإدارة التنفيذية ونسخة للمالية والإدارة المعنية.</w:t>
      </w:r>
    </w:p>
    <w:p>
      <w:r>
        <w:br w:type="page"/>
      </w:r>
    </w:p>
    <w:p>
      <w:pPr>
        <w:bidi w:val="1"/>
        <w:spacing w:after="120"/>
        <w:jc w:val="right"/>
      </w:pPr>
      <w:r>
        <w:rPr>
          <w:rFonts w:ascii="Arial" w:hAnsi="Arial" w:cs="Arial"/>
          <w:b/>
          <w:color w:val="2E74B5"/>
          <w:sz w:val="28"/>
        </w:rPr>
        <w:t>نموذج محضر إتلاف</w:t>
      </w:r>
    </w:p>
    <w:p>
      <w:pPr>
        <w:bidi w:val="1"/>
        <w:spacing w:after="120"/>
        <w:jc w:val="right"/>
      </w:pPr>
      <w:r>
        <w:rPr>
          <w:rFonts w:ascii="Arial" w:hAnsi="Arial" w:cs="Arial"/>
          <w:b w:val="0"/>
          <w:sz w:val="22"/>
        </w:rPr>
        <w:t>تم التاكد من أن الوثائق المدرجة في بيان الإتلاف رقم ( ) والرقم الصوري منته وقيد انتبذت مدة حفظها وتمت ارسالها الكترونيا وأن جميع المعلومات في بيان الإتلاف كاملة وصحيحة حيث تمت مطابقة هذا المطلوب على الوثائق المقترحة لإتلافها ولاتنتهي مدة حفظها والتي بلغت عدد ( ) صفحة.</w:t>
      </w:r>
    </w:p>
    <w:p>
      <w:pPr>
        <w:bidi w:val="1"/>
        <w:spacing w:after="120"/>
        <w:jc w:val="right"/>
      </w:pPr>
      <w:r>
        <w:rPr>
          <w:rFonts w:ascii="Arial" w:hAnsi="Arial" w:cs="Arial"/>
          <w:b w:val="0"/>
          <w:sz w:val="22"/>
        </w:rPr>
        <w:t>وتم استثناء الوثائق التالية من الإتلاف وهي رقم:</w:t>
      </w:r>
    </w:p>
    <w:tbl>
      <w:tblPr>
        <w:tblStyle w:val="TableGrid"/>
        <w:tblW w:type="auto" w:w="0"/>
        <w:tblLayout w:type="autofit"/>
        <w:tblLook w:firstColumn="1" w:firstRow="1" w:lastColumn="0" w:lastRow="0" w:noHBand="0" w:noVBand="1" w:val="04A0"/>
        <w:bidiVisual/>
      </w:tblPr>
      <w:tblGrid>
        <w:gridCol w:w="3024"/>
        <w:gridCol w:w="3024"/>
        <w:gridCol w:w="3024"/>
      </w:tblGrid>
      <w:tr>
        <w:tc>
          <w:tcPr>
            <w:tcW w:type="dxa" w:w="3024"/>
            <w:shd w:val="clear" w:color="auto" w:fill="DDEBF7"/>
          </w:tcPr>
          <w:p>
            <w:pPr>
              <w:bidi w:val="1"/>
              <w:jc w:val="center"/>
            </w:pPr>
            <w:r>
              <w:rPr>
                <w:rFonts w:ascii="Arial" w:hAnsi="Arial" w:cs="Arial"/>
                <w:b/>
                <w:sz w:val="22"/>
              </w:rPr>
              <w:t>التوقيع</w:t>
            </w:r>
          </w:p>
        </w:tc>
        <w:tc>
          <w:tcPr>
            <w:tcW w:type="dxa" w:w="3024"/>
            <w:shd w:val="clear" w:color="auto" w:fill="DDEBF7"/>
          </w:tcPr>
          <w:p>
            <w:pPr>
              <w:bidi w:val="1"/>
              <w:jc w:val="center"/>
            </w:pPr>
            <w:r>
              <w:rPr>
                <w:rFonts w:ascii="Arial" w:hAnsi="Arial" w:cs="Arial"/>
                <w:b/>
                <w:sz w:val="22"/>
              </w:rPr>
              <w:t>الصفة داخل اللجنة</w:t>
            </w:r>
          </w:p>
        </w:tc>
        <w:tc>
          <w:tcPr>
            <w:tcW w:type="dxa" w:w="3024"/>
            <w:shd w:val="clear" w:color="auto" w:fill="DDEBF7"/>
          </w:tcPr>
          <w:p>
            <w:pPr>
              <w:bidi w:val="1"/>
              <w:jc w:val="center"/>
            </w:pPr>
            <w:r>
              <w:rPr>
                <w:rFonts w:ascii="Arial" w:hAnsi="Arial" w:cs="Arial"/>
                <w:b/>
                <w:sz w:val="22"/>
              </w:rPr>
              <w:t>اسم العضو</w:t>
            </w:r>
          </w:p>
        </w:tc>
      </w:tr>
      <w:tr>
        <w:tc>
          <w:tcPr>
            <w:tcW w:type="dxa" w:w="3024"/>
          </w:tcPr>
          <w:p>
            <w:pPr>
              <w:bidi w:val="1"/>
              <w:jc w:val="center"/>
            </w:pPr>
            <w:r>
              <w:rPr>
                <w:rFonts w:ascii="Arial" w:hAnsi="Arial" w:cs="Arial"/>
                <w:b w:val="0"/>
                <w:sz w:val="22"/>
              </w:rPr>
            </w:r>
          </w:p>
        </w:tc>
        <w:tc>
          <w:tcPr>
            <w:tcW w:type="dxa" w:w="3024"/>
          </w:tcPr>
          <w:p>
            <w:pPr>
              <w:bidi w:val="1"/>
              <w:jc w:val="center"/>
            </w:pPr>
            <w:r>
              <w:rPr>
                <w:rFonts w:ascii="Arial" w:hAnsi="Arial" w:cs="Arial"/>
                <w:b w:val="0"/>
                <w:sz w:val="22"/>
              </w:rPr>
              <w:t>رئيس لجنة الإتلاف</w:t>
            </w:r>
          </w:p>
        </w:tc>
        <w:tc>
          <w:tcPr>
            <w:tcW w:type="dxa" w:w="3024"/>
          </w:tcPr>
          <w:p>
            <w:pPr>
              <w:bidi w:val="1"/>
              <w:jc w:val="center"/>
            </w:pPr>
            <w:r>
              <w:rPr>
                <w:rFonts w:ascii="Arial" w:hAnsi="Arial" w:cs="Arial"/>
                <w:b w:val="0"/>
                <w:sz w:val="22"/>
              </w:rPr>
              <w:t>المدير التنفيذي</w:t>
            </w:r>
          </w:p>
        </w:tc>
      </w:tr>
      <w:tr>
        <w:tc>
          <w:tcPr>
            <w:tcW w:type="dxa" w:w="3024"/>
          </w:tcPr>
          <w:p>
            <w:pPr>
              <w:bidi w:val="1"/>
              <w:jc w:val="center"/>
            </w:pPr>
            <w:r>
              <w:rPr>
                <w:rFonts w:ascii="Arial" w:hAnsi="Arial" w:cs="Arial"/>
                <w:b w:val="0"/>
                <w:sz w:val="22"/>
              </w:rPr>
            </w:r>
          </w:p>
        </w:tc>
        <w:tc>
          <w:tcPr>
            <w:tcW w:type="dxa" w:w="3024"/>
          </w:tcPr>
          <w:p>
            <w:pPr>
              <w:bidi w:val="1"/>
              <w:jc w:val="center"/>
            </w:pPr>
            <w:r>
              <w:rPr>
                <w:rFonts w:ascii="Arial" w:hAnsi="Arial" w:cs="Arial"/>
                <w:b w:val="0"/>
                <w:sz w:val="22"/>
              </w:rPr>
              <w:t>مندوب الجهة المعنية</w:t>
            </w:r>
          </w:p>
        </w:tc>
        <w:tc>
          <w:tcPr>
            <w:tcW w:type="dxa" w:w="3024"/>
          </w:tcPr>
          <w:p>
            <w:pPr>
              <w:bidi w:val="1"/>
              <w:jc w:val="center"/>
            </w:pPr>
            <w:r>
              <w:rPr>
                <w:rFonts w:ascii="Arial" w:hAnsi="Arial" w:cs="Arial"/>
                <w:b w:val="0"/>
                <w:sz w:val="22"/>
              </w:rPr>
              <w:t>الاسم:</w:t>
            </w:r>
          </w:p>
        </w:tc>
      </w:tr>
      <w:tr>
        <w:tc>
          <w:tcPr>
            <w:tcW w:type="dxa" w:w="3024"/>
          </w:tcPr>
          <w:p>
            <w:pPr>
              <w:bidi w:val="1"/>
              <w:jc w:val="center"/>
            </w:pPr>
            <w:r>
              <w:rPr>
                <w:rFonts w:ascii="Arial" w:hAnsi="Arial" w:cs="Arial"/>
                <w:b w:val="0"/>
                <w:sz w:val="22"/>
              </w:rPr>
            </w:r>
          </w:p>
        </w:tc>
        <w:tc>
          <w:tcPr>
            <w:tcW w:type="dxa" w:w="3024"/>
          </w:tcPr>
          <w:p>
            <w:pPr>
              <w:bidi w:val="1"/>
              <w:jc w:val="center"/>
            </w:pPr>
            <w:r>
              <w:rPr>
                <w:rFonts w:ascii="Arial" w:hAnsi="Arial" w:cs="Arial"/>
                <w:b w:val="0"/>
                <w:sz w:val="22"/>
              </w:rPr>
              <w:t>مندوب التقنية والاتصال</w:t>
            </w:r>
          </w:p>
        </w:tc>
        <w:tc>
          <w:tcPr>
            <w:tcW w:type="dxa" w:w="3024"/>
          </w:tcPr>
          <w:p>
            <w:pPr>
              <w:bidi w:val="1"/>
              <w:jc w:val="center"/>
            </w:pPr>
            <w:r>
              <w:rPr>
                <w:rFonts w:ascii="Arial" w:hAnsi="Arial" w:cs="Arial"/>
                <w:b w:val="0"/>
                <w:sz w:val="22"/>
              </w:rPr>
              <w:t>الاسم:</w:t>
            </w:r>
          </w:p>
        </w:tc>
      </w:tr>
      <w:tr>
        <w:tc>
          <w:tcPr>
            <w:tcW w:type="dxa" w:w="3024"/>
          </w:tcPr>
          <w:p>
            <w:pPr>
              <w:bidi w:val="1"/>
              <w:jc w:val="center"/>
            </w:pPr>
            <w:r>
              <w:rPr>
                <w:rFonts w:ascii="Arial" w:hAnsi="Arial" w:cs="Arial"/>
                <w:b w:val="0"/>
                <w:sz w:val="22"/>
              </w:rPr>
            </w:r>
          </w:p>
        </w:tc>
        <w:tc>
          <w:tcPr>
            <w:tcW w:type="dxa" w:w="3024"/>
          </w:tcPr>
          <w:p>
            <w:pPr>
              <w:bidi w:val="1"/>
              <w:jc w:val="center"/>
            </w:pPr>
            <w:r>
              <w:rPr>
                <w:rFonts w:ascii="Arial" w:hAnsi="Arial" w:cs="Arial"/>
                <w:b w:val="0"/>
                <w:sz w:val="22"/>
              </w:rPr>
              <w:t>مندوب الشؤون الإدارية والمالية</w:t>
            </w:r>
          </w:p>
        </w:tc>
        <w:tc>
          <w:tcPr>
            <w:tcW w:type="dxa" w:w="3024"/>
          </w:tcPr>
          <w:p>
            <w:pPr>
              <w:bidi w:val="1"/>
              <w:jc w:val="center"/>
            </w:pPr>
            <w:r>
              <w:rPr>
                <w:rFonts w:ascii="Arial" w:hAnsi="Arial" w:cs="Arial"/>
                <w:b w:val="0"/>
                <w:sz w:val="22"/>
              </w:rPr>
              <w:t>الاسم:</w:t>
            </w:r>
          </w:p>
        </w:tc>
      </w:tr>
    </w:tbl>
    <w:p>
      <w:pPr>
        <w:spacing w:after="240"/>
      </w:pP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b w:val="0"/>
        <w:sz w:val="18"/>
      </w:rPr>
      <w:t>____________________________________________________________________</w:t>
      <w:br/>
      <w:t>صندوق آل هويمل (الألفة)        العنوان الوطني: LQJA3153 الرمز البريدي: 19247        الموقع: القويعية - المملكة العربية السعودية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Arial" w:hAnsi="Arial" w:cs="Arial"/>
        <w:b/>
        <w:sz w:val="20"/>
      </w:rPr>
      <w:t>صندوق آل هويمل (الألفة)</w:t>
      <w:br/>
      <w:t>رقم الترخيص: 1200730700</w:t>
      <w:br/>
      <w:t>____________________________________________________________________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