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40"/>
          <w:szCs w:val="40"/>
          <w:rtl/>
        </w:rPr>
        <w:t xml:space="preserve">ملف التقنيات منخفضة التكلفة</w:t>
      </w:r>
    </w:p>
    <w:p>
      <w:pPr>
        <w:bidi/>
        <w:spacing w:after="400"/>
        <w:jc w:val="center"/>
      </w:pPr>
      <w:r>
        <w:rPr>
          <w:rFonts w:ascii="Arial" w:cs="Arial" w:eastAsia="Arial" w:hAnsi="Arial"/>
          <w:color w:val="555555"/>
          <w:sz w:val="26"/>
          <w:szCs w:val="26"/>
          <w:rtl/>
        </w:rPr>
        <w:t xml:space="preserve">هندسة تقليل مصاريف التشغيل السحابي (Cost Optimization) — منصة اقتصاديه للسائقين والركاب</w:t>
      </w:r>
    </w:p>
    <w:p>
      <w:pPr>
        <w:pStyle w:val="Heading1"/>
        <w:bidi/>
        <w:spacing w:after="150" w:before="300"/>
        <w:jc w:val="right"/>
      </w:pPr>
      <w:r>
        <w:rPr>
          <w:rFonts w:ascii="Arial" w:cs="Arial" w:eastAsia="Arial" w:hAnsi="Arial"/>
          <w:rtl/>
        </w:rPr>
        <w:t xml:space="preserve">1. مقدمة</w:t>
      </w:r>
    </w:p>
    <w:p>
      <w:pPr>
        <w:bidi/>
        <w:spacing w:after="120"/>
        <w:jc w:val="right"/>
      </w:pPr>
      <w:r>
        <w:rPr>
          <w:rFonts w:ascii="Arial" w:cs="Arial" w:eastAsia="Arial" w:hAnsi="Arial"/>
          <w:rtl/>
        </w:rPr>
        <w:t xml:space="preserve">يهدف هذا الملف إلى توضيح استراتيجية هندسية لتقليل تكلفة التشغيل السحابي للمنصة إلى أدنى حد ممكن خلال مرحلة الإطلاق والنمو المبكر، من خلال الاستخدام الأمثل للباقات المجانية (Free-Tier) المتاحة من مزودي الخدمة، وتقليل الحمل الفعلي على الخوادم وقاعدة البيانات دون التأثير على جودة تجربة المستخدم.</w:t>
      </w:r>
    </w:p>
    <w:p>
      <w:pPr>
        <w:pStyle w:val="Heading1"/>
        <w:bidi/>
        <w:spacing w:after="150" w:before="300"/>
        <w:jc w:val="right"/>
      </w:pPr>
      <w:r>
        <w:rPr>
          <w:rFonts w:ascii="Arial" w:cs="Arial" w:eastAsia="Arial" w:hAnsi="Arial"/>
          <w:rtl/>
        </w:rPr>
        <w:t xml:space="preserve">2. استغلال الباقات المجانية (Free-Tier)</w:t>
      </w:r>
    </w:p>
    <w:p>
      <w:pPr>
        <w:bidi/>
        <w:spacing w:after="120"/>
        <w:jc w:val="right"/>
      </w:pPr>
      <w:r>
        <w:rPr>
          <w:rFonts w:ascii="Arial" w:cs="Arial" w:eastAsia="Arial" w:hAnsi="Arial"/>
          <w:rtl/>
        </w:rPr>
        <w:t xml:space="preserve">تتيح كل من Supabase وFirebase وVercel/Netlify باقات مجانية سخية تكفي لتشغيل المنصة بالكامل في مراحلها الأولى إذا استُخدمت بكفاءة. الجدول التالي يلخص الحدود التقريبية وإجراءات الحماية المقترحة لكل خدمة:</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c>
          <w:tcPr>
            <w:tcW w:type="dxa" w:w="28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الخدمة</w:t>
            </w:r>
          </w:p>
        </w:tc>
        <w:tc>
          <w:tcPr>
            <w:tcW w:type="dxa" w:w="36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حد الباقة المجانية (تقريبي)</w:t>
            </w:r>
          </w:p>
        </w:tc>
        <w:tc>
          <w:tcPr>
            <w:tcW w:type="dxa" w:w="3506"/>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إجراء الحماية المقترح</w:t>
            </w:r>
          </w:p>
        </w:tc>
      </w:tr>
      <w:tr>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Supabase Free-Tier</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500 MB قاعدة بيانات، 1 GB تخزين ملفات، 2 GB نقل بيانات شهريًا</w:t>
            </w:r>
          </w:p>
        </w:tc>
        <w:tc>
          <w:tcPr>
            <w:tcW w:type="dxa" w:w="35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ضغط الصور قبل الرفع، أرشفة السجلات القديمة، تنبيه عند بلوغ 80% من الحد</w:t>
            </w:r>
          </w:p>
        </w:tc>
      </w:tr>
      <w:tr>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Firebase Spark Plan</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1 GB تخزين Firestore، 10 GB نقل بيانات شهريًا، حد يومي على القراءة/الكتابة</w:t>
            </w:r>
          </w:p>
        </w:tc>
        <w:tc>
          <w:tcPr>
            <w:tcW w:type="dxa" w:w="35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تقليل استدعاءات القراءة عبر التخزين المؤقت، تجميع التحديثات بدل الاستدعاء الفردي</w:t>
            </w:r>
          </w:p>
        </w:tc>
      </w:tr>
      <w:tr>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Vercel/Netlify Free</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100 GB نقل بيانات شهريًا، دقائق بناء محدودة</w:t>
            </w:r>
          </w:p>
        </w:tc>
        <w:tc>
          <w:tcPr>
            <w:tcW w:type="dxa" w:w="35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تحسين حجم الحزمة (Bundle Size)، تفعيل التخزين المؤقت للصفحات الثابتة (Static Caching)</w:t>
            </w:r>
          </w:p>
        </w:tc>
      </w:tr>
      <w:tr>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Firebase Cloud Messaging</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مجاني بالكامل تقريبًا لكن بحدود معدل الإرسال</w:t>
            </w:r>
          </w:p>
        </w:tc>
        <w:tc>
          <w:tcPr>
            <w:tcW w:type="dxa" w:w="35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تجميع الإشعارات المتشابهة بدل إرسال منفصل لكل مستخدم</w:t>
            </w:r>
          </w:p>
        </w:tc>
      </w:tr>
    </w:tbl>
    <w:p>
      <w:pPr>
        <w:spacing w:after="300"/>
      </w:pPr>
    </w:p>
    <w:p>
      <w:pPr>
        <w:pStyle w:val="Heading1"/>
        <w:bidi/>
        <w:spacing w:after="150" w:before="300"/>
        <w:jc w:val="right"/>
      </w:pPr>
      <w:r>
        <w:rPr>
          <w:rFonts w:ascii="Arial" w:cs="Arial" w:eastAsia="Arial" w:hAnsi="Arial"/>
          <w:rtl/>
        </w:rPr>
        <w:t xml:space="preserve">3. تحسين استدعاءات الخوادم (API Call Optimization)</w:t>
      </w:r>
    </w:p>
    <w:p>
      <w:pPr>
        <w:pStyle w:val="ListParagraph"/>
        <w:numPr>
          <w:ilvl w:val="0"/>
          <w:numId w:val="2"/>
        </w:numPr>
        <w:bidi/>
        <w:spacing w:after="80"/>
        <w:jc w:val="right"/>
      </w:pPr>
      <w:r>
        <w:rPr>
          <w:rFonts w:ascii="Arial" w:cs="Arial" w:eastAsia="Arial" w:hAnsi="Arial"/>
          <w:rtl/>
        </w:rPr>
        <w:t xml:space="preserve">التخزين المؤقت (Caching): تخزين نتائج الاستعلامات المتكررة وغير سريعة التغير (مثل قوائم المناطق أو إعدادات النظام) محليًا لتقليل عدد الاستدعاءات المباشرة لقاعدة البيانات.</w:t>
      </w:r>
    </w:p>
    <w:p>
      <w:pPr>
        <w:pStyle w:val="ListParagraph"/>
        <w:numPr>
          <w:ilvl w:val="0"/>
          <w:numId w:val="2"/>
        </w:numPr>
        <w:bidi/>
        <w:spacing w:after="80"/>
        <w:jc w:val="right"/>
      </w:pPr>
      <w:r>
        <w:rPr>
          <w:rFonts w:ascii="Arial" w:cs="Arial" w:eastAsia="Arial" w:hAnsi="Arial"/>
          <w:rtl/>
        </w:rPr>
        <w:t xml:space="preserve">تجميع الطلبات (Batching): دمج عدة عمليات كتابة صغيرة في عملية واحدة بدل إرسال استدعاء منفصل لكل تغيير، خصوصًا في تحديثات الموقع اللحظي للسائقين.</w:t>
      </w:r>
    </w:p>
    <w:p>
      <w:pPr>
        <w:pStyle w:val="ListParagraph"/>
        <w:numPr>
          <w:ilvl w:val="0"/>
          <w:numId w:val="2"/>
        </w:numPr>
        <w:bidi/>
        <w:spacing w:after="80"/>
        <w:jc w:val="right"/>
      </w:pPr>
      <w:r>
        <w:rPr>
          <w:rFonts w:ascii="Arial" w:cs="Arial" w:eastAsia="Arial" w:hAnsi="Arial"/>
          <w:rtl/>
        </w:rPr>
        <w:t xml:space="preserve">التحكم في معدل تحديث الموقع (Throttling/Debouncing): إرسال إحداثيات موقع السائق كل 5-10 ثوانٍ بدل كل ثانية، مع تقليل التردد تلقائيًا عندما يكون السائق متوقفًا أو بلا طلبات نشطة.</w:t>
      </w:r>
    </w:p>
    <w:p>
      <w:pPr>
        <w:pStyle w:val="ListParagraph"/>
        <w:numPr>
          <w:ilvl w:val="0"/>
          <w:numId w:val="2"/>
        </w:numPr>
        <w:bidi/>
        <w:spacing w:after="80"/>
        <w:jc w:val="right"/>
      </w:pPr>
      <w:r>
        <w:rPr>
          <w:rFonts w:ascii="Arial" w:cs="Arial" w:eastAsia="Arial" w:hAnsi="Arial"/>
          <w:rtl/>
        </w:rPr>
        <w:t xml:space="preserve">الترقيم الصفحي (Pagination): جلب البيانات على دفعات صغيرة في شاشات التقارير وسجلات النشاطات بدل تحميل كل السجلات دفعة واحدة.</w:t>
      </w:r>
    </w:p>
    <w:p>
      <w:pPr>
        <w:pStyle w:val="ListParagraph"/>
        <w:numPr>
          <w:ilvl w:val="0"/>
          <w:numId w:val="2"/>
        </w:numPr>
        <w:bidi/>
        <w:spacing w:after="80"/>
        <w:jc w:val="right"/>
      </w:pPr>
      <w:r>
        <w:rPr>
          <w:rFonts w:ascii="Arial" w:cs="Arial" w:eastAsia="Arial" w:hAnsi="Arial"/>
          <w:rtl/>
        </w:rPr>
        <w:t xml:space="preserve">قنوات Realtime مخصصة النطاق: الاشتراك في تحديثات لحظية خاصة بمنطقة جغرافية أو رحلة معينة فقط، بدل الاستماع لكل التغييرات على مستوى المنصة.</w:t>
      </w:r>
    </w:p>
    <w:p>
      <w:pPr>
        <w:pStyle w:val="Heading1"/>
        <w:bidi/>
        <w:spacing w:after="150" w:before="300"/>
        <w:jc w:val="right"/>
      </w:pPr>
      <w:r>
        <w:rPr>
          <w:rFonts w:ascii="Arial" w:cs="Arial" w:eastAsia="Arial" w:hAnsi="Arial"/>
          <w:rtl/>
        </w:rPr>
        <w:t xml:space="preserve">4. ضغط صور وثائق السائقين</w:t>
      </w:r>
    </w:p>
    <w:p>
      <w:pPr>
        <w:pStyle w:val="ListParagraph"/>
        <w:numPr>
          <w:ilvl w:val="0"/>
          <w:numId w:val="2"/>
        </w:numPr>
        <w:bidi/>
        <w:spacing w:after="80"/>
        <w:jc w:val="right"/>
      </w:pPr>
      <w:r>
        <w:rPr>
          <w:rFonts w:ascii="Arial" w:cs="Arial" w:eastAsia="Arial" w:hAnsi="Arial"/>
          <w:rtl/>
        </w:rPr>
        <w:t xml:space="preserve">ضغط الصورة في المتصفح/التطبيق قبل الرفع (Client-side Compression) باستخدام مكتبات خفيفة، بحيث لا تتجاوز أي وثيقة (رخصة، بطاقة، استمارة) حجم 200 كيلوبايت مع الحفاظ على وضوح كافٍ للمراجعة اليدوية والتحقق الآلي (OCR) إن استُخدم مستقبلاً.</w:t>
      </w:r>
    </w:p>
    <w:p>
      <w:pPr>
        <w:pStyle w:val="ListParagraph"/>
        <w:numPr>
          <w:ilvl w:val="0"/>
          <w:numId w:val="2"/>
        </w:numPr>
        <w:bidi/>
        <w:spacing w:after="80"/>
        <w:jc w:val="right"/>
      </w:pPr>
      <w:r>
        <w:rPr>
          <w:rFonts w:ascii="Arial" w:cs="Arial" w:eastAsia="Arial" w:hAnsi="Arial"/>
          <w:rtl/>
        </w:rPr>
        <w:t xml:space="preserve">تحويل الصور لصيغة WebP بدل JPEG/PNG حيثما أمكن، لتقليل الحجم بنسبة تصل إلى 30-50% دون فقدان ملحوظ في الجودة.</w:t>
      </w:r>
    </w:p>
    <w:p>
      <w:pPr>
        <w:pStyle w:val="ListParagraph"/>
        <w:numPr>
          <w:ilvl w:val="0"/>
          <w:numId w:val="2"/>
        </w:numPr>
        <w:bidi/>
        <w:spacing w:after="80"/>
        <w:jc w:val="right"/>
      </w:pPr>
      <w:r>
        <w:rPr>
          <w:rFonts w:ascii="Arial" w:cs="Arial" w:eastAsia="Arial" w:hAnsi="Arial"/>
          <w:rtl/>
        </w:rPr>
        <w:t xml:space="preserve">إعادة تحجيم الصورة تلقائيًا لأقصى أبعاد مطلوبة فعليًا للمراجعة (مثلاً 1200×1200 بكسل كحد أقصى) بدلاً من رفع الصورة بدقتها الأصلية من الكاميرا.</w:t>
      </w:r>
    </w:p>
    <w:p>
      <w:pPr>
        <w:pStyle w:val="ListParagraph"/>
        <w:numPr>
          <w:ilvl w:val="0"/>
          <w:numId w:val="2"/>
        </w:numPr>
        <w:bidi/>
        <w:spacing w:after="80"/>
        <w:jc w:val="right"/>
      </w:pPr>
      <w:r>
        <w:rPr>
          <w:rFonts w:ascii="Arial" w:cs="Arial" w:eastAsia="Arial" w:hAnsi="Arial"/>
          <w:rtl/>
        </w:rPr>
        <w:t xml:space="preserve">هذا الإجراء وحده يقلل استهلاك مساحة التخزين السحابي بشكل كبير، ويُبقي المنصة ضمن حدود الباقة المجانية لفترة أطول حتى مع نمو عدد السائقين المسجلين.</w:t>
      </w:r>
    </w:p>
    <w:p>
      <w:pPr>
        <w:pStyle w:val="Heading1"/>
        <w:bidi/>
        <w:spacing w:after="150" w:before="300"/>
        <w:jc w:val="right"/>
      </w:pPr>
      <w:r>
        <w:rPr>
          <w:rFonts w:ascii="Arial" w:cs="Arial" w:eastAsia="Arial" w:hAnsi="Arial"/>
          <w:rtl/>
        </w:rPr>
        <w:t xml:space="preserve">5. تخفيف الحمل على قاعدة البيانات</w:t>
      </w:r>
    </w:p>
    <w:p>
      <w:pPr>
        <w:pStyle w:val="ListParagraph"/>
        <w:numPr>
          <w:ilvl w:val="0"/>
          <w:numId w:val="2"/>
        </w:numPr>
        <w:bidi/>
        <w:spacing w:after="80"/>
        <w:jc w:val="right"/>
      </w:pPr>
      <w:r>
        <w:rPr>
          <w:rFonts w:ascii="Arial" w:cs="Arial" w:eastAsia="Arial" w:hAnsi="Arial"/>
          <w:rtl/>
        </w:rPr>
        <w:t xml:space="preserve">فهرسة (Indexing) الحقول الأكثر استخدامًا في البحث والتصفية (حالة الرحلة، معرّف المنطقة، تاريخ الإنشاء) لتسريع الاستعلامات وتقليل زمن المعالجة.</w:t>
      </w:r>
    </w:p>
    <w:p>
      <w:pPr>
        <w:pStyle w:val="ListParagraph"/>
        <w:numPr>
          <w:ilvl w:val="0"/>
          <w:numId w:val="2"/>
        </w:numPr>
        <w:bidi/>
        <w:spacing w:after="80"/>
        <w:jc w:val="right"/>
      </w:pPr>
      <w:r>
        <w:rPr>
          <w:rFonts w:ascii="Arial" w:cs="Arial" w:eastAsia="Arial" w:hAnsi="Arial"/>
          <w:rtl/>
        </w:rPr>
        <w:t xml:space="preserve">أرشفة الرحلات والسجلات المكتملة الأقدم من فترة معينة (مثل 6 أشهر) إلى جدول أو تخزين منفصل أرخص، بدل إبقائها في الجدول التشغيلي الرئيسي.</w:t>
      </w:r>
    </w:p>
    <w:p>
      <w:pPr>
        <w:pStyle w:val="ListParagraph"/>
        <w:numPr>
          <w:ilvl w:val="0"/>
          <w:numId w:val="2"/>
        </w:numPr>
        <w:bidi/>
        <w:spacing w:after="80"/>
        <w:jc w:val="right"/>
      </w:pPr>
      <w:r>
        <w:rPr>
          <w:rFonts w:ascii="Arial" w:cs="Arial" w:eastAsia="Arial" w:hAnsi="Arial"/>
          <w:rtl/>
        </w:rPr>
        <w:t xml:space="preserve">استخدام Connection Pooling لتقليل عدد الاتصالات المتزامنة المفتوحة بقاعدة البيانات، خصوصًا عند نمو عدد المستخدمين المتصلين لحظيًا.</w:t>
      </w:r>
    </w:p>
    <w:p>
      <w:pPr>
        <w:pStyle w:val="ListParagraph"/>
        <w:numPr>
          <w:ilvl w:val="0"/>
          <w:numId w:val="2"/>
        </w:numPr>
        <w:bidi/>
        <w:spacing w:after="80"/>
        <w:jc w:val="right"/>
      </w:pPr>
      <w:r>
        <w:rPr>
          <w:rFonts w:ascii="Arial" w:cs="Arial" w:eastAsia="Arial" w:hAnsi="Arial"/>
          <w:rtl/>
        </w:rPr>
        <w:t xml:space="preserve">مراقبة دورية لأبطأ الاستعلامات (Slow Query Log) وإعادة كتابتها أو تبسيطها قبل أن تتحول إلى عنق زجاجة مع نمو حجم البيانات.</w:t>
      </w:r>
    </w:p>
    <w:p>
      <w:pPr>
        <w:pStyle w:val="Heading1"/>
        <w:bidi/>
        <w:spacing w:after="150" w:before="300"/>
        <w:jc w:val="right"/>
      </w:pPr>
      <w:r>
        <w:rPr>
          <w:rFonts w:ascii="Arial" w:cs="Arial" w:eastAsia="Arial" w:hAnsi="Arial"/>
          <w:rtl/>
        </w:rPr>
        <w:t xml:space="preserve">6. الأثر المتوقع</w:t>
      </w:r>
    </w:p>
    <w:p>
      <w:pPr>
        <w:bidi/>
        <w:spacing w:after="120"/>
        <w:jc w:val="right"/>
      </w:pPr>
      <w:r>
        <w:rPr>
          <w:rFonts w:ascii="Arial" w:cs="Arial" w:eastAsia="Arial" w:hAnsi="Arial"/>
          <w:rtl/>
        </w:rPr>
        <w:t xml:space="preserve">تطبيق هذه الإجراءات مجتمعة يتيح تشغيل المنصة بالكامل على الباقات المجانية لفترة أطول ملحوظة قبل الحاجة للترقية لباقات مدفوعة، وهو ما يمنح المشروع هامش زمني كافٍ لاختبار السوق وتحقيق إيرادات فعلية (وفق النماذج الموضحة في ملف مصادر الدخل) قبل تحمّل أي تكاليف تشغيل سحابي ثابتة.</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2026-09-20T14:38:19.543Z</dcterms:created>
  <dcterms:modified xsi:type="dcterms:W3CDTF">2026-09-20T14:38:19.544Z</dcterms:modified>
</cp:coreProperties>
</file>

<file path=docProps/custom.xml><?xml version="1.0" encoding="utf-8"?>
<Properties xmlns="http://schemas.openxmlformats.org/officeDocument/2006/custom-properties" xmlns:vt="http://schemas.openxmlformats.org/officeDocument/2006/docPropsVTypes"/>
</file>