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Arial" w:cs="Arial" w:eastAsia="Arial" w:hAnsi="Arial"/>
          <w:b/>
          <w:bCs/>
          <w:sz w:val="40"/>
          <w:szCs w:val="40"/>
          <w:rtl/>
        </w:rPr>
        <w:t xml:space="preserve">ملف النظام المالي</w:t>
      </w:r>
    </w:p>
    <w:p>
      <w:pPr>
        <w:bidi/>
        <w:spacing w:after="400"/>
        <w:jc w:val="center"/>
      </w:pPr>
      <w:r>
        <w:rPr>
          <w:rFonts w:ascii="Arial" w:cs="Arial" w:eastAsia="Arial" w:hAnsi="Arial"/>
          <w:color w:val="555555"/>
          <w:sz w:val="26"/>
          <w:szCs w:val="26"/>
          <w:rtl/>
        </w:rPr>
        <w:t xml:space="preserve">دورة الأموال، التسويات، والمحافظ الرقمية — منصة اقتصاديه للسائقين والركاب</w:t>
      </w:r>
    </w:p>
    <w:p>
      <w:pPr>
        <w:pStyle w:val="Heading1"/>
        <w:bidi/>
        <w:spacing w:after="150" w:before="300"/>
        <w:jc w:val="right"/>
      </w:pPr>
      <w:r>
        <w:rPr>
          <w:rFonts w:ascii="Arial" w:cs="Arial" w:eastAsia="Arial" w:hAnsi="Arial"/>
          <w:rtl/>
        </w:rPr>
        <w:t xml:space="preserve">1. مقدمة</w:t>
      </w:r>
    </w:p>
    <w:p>
      <w:pPr>
        <w:bidi/>
        <w:spacing w:after="120"/>
        <w:jc w:val="right"/>
      </w:pPr>
      <w:r>
        <w:rPr>
          <w:rFonts w:ascii="Arial" w:cs="Arial" w:eastAsia="Arial" w:hAnsi="Arial"/>
          <w:rtl/>
        </w:rPr>
        <w:t xml:space="preserve">يوضح هذا الملف التصميم المالي لدورة الأموال داخل المنصة، بدءًا من لحظة دفع الراكب وحتى استلام كل طرف مستحقاته، مع التركيز على حالة خاصة وهي الخدمات الإضافية مثل خيار الاستعانة بعمال أثناء نقل الأثاث. كما يغطي الملف إدارة المحافظ الرقمية وآلية تتبع المبالغ المتداولة لضمان شفافية مالية كاملة قابلة للتدقيق في أي وقت.</w:t>
      </w:r>
    </w:p>
    <w:p>
      <w:pPr>
        <w:pStyle w:val="Heading1"/>
        <w:bidi/>
        <w:spacing w:after="150" w:before="300"/>
        <w:jc w:val="right"/>
      </w:pPr>
      <w:r>
        <w:rPr>
          <w:rFonts w:ascii="Arial" w:cs="Arial" w:eastAsia="Arial" w:hAnsi="Arial"/>
          <w:rtl/>
        </w:rPr>
        <w:t xml:space="preserve">2. دورة الأموال داخل المنصة</w:t>
      </w:r>
    </w:p>
    <w:p>
      <w:pPr>
        <w:bidi/>
        <w:spacing w:after="120"/>
        <w:jc w:val="right"/>
      </w:pPr>
      <w:r>
        <w:rPr>
          <w:rFonts w:ascii="Arial" w:cs="Arial" w:eastAsia="Arial" w:hAnsi="Arial"/>
          <w:rtl/>
        </w:rPr>
        <w:t xml:space="preserve">تمر كل عملية دفع داخل المنصة بأربع مراحل رئيسية:</w:t>
      </w:r>
    </w:p>
    <w:p>
      <w:pPr>
        <w:pStyle w:val="ListParagraph"/>
        <w:numPr>
          <w:ilvl w:val="0"/>
          <w:numId w:val="2"/>
        </w:numPr>
        <w:bidi/>
        <w:spacing w:after="100"/>
        <w:jc w:val="right"/>
      </w:pPr>
      <w:r>
        <w:rPr>
          <w:rFonts w:ascii="Arial" w:cs="Arial" w:eastAsia="Arial" w:hAnsi="Arial"/>
          <w:rtl/>
        </w:rPr>
        <w:t xml:space="preserve">الحجز والتسعير: يتم احتساب القيمة الإجمالية للطلب (رسوم فتح العداد + سعر الكيلومتر + أي خدمات إضافية مثل العمالة) وعرضها على الراكب قبل التأكيد.</w:t>
      </w:r>
    </w:p>
    <w:p>
      <w:pPr>
        <w:pStyle w:val="ListParagraph"/>
        <w:numPr>
          <w:ilvl w:val="0"/>
          <w:numId w:val="2"/>
        </w:numPr>
        <w:bidi/>
        <w:spacing w:after="100"/>
        <w:jc w:val="right"/>
      </w:pPr>
      <w:r>
        <w:rPr>
          <w:rFonts w:ascii="Arial" w:cs="Arial" w:eastAsia="Arial" w:hAnsi="Arial"/>
          <w:rtl/>
        </w:rPr>
        <w:t xml:space="preserve">التحصيل: يُحصَّل المبلغ إما نقدًا مباشرة من الراكب للسائق، أو إلكترونيًا عبر المحفظة الرقمية للمنصة، حسب وسيلة الدفع المختارة.</w:t>
      </w:r>
    </w:p>
    <w:p>
      <w:pPr>
        <w:pStyle w:val="ListParagraph"/>
        <w:numPr>
          <w:ilvl w:val="0"/>
          <w:numId w:val="2"/>
        </w:numPr>
        <w:bidi/>
        <w:spacing w:after="100"/>
        <w:jc w:val="right"/>
      </w:pPr>
      <w:r>
        <w:rPr>
          <w:rFonts w:ascii="Arial" w:cs="Arial" w:eastAsia="Arial" w:hAnsi="Arial"/>
          <w:rtl/>
        </w:rPr>
        <w:t xml:space="preserve">الاحتجاز المؤقت (Escrow/Hold): في حالة الدفع الإلكتروني، يُحتجز المبلغ في محفظة وسيطة تابعة للمنصة حتى تأكيد اكتمال الخدمة، لحماية الطرفين من النزاعات.</w:t>
      </w:r>
    </w:p>
    <w:p>
      <w:pPr>
        <w:pStyle w:val="ListParagraph"/>
        <w:numPr>
          <w:ilvl w:val="0"/>
          <w:numId w:val="2"/>
        </w:numPr>
        <w:bidi/>
        <w:spacing w:after="100"/>
        <w:jc w:val="right"/>
      </w:pPr>
      <w:r>
        <w:rPr>
          <w:rFonts w:ascii="Arial" w:cs="Arial" w:eastAsia="Arial" w:hAnsi="Arial"/>
          <w:rtl/>
        </w:rPr>
        <w:t xml:space="preserve">التسوية والتحويل: بعد اكتمال الرحلة، تُقسَّم المبالغ آليًا بين مستحقات السائق، مستحقات عامل الشحن إن وُجد، وحصة المنصة من الرسوم الثابتة فقط (دون عمولة على أجرة السائق).</w:t>
      </w:r>
    </w:p>
    <w:p>
      <w:pPr>
        <w:pStyle w:val="Heading1"/>
        <w:bidi/>
        <w:spacing w:after="150" w:before="300"/>
        <w:jc w:val="right"/>
      </w:pPr>
      <w:r>
        <w:rPr>
          <w:rFonts w:ascii="Arial" w:cs="Arial" w:eastAsia="Arial" w:hAnsi="Arial"/>
          <w:rtl/>
        </w:rPr>
        <w:t xml:space="preserve">3. التسويات المالية للخدمات الإضافية (نقل الأثاث)</w:t>
      </w:r>
    </w:p>
    <w:p>
      <w:pPr>
        <w:bidi/>
        <w:spacing w:after="120"/>
        <w:jc w:val="right"/>
      </w:pPr>
      <w:r>
        <w:rPr>
          <w:rFonts w:ascii="Arial" w:cs="Arial" w:eastAsia="Arial" w:hAnsi="Arial"/>
          <w:rtl/>
        </w:rPr>
        <w:t xml:space="preserve">عند اختيار الراكب خيار الاستعانة بعمال أثناء خدمة نقل الأثاث، يضيف النظام طرفًا ماليًا ثالثًا إلى المعادلة إلى جانب الراكب والسائق:</w:t>
      </w:r>
    </w:p>
    <w:p>
      <w:pPr>
        <w:pStyle w:val="ListParagraph"/>
        <w:numPr>
          <w:ilvl w:val="0"/>
          <w:numId w:val="3"/>
        </w:numPr>
        <w:bidi/>
        <w:spacing w:after="80"/>
        <w:jc w:val="right"/>
      </w:pPr>
      <w:r>
        <w:rPr>
          <w:rFonts w:ascii="Arial" w:cs="Arial" w:eastAsia="Arial" w:hAnsi="Arial"/>
          <w:rtl/>
        </w:rPr>
        <w:t xml:space="preserve">يُحدَّد أجر العمالة بشكل منفصل عن أجرة النقل، إما كقيمة ثابتة لكل عامل أو حسب عدد ساعات/عدد قطع الأثاث، ويظهر بندًا مستقلاً في فاتورة الراكب.</w:t>
      </w:r>
    </w:p>
    <w:p>
      <w:pPr>
        <w:pStyle w:val="ListParagraph"/>
        <w:numPr>
          <w:ilvl w:val="0"/>
          <w:numId w:val="3"/>
        </w:numPr>
        <w:bidi/>
        <w:spacing w:after="80"/>
        <w:jc w:val="right"/>
      </w:pPr>
      <w:r>
        <w:rPr>
          <w:rFonts w:ascii="Arial" w:cs="Arial" w:eastAsia="Arial" w:hAnsi="Arial"/>
          <w:rtl/>
        </w:rPr>
        <w:t xml:space="preserve">عند اكتمال الخدمة، يوزَّع المبلغ المحصَّل آليًا: مستحقات السائق (أجرة النقل) تذهب لمحفظة السائق، ومستحقات العمالة تذهب لمحفظة العامل أو تُضاف كرصيد إضافي لحساب السائق إن كان هو من يوفر العمالة مباشرة.</w:t>
      </w:r>
    </w:p>
    <w:p>
      <w:pPr>
        <w:pStyle w:val="ListParagraph"/>
        <w:numPr>
          <w:ilvl w:val="0"/>
          <w:numId w:val="3"/>
        </w:numPr>
        <w:bidi/>
        <w:spacing w:after="80"/>
        <w:jc w:val="right"/>
      </w:pPr>
      <w:r>
        <w:rPr>
          <w:rFonts w:ascii="Arial" w:cs="Arial" w:eastAsia="Arial" w:hAnsi="Arial"/>
          <w:rtl/>
        </w:rPr>
        <w:t xml:space="preserve">يحتفظ النظام بسجل تفصيلي منفصل لكل بند (نقل / عمالة) لأغراض المحاسبة والتقارير، حتى لو تم الدفع في معاملة واحدة.</w:t>
      </w:r>
    </w:p>
    <w:p>
      <w:pPr>
        <w:pStyle w:val="ListParagraph"/>
        <w:numPr>
          <w:ilvl w:val="0"/>
          <w:numId w:val="3"/>
        </w:numPr>
        <w:bidi/>
        <w:spacing w:after="80"/>
        <w:jc w:val="right"/>
      </w:pPr>
      <w:r>
        <w:rPr>
          <w:rFonts w:ascii="Arial" w:cs="Arial" w:eastAsia="Arial" w:hAnsi="Arial"/>
          <w:rtl/>
        </w:rPr>
        <w:t xml:space="preserve">في حال حدوث نزاع على جودة خدمة العمالة تحديدًا، يمكن للإدارة عبر لوحة التحكم حجز أو استرجاع بند العمالة فقط دون التأثير على مستحقات السائق عن الرحلة.</w:t>
      </w:r>
    </w:p>
    <w:p>
      <w:pPr>
        <w:pStyle w:val="Heading1"/>
        <w:bidi/>
        <w:spacing w:after="150" w:before="300"/>
        <w:jc w:val="right"/>
      </w:pPr>
      <w:r>
        <w:rPr>
          <w:rFonts w:ascii="Arial" w:cs="Arial" w:eastAsia="Arial" w:hAnsi="Arial"/>
          <w:rtl/>
        </w:rPr>
        <w:t xml:space="preserve">4. إدارة المحافظ الرقمية (Wallets)</w:t>
      </w:r>
    </w:p>
    <w:p>
      <w:pPr>
        <w:pStyle w:val="ListParagraph"/>
        <w:numPr>
          <w:ilvl w:val="0"/>
          <w:numId w:val="3"/>
        </w:numPr>
        <w:bidi/>
        <w:spacing w:after="80"/>
        <w:jc w:val="right"/>
      </w:pPr>
      <w:r>
        <w:rPr>
          <w:rFonts w:ascii="Arial" w:cs="Arial" w:eastAsia="Arial" w:hAnsi="Arial"/>
          <w:rtl/>
        </w:rPr>
        <w:t xml:space="preserve">محفظة السائق: تستقبل صافي أرباح الرحلات، وتتيح طلب سحب الرصيد إلى حساب بنكي أو محفظة إلكترونية بحد أدنى قابل للتخصيص من لوحة التحكم.</w:t>
      </w:r>
    </w:p>
    <w:p>
      <w:pPr>
        <w:pStyle w:val="ListParagraph"/>
        <w:numPr>
          <w:ilvl w:val="0"/>
          <w:numId w:val="3"/>
        </w:numPr>
        <w:bidi/>
        <w:spacing w:after="80"/>
        <w:jc w:val="right"/>
      </w:pPr>
      <w:r>
        <w:rPr>
          <w:rFonts w:ascii="Arial" w:cs="Arial" w:eastAsia="Arial" w:hAnsi="Arial"/>
          <w:rtl/>
        </w:rPr>
        <w:t xml:space="preserve">محفظة الراكب: رصيد اختياري يمكن شحنه مسبقًا لتسريع عملية الدفع وتقليل الاعتماد على الكاش.</w:t>
      </w:r>
    </w:p>
    <w:p>
      <w:pPr>
        <w:pStyle w:val="ListParagraph"/>
        <w:numPr>
          <w:ilvl w:val="0"/>
          <w:numId w:val="3"/>
        </w:numPr>
        <w:bidi/>
        <w:spacing w:after="80"/>
        <w:jc w:val="right"/>
      </w:pPr>
      <w:r>
        <w:rPr>
          <w:rFonts w:ascii="Arial" w:cs="Arial" w:eastAsia="Arial" w:hAnsi="Arial"/>
          <w:rtl/>
        </w:rPr>
        <w:t xml:space="preserve">محفظة المنصة (Escrow الوسيطة): تحتجز المبالغ المدفوعة إلكترونيًا حتى اكتمال الخدمة، وتوزَّع تلقائيًا حسب قواعد التسوية في القسم الثالث.</w:t>
      </w:r>
    </w:p>
    <w:p>
      <w:pPr>
        <w:pStyle w:val="ListParagraph"/>
        <w:numPr>
          <w:ilvl w:val="0"/>
          <w:numId w:val="3"/>
        </w:numPr>
        <w:bidi/>
        <w:spacing w:after="80"/>
        <w:jc w:val="right"/>
      </w:pPr>
      <w:r>
        <w:rPr>
          <w:rFonts w:ascii="Arial" w:cs="Arial" w:eastAsia="Arial" w:hAnsi="Arial"/>
          <w:rtl/>
        </w:rPr>
        <w:t xml:space="preserve">سجل حركات كل محفظة (Ledger): كل عملية إيداع أو سحب أو تحويل تُسجَّل بطابع زمني ومرجع للعملية الأصلية، بما يتيح تتبع أي مبلغ من لحظة دخوله حتى خروجه من النظام.</w:t>
      </w:r>
    </w:p>
    <w:p>
      <w:pPr>
        <w:pStyle w:val="Heading1"/>
        <w:bidi/>
        <w:spacing w:after="150" w:before="300"/>
        <w:jc w:val="right"/>
      </w:pPr>
      <w:r>
        <w:rPr>
          <w:rFonts w:ascii="Arial" w:cs="Arial" w:eastAsia="Arial" w:hAnsi="Arial"/>
          <w:rtl/>
        </w:rPr>
        <w:t xml:space="preserve">5. تتبع المبالغ المتداولة والتدقيق</w:t>
      </w:r>
    </w:p>
    <w:p>
      <w:pPr>
        <w:pStyle w:val="ListParagraph"/>
        <w:numPr>
          <w:ilvl w:val="0"/>
          <w:numId w:val="3"/>
        </w:numPr>
        <w:bidi/>
        <w:spacing w:after="80"/>
        <w:jc w:val="right"/>
      </w:pPr>
      <w:r>
        <w:rPr>
          <w:rFonts w:ascii="Arial" w:cs="Arial" w:eastAsia="Arial" w:hAnsi="Arial"/>
          <w:rtl/>
        </w:rPr>
        <w:t xml:space="preserve">تقرير تسوية يومي/أسبوعي يقارن إجمالي المحصَّل مقابل إجمالي المسحوب والمحتجز، لرصد أي فروقات فورًا.</w:t>
      </w:r>
    </w:p>
    <w:p>
      <w:pPr>
        <w:pStyle w:val="ListParagraph"/>
        <w:numPr>
          <w:ilvl w:val="0"/>
          <w:numId w:val="3"/>
        </w:numPr>
        <w:bidi/>
        <w:spacing w:after="80"/>
        <w:jc w:val="right"/>
      </w:pPr>
      <w:r>
        <w:rPr>
          <w:rFonts w:ascii="Arial" w:cs="Arial" w:eastAsia="Arial" w:hAnsi="Arial"/>
          <w:rtl/>
        </w:rPr>
        <w:t xml:space="preserve">لوحة تحكم مالية للإدارة الرئيسية تعرض إجمالي الأموال المتداولة، أرصدة المحافظ، وطلبات السحب المعلّقة.</w:t>
      </w:r>
    </w:p>
    <w:p>
      <w:pPr>
        <w:pStyle w:val="ListParagraph"/>
        <w:numPr>
          <w:ilvl w:val="0"/>
          <w:numId w:val="3"/>
        </w:numPr>
        <w:bidi/>
        <w:spacing w:after="80"/>
        <w:jc w:val="right"/>
      </w:pPr>
      <w:r>
        <w:rPr>
          <w:rFonts w:ascii="Arial" w:cs="Arial" w:eastAsia="Arial" w:hAnsi="Arial"/>
          <w:rtl/>
        </w:rPr>
        <w:t xml:space="preserve">تنبيهات تلقائية عند تجاوز أي محفظة حدًا معينًا أو عند وجود طلب سحب يحتاج مراجعة يدوية قبل التنفيذ.</w:t>
      </w:r>
    </w:p>
    <w:p>
      <w:pPr>
        <w:spacing w:after="100"/>
      </w:pPr>
    </w:p>
    <w:p>
      <w:pPr>
        <w:pStyle w:val="Heading2"/>
        <w:bidi/>
        <w:spacing w:after="150" w:before="300"/>
        <w:jc w:val="right"/>
      </w:pPr>
      <w:r>
        <w:rPr>
          <w:rFonts w:ascii="Arial" w:cs="Arial" w:eastAsia="Arial" w:hAnsi="Arial"/>
          <w:rtl/>
        </w:rPr>
        <w:t xml:space="preserve">ملخص توزيع المستحقات</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306"/>
      </w:tblGrid>
      <w:tr>
        <w:tc>
          <w:tcPr>
            <w:tcW w:type="dxa" w:w="3200"/>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الطرف</w:t>
            </w:r>
          </w:p>
        </w:tc>
        <w:tc>
          <w:tcPr>
            <w:tcW w:type="dxa" w:w="3400"/>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يستلم</w:t>
            </w:r>
          </w:p>
        </w:tc>
        <w:tc>
          <w:tcPr>
            <w:tcW w:type="dxa" w:w="3306"/>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يُخصم منه</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الراكب/العميل</w:t>
            </w:r>
          </w:p>
        </w:tc>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الخدمة (رحلة أو نقل أثاث)</w:t>
            </w:r>
          </w:p>
        </w:tc>
        <w:tc>
          <w:tcPr>
            <w:tcW w:type="dxa" w:w="33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قيمة الرحلة + رسوم فتح العداد + رسوم العمالة إن وُجدت</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السائق</w:t>
            </w:r>
          </w:p>
        </w:tc>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قيمة الرحلة كاملة دون عمولة</w:t>
            </w:r>
          </w:p>
        </w:tc>
        <w:tc>
          <w:tcPr>
            <w:tcW w:type="dxa" w:w="33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لا شيء من قيمة الرحلة (رسوم الاشتراك تُحصّل بشكل منفصل إن وُجدت)</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عامل الشحن (الأثاث)</w:t>
            </w:r>
          </w:p>
        </w:tc>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أجر الخدمة الإضافية المتفق عليها</w:t>
            </w:r>
          </w:p>
        </w:tc>
        <w:tc>
          <w:tcPr>
            <w:tcW w:type="dxa" w:w="33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لا شيء من قيمة الرحلة الأساسية</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المنصة</w:t>
            </w:r>
          </w:p>
        </w:tc>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رسوم فتح العداد + هامش الكيلومتر + رسوم الاشتراكات</w:t>
            </w:r>
          </w:p>
        </w:tc>
        <w:tc>
          <w:tcPr>
            <w:tcW w:type="dxa" w:w="33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تكاليف التسوية والتحويلات البنكية/المحافظ الإلكترونية</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60"/>
      </w:pPr>
    </w:lvl>
  </w:abstractNum>
  <w:abstractNum w:abstractNumId="3" w15:restartNumberingAfterBreak="0">
    <w:multiLevelType w:val="hybridMultilevel"/>
    <w:lvl w:ilvl="0" w15:tentative="1">
      <w:start w:val="1"/>
      <w:numFmt w:val="decimal"/>
      <w:lvlText w:val="%1."/>
      <w:lvlJc w:val="right"/>
      <w:pPr>
        <w:ind w:right="431" w:hanging="4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2026-09-20T14:37:37.635Z</dcterms:created>
  <dcterms:modified xsi:type="dcterms:W3CDTF">2026-09-20T14:37:37.643Z</dcterms:modified>
</cp:coreProperties>
</file>

<file path=docProps/custom.xml><?xml version="1.0" encoding="utf-8"?>
<Properties xmlns="http://schemas.openxmlformats.org/officeDocument/2006/custom-properties" xmlns:vt="http://schemas.openxmlformats.org/officeDocument/2006/docPropsVTypes"/>
</file>