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0"/>
          <w:szCs w:val="40"/>
          <w:rtl/>
        </w:rPr>
        <w:t xml:space="preserve">ملف مصادر الدخل</w:t>
      </w:r>
    </w:p>
    <w:p>
      <w:pPr>
        <w:bidi/>
        <w:spacing w:after="400"/>
        <w:jc w:val="center"/>
      </w:pPr>
      <w:r>
        <w:rPr>
          <w:rFonts w:ascii="Arial" w:cs="Arial" w:eastAsia="Arial" w:hAnsi="Arial"/>
          <w:color w:val="555555"/>
          <w:sz w:val="26"/>
          <w:szCs w:val="26"/>
          <w:rtl/>
        </w:rPr>
        <w:t xml:space="preserve">نماذج ربحية مستدامة في ظل سياسة عمولة 0% — منصة اقتصاديه للسائقين والركاب</w:t>
      </w:r>
    </w:p>
    <w:p>
      <w:pPr>
        <w:pStyle w:val="Heading1"/>
        <w:bidi/>
        <w:spacing w:after="150" w:before="300"/>
        <w:jc w:val="right"/>
      </w:pPr>
      <w:r>
        <w:rPr>
          <w:rFonts w:ascii="Arial" w:cs="Arial" w:eastAsia="Arial" w:hAnsi="Arial"/>
          <w:rtl/>
        </w:rPr>
        <w:t xml:space="preserve">1. مقدمة</w:t>
      </w:r>
    </w:p>
    <w:p>
      <w:pPr>
        <w:bidi/>
        <w:spacing w:after="120"/>
        <w:jc w:val="right"/>
      </w:pPr>
      <w:r>
        <w:rPr>
          <w:rFonts w:ascii="Arial" w:cs="Arial" w:eastAsia="Arial" w:hAnsi="Arial"/>
          <w:rtl/>
        </w:rPr>
        <w:t xml:space="preserve">تعتمد المنصة سياسة عمولة 0% على أرباح السائقين، وهو خيار استراتيجي يعزز جاذبية المنصة لاستقطاب السائقين مقارنة بالمنافسين التقليديين. إلا أن استدامة أي منصة رقمية تتطلب نموذج دخل واضح لا يتعارض مع هذا المبدأ. يقترح هذا الملف مجموعة من مصادر الدخل التكميلية التي لا تُحتسب كعمولة من حصيلة الرحلة، بل كرسوم خدمة أو قيمة مضافة منفصلة.</w:t>
      </w:r>
    </w:p>
    <w:p>
      <w:pPr>
        <w:pStyle w:val="Heading1"/>
        <w:bidi/>
        <w:spacing w:after="150" w:before="300"/>
        <w:jc w:val="right"/>
      </w:pPr>
      <w:r>
        <w:rPr>
          <w:rFonts w:ascii="Arial" w:cs="Arial" w:eastAsia="Arial" w:hAnsi="Arial"/>
          <w:rtl/>
        </w:rPr>
        <w:t xml:space="preserve">2. النماذج المقترحة</w:t>
      </w:r>
    </w:p>
    <w:p>
      <w:pPr>
        <w:bidi/>
        <w:spacing w:after="120"/>
        <w:jc w:val="right"/>
      </w:pPr>
      <w:r>
        <w:rPr>
          <w:rFonts w:ascii="Arial" w:cs="Arial" w:eastAsia="Arial" w:hAnsi="Arial"/>
          <w:rtl/>
        </w:rPr>
        <w:t xml:space="preserve">2.1 رسوم فتح العداد (Flag-fall Fee)</w:t>
      </w:r>
    </w:p>
    <w:p>
      <w:pPr>
        <w:pStyle w:val="ListParagraph"/>
        <w:numPr>
          <w:ilvl w:val="0"/>
          <w:numId w:val="2"/>
        </w:numPr>
        <w:bidi/>
        <w:spacing w:after="80"/>
        <w:jc w:val="right"/>
      </w:pPr>
      <w:r>
        <w:rPr>
          <w:rFonts w:ascii="Arial" w:cs="Arial" w:eastAsia="Arial" w:hAnsi="Arial"/>
          <w:rtl/>
        </w:rPr>
        <w:t xml:space="preserve">مبلغ ثابت صغير يُحسم عند بدء الرحلة، مستقل عن المسافة أو الزمن، ويُعامَل كرسوم خدمة منصة وليس كعمولة على أجرة السائق.</w:t>
      </w:r>
    </w:p>
    <w:p>
      <w:pPr>
        <w:pStyle w:val="ListParagraph"/>
        <w:numPr>
          <w:ilvl w:val="0"/>
          <w:numId w:val="2"/>
        </w:numPr>
        <w:bidi/>
        <w:spacing w:after="80"/>
        <w:jc w:val="right"/>
      </w:pPr>
      <w:r>
        <w:rPr>
          <w:rFonts w:ascii="Arial" w:cs="Arial" w:eastAsia="Arial" w:hAnsi="Arial"/>
          <w:rtl/>
        </w:rPr>
        <w:t xml:space="preserve">يوفر تدفقًا نقديًا شبه ثابت مرتبطًا بعدد الرحلات لا بقيمتها، ما يجعله سهل التوقع ماليًا.</w:t>
      </w:r>
    </w:p>
    <w:p>
      <w:pPr>
        <w:bidi/>
        <w:spacing w:after="120"/>
        <w:jc w:val="right"/>
      </w:pPr>
      <w:r>
        <w:rPr>
          <w:rFonts w:ascii="Arial" w:cs="Arial" w:eastAsia="Arial" w:hAnsi="Arial"/>
          <w:rtl/>
        </w:rPr>
        <w:t xml:space="preserve">2.2 هامش على سعر الكيلومتر</w:t>
      </w:r>
    </w:p>
    <w:p>
      <w:pPr>
        <w:pStyle w:val="ListParagraph"/>
        <w:numPr>
          <w:ilvl w:val="0"/>
          <w:numId w:val="2"/>
        </w:numPr>
        <w:bidi/>
        <w:spacing w:after="80"/>
        <w:jc w:val="right"/>
      </w:pPr>
      <w:r>
        <w:rPr>
          <w:rFonts w:ascii="Arial" w:cs="Arial" w:eastAsia="Arial" w:hAnsi="Arial"/>
          <w:rtl/>
        </w:rPr>
        <w:t xml:space="preserve">إضافة نسبة صغيرة كهامش خدمة ضمن السعر المعروض للراكب لكل كيلومتر، بحيث يبقى ما يستلمه السائق كاملاً دون خصم.</w:t>
      </w:r>
    </w:p>
    <w:p>
      <w:pPr>
        <w:pStyle w:val="ListParagraph"/>
        <w:numPr>
          <w:ilvl w:val="0"/>
          <w:numId w:val="2"/>
        </w:numPr>
        <w:bidi/>
        <w:spacing w:after="80"/>
        <w:jc w:val="right"/>
      </w:pPr>
      <w:r>
        <w:rPr>
          <w:rFonts w:ascii="Arial" w:cs="Arial" w:eastAsia="Arial" w:hAnsi="Arial"/>
          <w:rtl/>
        </w:rPr>
        <w:t xml:space="preserve">يتيح ربط جزء من دخل المنصة بحجم الاستخدام الفعلي، وهو نموذج معتاد في تطبيقات النقل حتى مع سياسات صفر عمولة.</w:t>
      </w:r>
    </w:p>
    <w:p>
      <w:pPr>
        <w:bidi/>
        <w:spacing w:after="120"/>
        <w:jc w:val="right"/>
      </w:pPr>
      <w:r>
        <w:rPr>
          <w:rFonts w:ascii="Arial" w:cs="Arial" w:eastAsia="Arial" w:hAnsi="Arial"/>
          <w:rtl/>
        </w:rPr>
        <w:t xml:space="preserve">2.3 هيكل دخل السائقين حسب الفئة (Tiered Drivers)</w:t>
      </w:r>
    </w:p>
    <w:p>
      <w:pPr>
        <w:pStyle w:val="ListParagraph"/>
        <w:numPr>
          <w:ilvl w:val="0"/>
          <w:numId w:val="2"/>
        </w:numPr>
        <w:bidi/>
        <w:spacing w:after="80"/>
        <w:jc w:val="right"/>
      </w:pPr>
      <w:r>
        <w:rPr>
          <w:rFonts w:ascii="Arial" w:cs="Arial" w:eastAsia="Arial" w:hAnsi="Arial"/>
          <w:rtl/>
        </w:rPr>
        <w:t xml:space="preserve">تصنيف السائقين إلى فئات (اقتصادي، مريح، VIP) بحيث تفتح كل فئة أعلى إمكانية وصول لطلبات ذات قيمة أعلى مقابل اشتراك دوري.</w:t>
      </w:r>
    </w:p>
    <w:p>
      <w:pPr>
        <w:pStyle w:val="ListParagraph"/>
        <w:numPr>
          <w:ilvl w:val="0"/>
          <w:numId w:val="2"/>
        </w:numPr>
        <w:bidi/>
        <w:spacing w:after="80"/>
        <w:jc w:val="right"/>
      </w:pPr>
      <w:r>
        <w:rPr>
          <w:rFonts w:ascii="Arial" w:cs="Arial" w:eastAsia="Arial" w:hAnsi="Arial"/>
          <w:rtl/>
        </w:rPr>
        <w:t xml:space="preserve">الاشتراك الدوري (أسبوعي/شهري) يمثل دخلاً متكررًا يسهل بناء توقعات مالية موثوقة عليه.</w:t>
      </w:r>
    </w:p>
    <w:p>
      <w:pPr>
        <w:bidi/>
        <w:spacing w:after="120"/>
        <w:jc w:val="right"/>
      </w:pPr>
      <w:r>
        <w:rPr>
          <w:rFonts w:ascii="Arial" w:cs="Arial" w:eastAsia="Arial" w:hAnsi="Arial"/>
          <w:rtl/>
        </w:rPr>
        <w:t xml:space="preserve">2.4 مصادر دخل تكميلية</w:t>
      </w:r>
    </w:p>
    <w:p>
      <w:pPr>
        <w:pStyle w:val="ListParagraph"/>
        <w:numPr>
          <w:ilvl w:val="0"/>
          <w:numId w:val="2"/>
        </w:numPr>
        <w:bidi/>
        <w:spacing w:after="80"/>
        <w:jc w:val="right"/>
      </w:pPr>
      <w:r>
        <w:rPr>
          <w:rFonts w:ascii="Arial" w:cs="Arial" w:eastAsia="Arial" w:hAnsi="Arial"/>
          <w:rtl/>
        </w:rPr>
        <w:t xml:space="preserve">رسوم أولوية الظهور في نتائج المطابقة أثناء أوقات الذروة، كخيار اختياري للسائق.</w:t>
      </w:r>
    </w:p>
    <w:p>
      <w:pPr>
        <w:pStyle w:val="ListParagraph"/>
        <w:numPr>
          <w:ilvl w:val="0"/>
          <w:numId w:val="2"/>
        </w:numPr>
        <w:bidi/>
        <w:spacing w:after="80"/>
        <w:jc w:val="right"/>
      </w:pPr>
      <w:r>
        <w:rPr>
          <w:rFonts w:ascii="Arial" w:cs="Arial" w:eastAsia="Arial" w:hAnsi="Arial"/>
          <w:rtl/>
        </w:rPr>
        <w:t xml:space="preserve">مساحات إعلانية محلية داخل التطبيق (مطاعم، خدمات قريبة من مسار الرحلة).</w:t>
      </w:r>
    </w:p>
    <w:p>
      <w:pPr>
        <w:pStyle w:val="ListParagraph"/>
        <w:numPr>
          <w:ilvl w:val="0"/>
          <w:numId w:val="2"/>
        </w:numPr>
        <w:bidi/>
        <w:spacing w:after="80"/>
        <w:jc w:val="right"/>
      </w:pPr>
      <w:r>
        <w:rPr>
          <w:rFonts w:ascii="Arial" w:cs="Arial" w:eastAsia="Arial" w:hAnsi="Arial"/>
          <w:rtl/>
        </w:rPr>
        <w:t xml:space="preserve">خدمات مميزة للركاب: إلغاء مجاني موسّع، أولوية حجز، دعم فني مباشر.</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1806"/>
        <w:gridCol w:w="1800"/>
      </w:tblGrid>
      <w:tr>
        <w:tc>
          <w:tcPr>
            <w:tcW w:type="dxa" w:w="27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النموذج</w:t>
            </w:r>
          </w:p>
        </w:tc>
        <w:tc>
          <w:tcPr>
            <w:tcW w:type="dxa" w:w="3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آلية العمل</w:t>
            </w:r>
          </w:p>
        </w:tc>
        <w:tc>
          <w:tcPr>
            <w:tcW w:type="dxa" w:w="1806"/>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مستوى الاستقرار</w:t>
            </w:r>
          </w:p>
        </w:tc>
        <w:tc>
          <w:tcPr>
            <w:tcW w:type="dxa" w:w="18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ملاحظة</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رسوم فتح العداد (Flag-fall)</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مبلغ ثابت يُحسم عند بدء كل رحلة، بصرف النظر عن المسافة</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مرتفع</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دخل شبه مضمون لكل رحلة مكتملة</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نسبة من سعر الكيلومتر</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نسبة صغيرة تُضاف كهامش خدمة داخل سعر الكيلومتر المعروض للراكب</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مرتفع</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يبقى متوافقًا مع مبدأ 0% عمولة على أرباح السائق نفسه</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اشتراكات السائقين حسب الفئة</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باقات شهرية/أسبوعية تمنح مزايا (أولوية طلبات، ظهور مميز) حسب فئة السائق</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متوسط إلى مرتفع</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دخل دوري متوقع يسهل التخطيط المالي عليه</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رسوم أولوية الظهور</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دفعة اختيارية للسائق مقابل ظهور أعلى في نتائج المطابقة بالمناطق المزدحمة</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متوسط</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اختياري تمامًا، لا يؤثر على تجربة من لا يدفع</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الإعلانات داخل التطبيق</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مساحات إعلانية لمحلات وخدمات محلية داخل شاشات الراكب أو السائق</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متغير</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يحتاج حجم مستخدمين كافٍ ليصبح مجديًا</w:t>
            </w:r>
          </w:p>
        </w:tc>
      </w:tr>
      <w:tr>
        <w:tc>
          <w:tcPr>
            <w:tcW w:type="dxa" w:w="27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خدمات الركاب المميزة</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أولوية حجز، إلغاء مجاني موسّع، دعم فني مباشر</w:t>
            </w:r>
          </w:p>
        </w:tc>
        <w:tc>
          <w:tcPr>
            <w:tcW w:type="dxa" w:w="1806"/>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متوسط</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مصدر دخل إضافي دون التأثير على النموذج الأساسي</w:t>
            </w:r>
          </w:p>
        </w:tc>
      </w:tr>
    </w:tbl>
    <w:p>
      <w:pPr>
        <w:spacing w:after="300"/>
      </w:pPr>
    </w:p>
    <w:p>
      <w:pPr>
        <w:pStyle w:val="Heading1"/>
        <w:bidi/>
        <w:spacing w:after="150" w:before="300"/>
        <w:jc w:val="right"/>
      </w:pPr>
      <w:r>
        <w:rPr>
          <w:rFonts w:ascii="Arial" w:cs="Arial" w:eastAsia="Arial" w:hAnsi="Arial"/>
          <w:rtl/>
        </w:rPr>
        <w:t xml:space="preserve">3. التوصية</w:t>
      </w:r>
    </w:p>
    <w:p>
      <w:pPr>
        <w:bidi/>
        <w:spacing w:after="120"/>
        <w:jc w:val="right"/>
      </w:pPr>
      <w:r>
        <w:rPr>
          <w:rFonts w:ascii="Arial" w:cs="Arial" w:eastAsia="Arial" w:hAnsi="Arial"/>
          <w:rtl/>
        </w:rPr>
        <w:t xml:space="preserve">يوصي الفريق التقني بتبني نموذج هجين يجمع بين رسوم فتح العداد (كأساس دخل ثابت لكل رحلة) وهامش بسيط على سعر الكيلومتر، مع إطلاق نظام الاشتراكات حسب الفئة في مرحلة لاحقة بعد بناء قاعدة مستخدمين كافية. هذا التدرج يقلل مخاطر إطلاق نموذج معقد من اليوم الأول، ويحافظ على جاذبية المنصة أمام السائقين مقارنة بمنصات العمولة التقليدية.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2026-09-20T14:35:43.672Z</dcterms:created>
  <dcterms:modified xsi:type="dcterms:W3CDTF">2026-09-20T14:35:43.672Z</dcterms:modified>
</cp:coreProperties>
</file>

<file path=docProps/custom.xml><?xml version="1.0" encoding="utf-8"?>
<Properties xmlns="http://schemas.openxmlformats.org/officeDocument/2006/custom-properties" xmlns:vt="http://schemas.openxmlformats.org/officeDocument/2006/docPropsVTypes"/>
</file>