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jc w:val="center"/>
      </w:pPr>
      <w:r>
        <w:rPr>
          <w:rFonts w:ascii="Arial" w:cs="Arial" w:eastAsia="Arial" w:hAnsi="Arial"/>
          <w:b/>
          <w:bCs/>
          <w:sz w:val="40"/>
          <w:szCs w:val="40"/>
          <w:rtl/>
        </w:rPr>
        <w:t xml:space="preserve">ملف وظائف لوحات التحكم</w:t>
      </w:r>
    </w:p>
    <w:p>
      <w:pPr>
        <w:bidi/>
        <w:spacing w:after="400"/>
        <w:jc w:val="center"/>
      </w:pPr>
      <w:r>
        <w:rPr>
          <w:rFonts w:ascii="Arial" w:cs="Arial" w:eastAsia="Arial" w:hAnsi="Arial"/>
          <w:color w:val="555555"/>
          <w:sz w:val="26"/>
          <w:szCs w:val="26"/>
          <w:rtl/>
        </w:rPr>
        <w:t xml:space="preserve">نظام الصلاحيات المزدوج (Admin &amp; RBAC) — منصة اقتصاديه للسائقين والركاب</w:t>
      </w:r>
    </w:p>
    <w:p>
      <w:pPr>
        <w:pStyle w:val="Heading1"/>
        <w:bidi/>
        <w:spacing w:after="150" w:before="300"/>
        <w:jc w:val="right"/>
      </w:pPr>
      <w:r>
        <w:rPr>
          <w:rFonts w:ascii="Arial" w:cs="Arial" w:eastAsia="Arial" w:hAnsi="Arial"/>
          <w:rtl/>
        </w:rPr>
        <w:t xml:space="preserve">1. مقدمة</w:t>
      </w:r>
    </w:p>
    <w:p>
      <w:pPr>
        <w:bidi/>
        <w:spacing w:after="120"/>
        <w:jc w:val="right"/>
      </w:pPr>
      <w:r>
        <w:rPr>
          <w:rFonts w:ascii="Arial" w:cs="Arial" w:eastAsia="Arial" w:hAnsi="Arial"/>
          <w:b w:val="false"/>
          <w:bCs w:val="false"/>
          <w:i w:val="false"/>
          <w:iCs w:val="false"/>
          <w:rtl/>
        </w:rPr>
        <w:t xml:space="preserve">يوضح هذا الملف التصميم الوظيفي الكامل للوحة التحكم الإدارية الخاصة بالمنصة، بما يشمل نظام الصلاحيات المزدوج (RBAC) بين الإدارة الرئيسية والمشرفين الفرعيين، بالإضافة إلى تفصيل الشاشات الست عشرة المحددة ضمن نطاق التصميم المرفق. الهدف من هذا التصميم هو ضمان تحكم مركزي آمن مع إتاحة لامركزية تشغيلية تسمح بالتوسع الجغرافي دون المساس بأمان البيانات أو استقرار النظام.</w:t>
      </w:r>
    </w:p>
    <w:p>
      <w:pPr>
        <w:pStyle w:val="Heading1"/>
        <w:bidi/>
        <w:spacing w:after="150" w:before="300"/>
        <w:jc w:val="right"/>
      </w:pPr>
      <w:r>
        <w:rPr>
          <w:rFonts w:ascii="Arial" w:cs="Arial" w:eastAsia="Arial" w:hAnsi="Arial"/>
          <w:rtl/>
        </w:rPr>
        <w:t xml:space="preserve">2. نظام الصلاحيات المزدوج (Dual RBAC)</w:t>
      </w:r>
    </w:p>
    <w:p>
      <w:pPr>
        <w:bidi/>
        <w:spacing w:after="120"/>
        <w:jc w:val="right"/>
      </w:pPr>
      <w:r>
        <w:rPr>
          <w:rFonts w:ascii="Arial" w:cs="Arial" w:eastAsia="Arial" w:hAnsi="Arial"/>
          <w:b w:val="false"/>
          <w:bCs w:val="false"/>
          <w:i w:val="false"/>
          <w:iCs w:val="false"/>
          <w:rtl/>
        </w:rPr>
        <w:t xml:space="preserve">يعتمد النظام على مستويين رئيسيين من الحسابات الإدارية:</w:t>
      </w:r>
    </w:p>
    <w:p>
      <w:pPr>
        <w:pStyle w:val="ListParagraph"/>
        <w:numPr>
          <w:ilvl w:val="0"/>
          <w:numId w:val="2"/>
        </w:numPr>
        <w:bidi/>
        <w:spacing w:after="80"/>
        <w:jc w:val="right"/>
      </w:pPr>
      <w:r>
        <w:rPr>
          <w:rFonts w:ascii="Arial" w:cs="Arial" w:eastAsia="Arial" w:hAnsi="Arial"/>
          <w:rtl/>
        </w:rPr>
        <w:t xml:space="preserve">الإدارة الرئيسية (Super Admin): صلاحية كاملة وغير مقيدة على كل وحدات النظام، وهي الجهة الوحيدة المخوّلة بإنشاء حسابات المشرفين الفرعيين وتحديد صلاحياتهم.</w:t>
      </w:r>
    </w:p>
    <w:p>
      <w:pPr>
        <w:pStyle w:val="ListParagraph"/>
        <w:numPr>
          <w:ilvl w:val="0"/>
          <w:numId w:val="2"/>
        </w:numPr>
        <w:bidi/>
        <w:spacing w:after="80"/>
        <w:jc w:val="right"/>
      </w:pPr>
      <w:r>
        <w:rPr>
          <w:rFonts w:ascii="Arial" w:cs="Arial" w:eastAsia="Arial" w:hAnsi="Arial"/>
          <w:rtl/>
        </w:rPr>
        <w:t xml:space="preserve">المشرفون الفرعيون (Sub-Admins): حسابات ذات صلاحيات مخصصة (Custom Roles) تُبنى على مبدأ "أقل امتياز ممكن" (Least Privilege)، بحيث يمكن تقييد كل مشرف بمنطقة جغرافية، أو فئة مستخدمين، أو مجموعة شاشات محددة فقط.</w:t>
      </w:r>
    </w:p>
    <w:p>
      <w:pPr>
        <w:bidi/>
        <w:spacing w:after="120"/>
        <w:jc w:val="right"/>
      </w:pPr>
      <w:r>
        <w:rPr>
          <w:rFonts w:ascii="Arial" w:cs="Arial" w:eastAsia="Arial" w:hAnsi="Arial"/>
          <w:b w:val="false"/>
          <w:bCs w:val="false"/>
          <w:i w:val="false"/>
          <w:iCs w:val="false"/>
          <w:rtl/>
        </w:rPr>
        <w:t xml:space="preserve">تقنيًا، يُبنى هذا النظام عبر جدول أدوار وصلاحيات (roles &amp; permissions) منفصل عن جدول المستخدمين، بحيث يمكن إضافة أدوار جديدة مستقبلاً (مثل: مشرف دعم فني، مشرف مالي) دون تعديل الكود، بالإضافة إلى تفعيل Row Level Security على قاعدة البيانات (Supabase/Firebase) لضمان عدم تجاوز أي مشرف فرعي لنطاق صلاحياته حتى عبر استدعاء مباشر لواجهة البرمجة.</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0"/>
        <w:gridCol w:w="2653"/>
        <w:gridCol w:w="2653"/>
      </w:tblGrid>
      <w:tr>
        <w:tc>
          <w:tcPr>
            <w:tcW w:type="dxa" w:w="4600"/>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الوظيفة / الصلاحية</w:t>
            </w:r>
          </w:p>
        </w:tc>
        <w:tc>
          <w:tcPr>
            <w:tcW w:type="dxa" w:w="2653"/>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المشرف الفرعي (Sub-Admin)</w:t>
            </w:r>
          </w:p>
        </w:tc>
        <w:tc>
          <w:tcPr>
            <w:tcW w:type="dxa" w:w="2653"/>
            <w:shd w:fill="1F3864" w:val="clear"/>
            <w:tcMar>
              <w:top w:type="dxa" w:w="100"/>
              <w:left w:type="dxa" w:w="120"/>
              <w:bottom w:type="dxa" w:w="100"/>
              <w:right w:type="dxa" w:w="120"/>
            </w:tcMar>
            <w:vAlign w:val="center"/>
          </w:tcPr>
          <w:p>
            <w:pPr>
              <w:bidi/>
              <w:jc w:val="right"/>
            </w:pPr>
            <w:r>
              <w:rPr>
                <w:rFonts w:ascii="Arial" w:cs="Arial" w:eastAsia="Arial" w:hAnsi="Arial"/>
                <w:b/>
                <w:bCs/>
                <w:color w:val="FFFFFF"/>
                <w:rtl/>
              </w:rPr>
              <w:t xml:space="preserve">الإدارة الرئيسية (Super Admin)</w:t>
            </w:r>
          </w:p>
        </w:tc>
      </w:tr>
      <w:tr>
        <w:tc>
          <w:tcPr>
            <w:tcW w:type="dxa" w:w="4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إنشاء / حذف حسابات مشرفين</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غير متاح</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متاح بالكامل</w:t>
            </w:r>
          </w:p>
        </w:tc>
      </w:tr>
      <w:tr>
        <w:tc>
          <w:tcPr>
            <w:tcW w:type="dxa" w:w="4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تعديل نسب وهيكل الأسعار</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عرض فقط (اختياري حسب الدور)</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تعديل كامل</w:t>
            </w:r>
          </w:p>
        </w:tc>
      </w:tr>
      <w:tr>
        <w:tc>
          <w:tcPr>
            <w:tcW w:type="dxa" w:w="4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الوصول لمركز الطوارئ والتتبع الحي</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متاح (حسب المنطقة المخصصة)</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متاح لكل المناطق</w:t>
            </w:r>
          </w:p>
        </w:tc>
      </w:tr>
      <w:tr>
        <w:tc>
          <w:tcPr>
            <w:tcW w:type="dxa" w:w="4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حظر / إيقاف سائق أو راكب</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طلب حظر يُرفع للموافقة</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تنفيذ مباشر</w:t>
            </w:r>
          </w:p>
        </w:tc>
      </w:tr>
      <w:tr>
        <w:tc>
          <w:tcPr>
            <w:tcW w:type="dxa" w:w="4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الوصول للتقارير المالية الكاملة</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تقارير منطقته فقط</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كل التقارير</w:t>
            </w:r>
          </w:p>
        </w:tc>
      </w:tr>
      <w:tr>
        <w:tc>
          <w:tcPr>
            <w:tcW w:type="dxa" w:w="4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تعديل إعدادات النظام العامة</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غير متاح</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متاح بالكامل</w:t>
            </w:r>
          </w:p>
        </w:tc>
      </w:tr>
      <w:tr>
        <w:tc>
          <w:tcPr>
            <w:tcW w:type="dxa" w:w="4600"/>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إدارة التوثيق (KYC) للسائقين</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مراجعة وترشيح</w:t>
            </w:r>
          </w:p>
        </w:tc>
        <w:tc>
          <w:tcPr>
            <w:tcW w:type="dxa" w:w="2653"/>
            <w:tcMar>
              <w:top w:type="dxa" w:w="100"/>
              <w:left w:type="dxa" w:w="120"/>
              <w:bottom w:type="dxa" w:w="100"/>
              <w:right w:type="dxa" w:w="120"/>
            </w:tcMar>
            <w:vAlign w:val="center"/>
          </w:tcPr>
          <w:p>
            <w:pPr>
              <w:bidi/>
              <w:jc w:val="right"/>
            </w:pPr>
            <w:r>
              <w:rPr>
                <w:rFonts w:ascii="Arial" w:cs="Arial" w:eastAsia="Arial" w:hAnsi="Arial"/>
                <w:b w:val="false"/>
                <w:bCs w:val="false"/>
                <w:rtl/>
              </w:rPr>
              <w:t xml:space="preserve">اعتماد نهائي</w:t>
            </w:r>
          </w:p>
        </w:tc>
      </w:tr>
    </w:tbl>
    <w:p>
      <w:pPr>
        <w:spacing w:after="300"/>
      </w:pPr>
    </w:p>
    <w:p>
      <w:pPr>
        <w:pStyle w:val="Heading1"/>
        <w:bidi/>
        <w:spacing w:after="150" w:before="300"/>
        <w:jc w:val="right"/>
      </w:pPr>
      <w:r>
        <w:rPr>
          <w:rFonts w:ascii="Arial" w:cs="Arial" w:eastAsia="Arial" w:hAnsi="Arial"/>
          <w:rtl/>
        </w:rPr>
        <w:t xml:space="preserve">3. الشاشات الإدارية (16 شاشة)</w:t>
      </w:r>
    </w:p>
    <w:p>
      <w:pPr>
        <w:bidi/>
        <w:spacing w:after="120"/>
        <w:jc w:val="right"/>
      </w:pPr>
      <w:r>
        <w:rPr>
          <w:rFonts w:ascii="Arial" w:cs="Arial" w:eastAsia="Arial" w:hAnsi="Arial"/>
          <w:b w:val="false"/>
          <w:bCs w:val="false"/>
          <w:i w:val="false"/>
          <w:iCs w:val="false"/>
          <w:rtl/>
        </w:rPr>
        <w:t xml:space="preserve">فيما يلي تفصيل وظيفي لكل شاشة من الشاشات الست عشرة المحددة في نطاق التصميم:</w:t>
      </w:r>
    </w:p>
    <w:p>
      <w:pPr>
        <w:pStyle w:val="ListParagraph"/>
        <w:numPr>
          <w:ilvl w:val="0"/>
          <w:numId w:val="3"/>
        </w:numPr>
        <w:bidi/>
        <w:spacing w:after="100"/>
        <w:jc w:val="right"/>
      </w:pPr>
      <w:r>
        <w:rPr>
          <w:rFonts w:ascii="Arial" w:cs="Arial" w:eastAsia="Arial" w:hAnsi="Arial"/>
          <w:rtl/>
        </w:rPr>
        <w:t xml:space="preserve">لوحة المعلومات الرئيسية (Dashboard): نظرة عامة لحظية على عدد الرحلات الجارية، السائقين المتصلين، الركاب النشطين، والإيرادات اليومية، مع مؤشرات أداء (KPIs) قابلة للتخصيص حسب دور المستخدم.</w:t>
      </w:r>
    </w:p>
    <w:p>
      <w:pPr>
        <w:pStyle w:val="ListParagraph"/>
        <w:numPr>
          <w:ilvl w:val="0"/>
          <w:numId w:val="3"/>
        </w:numPr>
        <w:bidi/>
        <w:spacing w:after="100"/>
        <w:jc w:val="right"/>
      </w:pPr>
      <w:r>
        <w:rPr>
          <w:rFonts w:ascii="Arial" w:cs="Arial" w:eastAsia="Arial" w:hAnsi="Arial"/>
          <w:rtl/>
        </w:rPr>
        <w:t xml:space="preserve">إدارة الركاب: عرض، بحث، تعديل بيانات، وتجميد أو حذف حسابات الركاب، مع سجل كامل لرحلات كل راكب.</w:t>
      </w:r>
    </w:p>
    <w:p>
      <w:pPr>
        <w:pStyle w:val="ListParagraph"/>
        <w:numPr>
          <w:ilvl w:val="0"/>
          <w:numId w:val="3"/>
        </w:numPr>
        <w:bidi/>
        <w:spacing w:after="100"/>
        <w:jc w:val="right"/>
      </w:pPr>
      <w:r>
        <w:rPr>
          <w:rFonts w:ascii="Arial" w:cs="Arial" w:eastAsia="Arial" w:hAnsi="Arial"/>
          <w:rtl/>
        </w:rPr>
        <w:t xml:space="preserve">إدارة السائقين: دورة حياة كاملة للسائق من التسجيل حتى الاعتماد، تشمل حالة النشاط، التقييمات، والمركبة المسجلة.</w:t>
      </w:r>
    </w:p>
    <w:p>
      <w:pPr>
        <w:pStyle w:val="ListParagraph"/>
        <w:numPr>
          <w:ilvl w:val="0"/>
          <w:numId w:val="3"/>
        </w:numPr>
        <w:bidi/>
        <w:spacing w:after="100"/>
        <w:jc w:val="right"/>
      </w:pPr>
      <w:r>
        <w:rPr>
          <w:rFonts w:ascii="Arial" w:cs="Arial" w:eastAsia="Arial" w:hAnsi="Arial"/>
          <w:rtl/>
        </w:rPr>
        <w:t xml:space="preserve">إدارة الرحلات/الطلبات: متابعة كل رحلة بحالتها (طلب، قبول، تنفيذ، اكتمال، إلغاء) مع إمكانية التدخل اليدوي عند الحاجة.</w:t>
      </w:r>
    </w:p>
    <w:p>
      <w:pPr>
        <w:pStyle w:val="ListParagraph"/>
        <w:numPr>
          <w:ilvl w:val="0"/>
          <w:numId w:val="3"/>
        </w:numPr>
        <w:bidi/>
        <w:spacing w:after="100"/>
        <w:jc w:val="right"/>
      </w:pPr>
      <w:r>
        <w:rPr>
          <w:rFonts w:ascii="Arial" w:cs="Arial" w:eastAsia="Arial" w:hAnsi="Arial"/>
          <w:rtl/>
        </w:rPr>
        <w:t xml:space="preserve">إدارة الأسعار: التحكم في رسوم فتح العداد، سعر الكيلومتر، فئات السائقين، وأوقات الذروة، مع دعم قواعد تسعير مختلفة لكل منطقة.</w:t>
      </w:r>
    </w:p>
    <w:p>
      <w:pPr>
        <w:pStyle w:val="ListParagraph"/>
        <w:numPr>
          <w:ilvl w:val="0"/>
          <w:numId w:val="3"/>
        </w:numPr>
        <w:bidi/>
        <w:spacing w:after="100"/>
        <w:jc w:val="right"/>
      </w:pPr>
      <w:r>
        <w:rPr>
          <w:rFonts w:ascii="Arial" w:cs="Arial" w:eastAsia="Arial" w:hAnsi="Arial"/>
          <w:rtl/>
        </w:rPr>
        <w:t xml:space="preserve">مركز الطوارئ: استقبال بلاغات SOS لحظيًا مع تتبع حي على الخريطة (Leaflet.js) لأقرب فرق الدعم أو الجهات المعنية، وتصعيد تلقائي للحالات الحرجة.</w:t>
      </w:r>
    </w:p>
    <w:p>
      <w:pPr>
        <w:pStyle w:val="ListParagraph"/>
        <w:numPr>
          <w:ilvl w:val="0"/>
          <w:numId w:val="3"/>
        </w:numPr>
        <w:bidi/>
        <w:spacing w:after="100"/>
        <w:jc w:val="right"/>
      </w:pPr>
      <w:r>
        <w:rPr>
          <w:rFonts w:ascii="Arial" w:cs="Arial" w:eastAsia="Arial" w:hAnsi="Arial"/>
          <w:rtl/>
        </w:rPr>
        <w:t xml:space="preserve">مراقبة الإلغاءات والحظر: رصد أنماط الإلغاء المتكرر أو المخالفات، مع آلية حظر مؤقت أو دائم تدعم سير عمل الموافقة (Approval Workflow) للمشرفين الفرعيين.</w:t>
      </w:r>
    </w:p>
    <w:p>
      <w:pPr>
        <w:pStyle w:val="ListParagraph"/>
        <w:numPr>
          <w:ilvl w:val="0"/>
          <w:numId w:val="3"/>
        </w:numPr>
        <w:bidi/>
        <w:spacing w:after="100"/>
        <w:jc w:val="right"/>
      </w:pPr>
      <w:r>
        <w:rPr>
          <w:rFonts w:ascii="Arial" w:cs="Arial" w:eastAsia="Arial" w:hAnsi="Arial"/>
          <w:rtl/>
        </w:rPr>
        <w:t xml:space="preserve">إدارة الإشعارات: إرسال إشعارات جماعية أو مستهدفة عبر Firebase Cloud Messaging، مع جدولة الإشعارات وتتبع معدلات الفتح.</w:t>
      </w:r>
    </w:p>
    <w:p>
      <w:pPr>
        <w:pStyle w:val="ListParagraph"/>
        <w:numPr>
          <w:ilvl w:val="0"/>
          <w:numId w:val="3"/>
        </w:numPr>
        <w:bidi/>
        <w:spacing w:after="100"/>
        <w:jc w:val="right"/>
      </w:pPr>
      <w:r>
        <w:rPr>
          <w:rFonts w:ascii="Arial" w:cs="Arial" w:eastAsia="Arial" w:hAnsi="Arial"/>
          <w:rtl/>
        </w:rPr>
        <w:t xml:space="preserve">إدارة المدفوعات والتسويات المالية: متابعة مستحقات السائقين، كشوف الحسابات، وحالات السداد، مع تصدير تقارير محاسبية.</w:t>
      </w:r>
    </w:p>
    <w:p>
      <w:pPr>
        <w:pStyle w:val="ListParagraph"/>
        <w:numPr>
          <w:ilvl w:val="0"/>
          <w:numId w:val="3"/>
        </w:numPr>
        <w:bidi/>
        <w:spacing w:after="100"/>
        <w:jc w:val="right"/>
      </w:pPr>
      <w:r>
        <w:rPr>
          <w:rFonts w:ascii="Arial" w:cs="Arial" w:eastAsia="Arial" w:hAnsi="Arial"/>
          <w:rtl/>
        </w:rPr>
        <w:t xml:space="preserve">التقارير والتحليلات: تقارير تفصيلية قابلة للتصفية حسب الفترة والمنطقة ونوع الخدمة، مع رسوم بيانية تفاعلية وتصدير Excel/PDF.</w:t>
      </w:r>
    </w:p>
    <w:p>
      <w:pPr>
        <w:pStyle w:val="ListParagraph"/>
        <w:numPr>
          <w:ilvl w:val="0"/>
          <w:numId w:val="3"/>
        </w:numPr>
        <w:bidi/>
        <w:spacing w:after="100"/>
        <w:jc w:val="right"/>
      </w:pPr>
      <w:r>
        <w:rPr>
          <w:rFonts w:ascii="Arial" w:cs="Arial" w:eastAsia="Arial" w:hAnsi="Arial"/>
          <w:rtl/>
        </w:rPr>
        <w:t xml:space="preserve">إدارة التوثيق (KYC): مراجعة واعتماد مستندات السائقين (الرخصة، البطاقة، استمارة المركبة) مع نظام تنبيهات لانتهاء الصلاحية.</w:t>
      </w:r>
    </w:p>
    <w:p>
      <w:pPr>
        <w:pStyle w:val="ListParagraph"/>
        <w:numPr>
          <w:ilvl w:val="0"/>
          <w:numId w:val="3"/>
        </w:numPr>
        <w:bidi/>
        <w:spacing w:after="100"/>
        <w:jc w:val="right"/>
      </w:pPr>
      <w:r>
        <w:rPr>
          <w:rFonts w:ascii="Arial" w:cs="Arial" w:eastAsia="Arial" w:hAnsi="Arial"/>
          <w:rtl/>
        </w:rPr>
        <w:t xml:space="preserve">إدارة المناطق والتغطية الجغرافية: تعريف حدود مناطق الخدمة على الخريطة، وربط كل منطقة بقواعد تسعير ومشرفين مختصين.</w:t>
      </w:r>
    </w:p>
    <w:p>
      <w:pPr>
        <w:pStyle w:val="ListParagraph"/>
        <w:numPr>
          <w:ilvl w:val="0"/>
          <w:numId w:val="3"/>
        </w:numPr>
        <w:bidi/>
        <w:spacing w:after="100"/>
        <w:jc w:val="right"/>
      </w:pPr>
      <w:r>
        <w:rPr>
          <w:rFonts w:ascii="Arial" w:cs="Arial" w:eastAsia="Arial" w:hAnsi="Arial"/>
          <w:rtl/>
        </w:rPr>
        <w:t xml:space="preserve">الشكاوى والدعم الفني: نظام تذاكر (Tickets) لمتابعة شكاوى الركاب والسائقين من الفتح حتى الغلق، مع أولويات وتصنيفات.</w:t>
      </w:r>
    </w:p>
    <w:p>
      <w:pPr>
        <w:pStyle w:val="ListParagraph"/>
        <w:numPr>
          <w:ilvl w:val="0"/>
          <w:numId w:val="3"/>
        </w:numPr>
        <w:bidi/>
        <w:spacing w:after="100"/>
        <w:jc w:val="right"/>
      </w:pPr>
      <w:r>
        <w:rPr>
          <w:rFonts w:ascii="Arial" w:cs="Arial" w:eastAsia="Arial" w:hAnsi="Arial"/>
          <w:rtl/>
        </w:rPr>
        <w:t xml:space="preserve">سجل النشاطات (Audit Log): تسجيل كل إجراء إداري (من نفّذه، وماذا فعل، ومتى) لضمان الشفافية والتتبع الأمني الكامل.</w:t>
      </w:r>
    </w:p>
    <w:p>
      <w:pPr>
        <w:pStyle w:val="ListParagraph"/>
        <w:numPr>
          <w:ilvl w:val="0"/>
          <w:numId w:val="3"/>
        </w:numPr>
        <w:bidi/>
        <w:spacing w:after="100"/>
        <w:jc w:val="right"/>
      </w:pPr>
      <w:r>
        <w:rPr>
          <w:rFonts w:ascii="Arial" w:cs="Arial" w:eastAsia="Arial" w:hAnsi="Arial"/>
          <w:rtl/>
        </w:rPr>
        <w:t xml:space="preserve">إدارة الأدوار والصلاحيات: الشاشة التي تدير من خلالها الإدارة الرئيسية إنشاء وتعديل أدوار المشرفين الفرعيين ونطاق صلاحياتهم.</w:t>
      </w:r>
    </w:p>
    <w:p>
      <w:pPr>
        <w:pStyle w:val="ListParagraph"/>
        <w:numPr>
          <w:ilvl w:val="0"/>
          <w:numId w:val="3"/>
        </w:numPr>
        <w:bidi/>
        <w:spacing w:after="100"/>
        <w:jc w:val="right"/>
      </w:pPr>
      <w:r>
        <w:rPr>
          <w:rFonts w:ascii="Arial" w:cs="Arial" w:eastAsia="Arial" w:hAnsi="Arial"/>
          <w:rtl/>
        </w:rPr>
        <w:t xml:space="preserve">الإعدادات العامة للنظام: إعدادات التطبيق العامة (اللغات، شروط الاستخدام، بيانات التواصل، إعدادات الإشعارات الافتراضية).</w:t>
      </w:r>
    </w:p>
    <w:p>
      <w:pPr>
        <w:pStyle w:val="Heading1"/>
        <w:bidi/>
        <w:spacing w:after="150" w:before="300"/>
        <w:jc w:val="right"/>
      </w:pPr>
      <w:r>
        <w:rPr>
          <w:rFonts w:ascii="Arial" w:cs="Arial" w:eastAsia="Arial" w:hAnsi="Arial"/>
          <w:rtl/>
        </w:rPr>
        <w:t xml:space="preserve">4. ملاحظات التنفيذ التقني</w:t>
      </w:r>
    </w:p>
    <w:p>
      <w:pPr>
        <w:pStyle w:val="ListParagraph"/>
        <w:numPr>
          <w:ilvl w:val="0"/>
          <w:numId w:val="2"/>
        </w:numPr>
        <w:bidi/>
        <w:spacing w:after="80"/>
        <w:jc w:val="right"/>
      </w:pPr>
      <w:r>
        <w:rPr>
          <w:rFonts w:ascii="Arial" w:cs="Arial" w:eastAsia="Arial" w:hAnsi="Arial"/>
          <w:rtl/>
        </w:rPr>
        <w:t xml:space="preserve">بناء لوحة التحكم بـ Next.js مع مصادقة موحدة عبر Supabase Auth أو Firebase Authentication، ودعم المصادقة الثنائية (2FA) لحسابات الإدارة الرئيسية.</w:t>
      </w:r>
    </w:p>
    <w:p>
      <w:pPr>
        <w:pStyle w:val="ListParagraph"/>
        <w:numPr>
          <w:ilvl w:val="0"/>
          <w:numId w:val="2"/>
        </w:numPr>
        <w:bidi/>
        <w:spacing w:after="80"/>
        <w:jc w:val="right"/>
      </w:pPr>
      <w:r>
        <w:rPr>
          <w:rFonts w:ascii="Arial" w:cs="Arial" w:eastAsia="Arial" w:hAnsi="Arial"/>
          <w:rtl/>
        </w:rPr>
        <w:t xml:space="preserve">تفعيل Realtime (Supabase Realtime أو Firebase Realtime Database) لتحديث شاشتي الرحلات ومركز الطوارئ دون الحاجة لتحديث الصفحة.</w:t>
      </w:r>
    </w:p>
    <w:p>
      <w:pPr>
        <w:pStyle w:val="ListParagraph"/>
        <w:numPr>
          <w:ilvl w:val="0"/>
          <w:numId w:val="2"/>
        </w:numPr>
        <w:bidi/>
        <w:spacing w:after="80"/>
        <w:jc w:val="right"/>
      </w:pPr>
      <w:r>
        <w:rPr>
          <w:rFonts w:ascii="Arial" w:cs="Arial" w:eastAsia="Arial" w:hAnsi="Arial"/>
          <w:rtl/>
        </w:rPr>
        <w:t xml:space="preserve">تصميم قاعدة البيانات بحيث يسهل إضافة أدوار أو شاشات جديدة مستقبلاً دون إعادة هيكلة كاملة للنظام.</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31" w:hanging="360"/>
      </w:pPr>
    </w:lvl>
  </w:abstractNum>
  <w:abstractNum w:abstractNumId="3" w15:restartNumberingAfterBreak="0">
    <w:multiLevelType w:val="hybridMultilevel"/>
    <w:lvl w:ilvl="0" w15:tentative="1">
      <w:start w:val="1"/>
      <w:numFmt w:val="decimal"/>
      <w:lvlText w:val="%1."/>
      <w:lvlJc w:val="right"/>
      <w:pPr>
        <w:ind w:right="431"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2026-09-20T14:34:50.272Z</dcterms:created>
  <dcterms:modified xsi:type="dcterms:W3CDTF">2026-09-20T14:34:50.281Z</dcterms:modified>
</cp:coreProperties>
</file>

<file path=docProps/custom.xml><?xml version="1.0" encoding="utf-8"?>
<Properties xmlns="http://schemas.openxmlformats.org/officeDocument/2006/custom-properties" xmlns:vt="http://schemas.openxmlformats.org/officeDocument/2006/docPropsVTypes"/>
</file>