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A0CC8B" w14:textId="21E7DC5C" w:rsidR="00527ECE" w:rsidRPr="00AC7613" w:rsidRDefault="00AC7613" w:rsidP="00AC7613">
      <w:pPr>
        <w:jc w:val="center"/>
        <w:rPr>
          <w:b/>
          <w:bCs/>
          <w:color w:val="FF0000"/>
          <w:sz w:val="40"/>
          <w:szCs w:val="40"/>
        </w:rPr>
      </w:pPr>
      <w:r w:rsidRPr="00AC7613">
        <w:rPr>
          <w:b/>
          <w:bCs/>
          <w:noProof/>
          <w:color w:val="FF0000"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04C8CC89" wp14:editId="4954F1FE">
            <wp:simplePos x="0" y="0"/>
            <wp:positionH relativeFrom="column">
              <wp:posOffset>4762500</wp:posOffset>
            </wp:positionH>
            <wp:positionV relativeFrom="paragraph">
              <wp:posOffset>-502920</wp:posOffset>
            </wp:positionV>
            <wp:extent cx="1821180" cy="2621280"/>
            <wp:effectExtent l="0" t="0" r="762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6 at 10.49.03 PM (2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7ECE" w:rsidRPr="00AC7613">
        <w:rPr>
          <w:color w:val="FF0000"/>
        </w:rPr>
        <w:t>STINGING NETTLE (</w:t>
      </w:r>
      <w:r w:rsidR="00527ECE" w:rsidRPr="00AC7613">
        <w:rPr>
          <w:color w:val="FF0000"/>
          <w:rtl/>
        </w:rPr>
        <w:t>القراص</w:t>
      </w:r>
      <w:r w:rsidR="00527ECE" w:rsidRPr="00AC7613">
        <w:rPr>
          <w:color w:val="FF0000"/>
        </w:rPr>
        <w:t>)</w:t>
      </w:r>
    </w:p>
    <w:p w14:paraId="3FD3E935" w14:textId="77777777" w:rsidR="00527ECE" w:rsidRDefault="00527ECE" w:rsidP="00527ECE">
      <w:pPr>
        <w:pStyle w:val="NormalWeb"/>
      </w:pPr>
      <w:r w:rsidRPr="00AC7613">
        <w:rPr>
          <w:b/>
          <w:bCs/>
          <w:color w:val="FF0000"/>
        </w:rPr>
        <w:t>Common Name:</w:t>
      </w:r>
      <w:r w:rsidRPr="00AC7613">
        <w:rPr>
          <w:color w:val="FF0000"/>
        </w:rPr>
        <w:t xml:space="preserve"> </w:t>
      </w:r>
      <w:r>
        <w:t>Stinging Nettle, Common Nettle, Greater Nettle.</w:t>
      </w:r>
    </w:p>
    <w:p w14:paraId="3FA661B5" w14:textId="77777777" w:rsidR="00527ECE" w:rsidRPr="00AC7613" w:rsidRDefault="00527ECE" w:rsidP="00AC7613">
      <w:pPr>
        <w:pStyle w:val="NormalWeb"/>
        <w:rPr>
          <w:color w:val="FF0000"/>
        </w:rPr>
      </w:pPr>
      <w:r w:rsidRPr="00AC7613">
        <w:rPr>
          <w:b/>
          <w:bCs/>
          <w:color w:val="FF0000"/>
        </w:rPr>
        <w:t>Scientific Name and Classification:</w:t>
      </w:r>
    </w:p>
    <w:p w14:paraId="6CFF3338" w14:textId="77777777" w:rsidR="00527ECE" w:rsidRDefault="00527ECE" w:rsidP="00527ECE">
      <w:pPr>
        <w:pStyle w:val="NormalWeb"/>
        <w:numPr>
          <w:ilvl w:val="0"/>
          <w:numId w:val="21"/>
        </w:numPr>
      </w:pPr>
      <w:r>
        <w:rPr>
          <w:b/>
          <w:bCs/>
        </w:rPr>
        <w:t>Scientific Name:</w:t>
      </w:r>
      <w:r>
        <w:t xml:space="preserve"> </w:t>
      </w:r>
      <w:proofErr w:type="spellStart"/>
      <w:r>
        <w:rPr>
          <w:i/>
          <w:iCs/>
        </w:rPr>
        <w:t>Urtica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dioica</w:t>
      </w:r>
      <w:proofErr w:type="spellEnd"/>
      <w:r>
        <w:t xml:space="preserve"> L.</w:t>
      </w:r>
    </w:p>
    <w:p w14:paraId="155CDCB7" w14:textId="77777777" w:rsidR="00527ECE" w:rsidRDefault="00527ECE" w:rsidP="00527ECE">
      <w:pPr>
        <w:pStyle w:val="NormalWeb"/>
        <w:numPr>
          <w:ilvl w:val="0"/>
          <w:numId w:val="21"/>
        </w:numPr>
      </w:pPr>
      <w:r>
        <w:rPr>
          <w:b/>
          <w:bCs/>
        </w:rPr>
        <w:t>Family:</w:t>
      </w:r>
      <w:r>
        <w:t xml:space="preserve"> </w:t>
      </w:r>
      <w:proofErr w:type="spellStart"/>
      <w:r>
        <w:t>Urticaceae</w:t>
      </w:r>
      <w:proofErr w:type="spellEnd"/>
    </w:p>
    <w:p w14:paraId="268C0537" w14:textId="77777777" w:rsidR="00527ECE" w:rsidRDefault="00527ECE" w:rsidP="00527ECE">
      <w:r>
        <w:pict w14:anchorId="4C6B7DB5">
          <v:rect id="_x0000_i1025" style="width:0;height:1.5pt" o:hralign="center" o:hrstd="t" o:hr="t" fillcolor="#a0a0a0" stroked="f"/>
        </w:pict>
      </w:r>
    </w:p>
    <w:p w14:paraId="64B0D350" w14:textId="56FD7137" w:rsidR="00527ECE" w:rsidRPr="00AC7613" w:rsidRDefault="00527ECE" w:rsidP="00527ECE">
      <w:pPr>
        <w:pStyle w:val="Heading3"/>
        <w:rPr>
          <w:color w:val="FF0000"/>
        </w:rPr>
      </w:pPr>
      <w:r w:rsidRPr="00AC7613">
        <w:rPr>
          <w:color w:val="FF0000"/>
        </w:rPr>
        <w:t>Active Constituents (Ingredients)</w:t>
      </w:r>
      <w:r w:rsidR="00AC7613" w:rsidRPr="00AC7613">
        <w:rPr>
          <w:color w:val="FF0000"/>
        </w:rPr>
        <w:t>:</w:t>
      </w:r>
    </w:p>
    <w:p w14:paraId="6EA79713" w14:textId="77777777" w:rsidR="00527ECE" w:rsidRDefault="00527ECE" w:rsidP="00527ECE">
      <w:pPr>
        <w:pStyle w:val="NormalWeb"/>
      </w:pPr>
      <w:r>
        <w:t xml:space="preserve">The multi-target </w:t>
      </w:r>
      <w:proofErr w:type="spellStart"/>
      <w:r>
        <w:t>antiallergic</w:t>
      </w:r>
      <w:proofErr w:type="spellEnd"/>
      <w:r>
        <w:t xml:space="preserve"> profile of </w:t>
      </w:r>
      <w:proofErr w:type="spellStart"/>
      <w:r>
        <w:rPr>
          <w:i/>
          <w:iCs/>
        </w:rPr>
        <w:t>Urtica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dioica</w:t>
      </w:r>
      <w:proofErr w:type="spellEnd"/>
      <w:r>
        <w:t xml:space="preserve"> leaves is driven by its diverse hydrophilic and lipophilic bioactive compounds:</w:t>
      </w:r>
    </w:p>
    <w:p w14:paraId="2E5BAD23" w14:textId="77777777" w:rsidR="00527ECE" w:rsidRDefault="00527ECE" w:rsidP="00527ECE">
      <w:pPr>
        <w:pStyle w:val="NormalWeb"/>
        <w:numPr>
          <w:ilvl w:val="0"/>
          <w:numId w:val="22"/>
        </w:numPr>
      </w:pPr>
      <w:r>
        <w:rPr>
          <w:b/>
          <w:bCs/>
        </w:rPr>
        <w:t>Polyphenols &amp; Flavonoids:</w:t>
      </w:r>
      <w:r>
        <w:t xml:space="preserve"> Rich in </w:t>
      </w:r>
      <w:proofErr w:type="spellStart"/>
      <w:r>
        <w:rPr>
          <w:b/>
          <w:bCs/>
        </w:rPr>
        <w:t>Quercetin</w:t>
      </w:r>
      <w:proofErr w:type="spellEnd"/>
      <w:r>
        <w:t xml:space="preserve">, </w:t>
      </w:r>
      <w:proofErr w:type="spellStart"/>
      <w:r>
        <w:rPr>
          <w:b/>
          <w:bCs/>
        </w:rPr>
        <w:t>Kaempferol</w:t>
      </w:r>
      <w:proofErr w:type="spellEnd"/>
      <w:r>
        <w:t xml:space="preserve">, </w:t>
      </w:r>
      <w:proofErr w:type="spellStart"/>
      <w:r>
        <w:t>rutin</w:t>
      </w:r>
      <w:proofErr w:type="spellEnd"/>
      <w:r>
        <w:t xml:space="preserve">, and </w:t>
      </w:r>
      <w:proofErr w:type="spellStart"/>
      <w:r>
        <w:t>caffeoylmalic</w:t>
      </w:r>
      <w:proofErr w:type="spellEnd"/>
      <w:r>
        <w:t xml:space="preserve"> acid (CMA). These compounds act as potent inhibitors of inflammatory enzymes and serve as natural antioxidants.</w:t>
      </w:r>
    </w:p>
    <w:p w14:paraId="0E0DEDA9" w14:textId="77777777" w:rsidR="00527ECE" w:rsidRDefault="00527ECE" w:rsidP="00527ECE">
      <w:pPr>
        <w:pStyle w:val="NormalWeb"/>
        <w:numPr>
          <w:ilvl w:val="0"/>
          <w:numId w:val="22"/>
        </w:numPr>
      </w:pPr>
      <w:r>
        <w:rPr>
          <w:b/>
          <w:bCs/>
        </w:rPr>
        <w:t>Flavonoid Glycosides:</w:t>
      </w:r>
      <w:r>
        <w:t xml:space="preserve"> Form the backbone of its anti-inflammatory property, contributing to cell-membrane stabilization.</w:t>
      </w:r>
    </w:p>
    <w:p w14:paraId="47632CFC" w14:textId="77777777" w:rsidR="00527ECE" w:rsidRDefault="00527ECE" w:rsidP="00527ECE">
      <w:pPr>
        <w:pStyle w:val="NormalWeb"/>
        <w:numPr>
          <w:ilvl w:val="0"/>
          <w:numId w:val="22"/>
        </w:numPr>
      </w:pPr>
      <w:r>
        <w:rPr>
          <w:b/>
          <w:bCs/>
        </w:rPr>
        <w:t>Volatile &amp; Plant Acids:</w:t>
      </w:r>
      <w:r>
        <w:t xml:space="preserve"> Phenolic acids (</w:t>
      </w:r>
      <w:proofErr w:type="spellStart"/>
      <w:r>
        <w:t>chlorogenic</w:t>
      </w:r>
      <w:proofErr w:type="spellEnd"/>
      <w:r>
        <w:t xml:space="preserve"> and </w:t>
      </w:r>
      <w:proofErr w:type="spellStart"/>
      <w:r>
        <w:t>caffeic</w:t>
      </w:r>
      <w:proofErr w:type="spellEnd"/>
      <w:r>
        <w:t xml:space="preserve"> acids) providing cellular protective mechanisms.</w:t>
      </w:r>
    </w:p>
    <w:p w14:paraId="42C1890D" w14:textId="77777777" w:rsidR="00527ECE" w:rsidRDefault="00527ECE" w:rsidP="00527ECE">
      <w:pPr>
        <w:pStyle w:val="NormalWeb"/>
        <w:numPr>
          <w:ilvl w:val="0"/>
          <w:numId w:val="22"/>
        </w:numPr>
      </w:pPr>
      <w:r>
        <w:rPr>
          <w:b/>
          <w:bCs/>
        </w:rPr>
        <w:t xml:space="preserve">Neurotransmitters (In Fresh </w:t>
      </w:r>
      <w:proofErr w:type="spellStart"/>
      <w:r>
        <w:rPr>
          <w:b/>
          <w:bCs/>
        </w:rPr>
        <w:t>Trichomes</w:t>
      </w:r>
      <w:proofErr w:type="spellEnd"/>
      <w:r>
        <w:rPr>
          <w:b/>
          <w:bCs/>
        </w:rPr>
        <w:t>):</w:t>
      </w:r>
      <w:r>
        <w:t xml:space="preserve"> Fresh stinging hairs contain </w:t>
      </w:r>
      <w:r>
        <w:rPr>
          <w:b/>
          <w:bCs/>
        </w:rPr>
        <w:t>Histamine</w:t>
      </w:r>
      <w:r>
        <w:t xml:space="preserve">, </w:t>
      </w:r>
      <w:r>
        <w:rPr>
          <w:b/>
          <w:bCs/>
        </w:rPr>
        <w:t>Acetylcholine</w:t>
      </w:r>
      <w:r>
        <w:t xml:space="preserve">, </w:t>
      </w:r>
      <w:r>
        <w:rPr>
          <w:b/>
          <w:bCs/>
        </w:rPr>
        <w:t>Serotonin (5-HT)</w:t>
      </w:r>
      <w:r>
        <w:t xml:space="preserve">, and formic acid. </w:t>
      </w:r>
      <w:r>
        <w:rPr>
          <w:b/>
          <w:bCs/>
        </w:rPr>
        <w:t>Pharmaceutical Note:</w:t>
      </w:r>
      <w:r>
        <w:t xml:space="preserve"> Thermal processing, freeze-drying, or air-drying denatures these local irritants, converting the leaf into a therapeutic anti-allergic agent.</w:t>
      </w:r>
    </w:p>
    <w:p w14:paraId="15B398D5" w14:textId="77777777" w:rsidR="00527ECE" w:rsidRDefault="00527ECE" w:rsidP="00527ECE">
      <w:r>
        <w:pict w14:anchorId="52C27746">
          <v:rect id="_x0000_i1026" style="width:0;height:1.5pt" o:hralign="center" o:hrstd="t" o:hr="t" fillcolor="#a0a0a0" stroked="f"/>
        </w:pict>
      </w:r>
    </w:p>
    <w:p w14:paraId="25FAE671" w14:textId="53ED22DF" w:rsidR="00527ECE" w:rsidRPr="00AC7613" w:rsidRDefault="00527ECE" w:rsidP="00527ECE">
      <w:pPr>
        <w:pStyle w:val="Heading3"/>
        <w:rPr>
          <w:color w:val="FF0000"/>
        </w:rPr>
      </w:pPr>
      <w:r w:rsidRPr="00AC7613">
        <w:rPr>
          <w:color w:val="FF0000"/>
        </w:rPr>
        <w:t>MOA (Mechanism of Action)</w:t>
      </w:r>
      <w:r w:rsidR="00AC7613" w:rsidRPr="00AC7613">
        <w:rPr>
          <w:color w:val="FF0000"/>
        </w:rPr>
        <w:t>:</w:t>
      </w:r>
    </w:p>
    <w:p w14:paraId="25674655" w14:textId="5BD8F250" w:rsidR="00527ECE" w:rsidRDefault="00527ECE" w:rsidP="00527ECE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Histamine H1-Receptor Antagonism &amp; Inverse </w:t>
      </w:r>
      <w:proofErr w:type="spellStart"/>
      <w:r>
        <w:rPr>
          <w:b/>
          <w:bCs/>
        </w:rPr>
        <w:t>Agonism</w:t>
      </w:r>
      <w:proofErr w:type="spellEnd"/>
      <w:r>
        <w:rPr>
          <w:b/>
          <w:bCs/>
        </w:rPr>
        <w:t>:</w:t>
      </w:r>
      <w:r>
        <w:t xml:space="preserve"> Bioactive fractions of nettle leaf extract exhibit a strong binding affinity to the </w:t>
      </w:r>
      <w:r>
        <w:rPr>
          <w:b/>
          <w:bCs/>
        </w:rPr>
        <w:t xml:space="preserve">Histamine </w:t>
      </w:r>
      <w:r>
        <w:rPr>
          <w:rStyle w:val="math-inline"/>
          <w:rFonts w:eastAsiaTheme="majorEastAsia"/>
          <w:b/>
          <w:bCs/>
        </w:rPr>
        <w:t>H_1</w:t>
      </w:r>
      <w:r>
        <w:rPr>
          <w:b/>
          <w:bCs/>
        </w:rPr>
        <w:t xml:space="preserve"> receptor</w:t>
      </w:r>
      <w:r>
        <w:t>, acting as a competitive antagonist and inverse agonist. This directly prevents histamine from binding to vascular and neural endothelial cells, reducing rhinorrhea, sneezing, and nasal pruritus.</w:t>
      </w:r>
    </w:p>
    <w:p w14:paraId="0601F716" w14:textId="77777777" w:rsidR="00527ECE" w:rsidRDefault="00527ECE" w:rsidP="00527ECE">
      <w:pPr>
        <w:pStyle w:val="NormalWeb"/>
        <w:numPr>
          <w:ilvl w:val="0"/>
          <w:numId w:val="23"/>
        </w:numPr>
      </w:pPr>
      <w:r>
        <w:rPr>
          <w:b/>
          <w:bCs/>
        </w:rPr>
        <w:t>Mast Cell Membrane Stabilization:</w:t>
      </w:r>
      <w:r>
        <w:t xml:space="preserve"> Inhibits the degranulation of mast cells and basophils. It </w:t>
      </w:r>
      <w:proofErr w:type="spellStart"/>
      <w:r>
        <w:t>downregulates</w:t>
      </w:r>
      <w:proofErr w:type="spellEnd"/>
      <w:r>
        <w:t xml:space="preserve"> intracellular signaling pathways required for exocytosis, thereby preventing the initial dumping of histamine, </w:t>
      </w:r>
      <w:proofErr w:type="spellStart"/>
      <w:r>
        <w:t>tryptase</w:t>
      </w:r>
      <w:proofErr w:type="spellEnd"/>
      <w:r>
        <w:t>, and pre-formed pro-inflammatory cytokines into the nasal mucosal microenvironment.</w:t>
      </w:r>
    </w:p>
    <w:p w14:paraId="1470B00E" w14:textId="79A887B3" w:rsidR="00527ECE" w:rsidRDefault="00527ECE" w:rsidP="00527ECE">
      <w:pPr>
        <w:pStyle w:val="NormalWeb"/>
        <w:numPr>
          <w:ilvl w:val="0"/>
          <w:numId w:val="23"/>
        </w:numPr>
      </w:pPr>
      <w:r>
        <w:rPr>
          <w:b/>
          <w:bCs/>
        </w:rPr>
        <w:t>Pro-inflammatory Enzyme Inhibition:</w:t>
      </w:r>
      <w:r>
        <w:t xml:space="preserve"> Demonstrates targeted inhibition of </w:t>
      </w:r>
      <w:r>
        <w:rPr>
          <w:b/>
          <w:bCs/>
        </w:rPr>
        <w:t>Cyclooxygenase-1 (COX-1)</w:t>
      </w:r>
      <w:r>
        <w:t xml:space="preserve">, </w:t>
      </w:r>
      <w:r>
        <w:rPr>
          <w:b/>
          <w:bCs/>
        </w:rPr>
        <w:t>Cyclooxygenase-2 (COX-2)</w:t>
      </w:r>
      <w:r>
        <w:t>, and Hematopoietic Prostaglandin D2 Synthase (</w:t>
      </w:r>
      <w:r>
        <w:rPr>
          <w:b/>
          <w:bCs/>
        </w:rPr>
        <w:t>HPGDS</w:t>
      </w:r>
      <w:r>
        <w:t>). This halts the cascade responsible for producing prostaglandins (</w:t>
      </w:r>
      <w:r>
        <w:rPr>
          <w:rStyle w:val="math-inline"/>
          <w:rFonts w:eastAsiaTheme="majorEastAsia"/>
        </w:rPr>
        <w:t>PGE_2</w:t>
      </w:r>
      <w:r>
        <w:t>) and suppresses downstream nasal tissue inflammation.</w:t>
      </w:r>
    </w:p>
    <w:p w14:paraId="421ED13E" w14:textId="77777777" w:rsidR="00527ECE" w:rsidRDefault="00527ECE" w:rsidP="00527ECE">
      <w:pPr>
        <w:pStyle w:val="NormalWeb"/>
        <w:numPr>
          <w:ilvl w:val="0"/>
          <w:numId w:val="23"/>
        </w:numPr>
      </w:pPr>
      <w:r>
        <w:rPr>
          <w:b/>
          <w:bCs/>
        </w:rPr>
        <w:lastRenderedPageBreak/>
        <w:t xml:space="preserve">Mast Cell </w:t>
      </w:r>
      <w:proofErr w:type="spellStart"/>
      <w:r>
        <w:rPr>
          <w:b/>
          <w:bCs/>
        </w:rPr>
        <w:t>Tryptase</w:t>
      </w:r>
      <w:proofErr w:type="spellEnd"/>
      <w:r>
        <w:rPr>
          <w:b/>
          <w:bCs/>
        </w:rPr>
        <w:t xml:space="preserve"> Inhibition:</w:t>
      </w:r>
      <w:r>
        <w:t xml:space="preserve"> Blocks the catalytic activity of mast cell </w:t>
      </w:r>
      <w:proofErr w:type="spellStart"/>
      <w:r>
        <w:t>tryptase</w:t>
      </w:r>
      <w:proofErr w:type="spellEnd"/>
      <w:r>
        <w:t xml:space="preserve">, an enzyme responsible for degrading the extracellular matrix, increasing vascular permeability, and worsening nasal tissue </w:t>
      </w:r>
      <w:proofErr w:type="spellStart"/>
      <w:r>
        <w:t>hyperreactivity</w:t>
      </w:r>
      <w:proofErr w:type="spellEnd"/>
      <w:r>
        <w:t xml:space="preserve"> during allergic flares.</w:t>
      </w:r>
    </w:p>
    <w:p w14:paraId="334E0E4B" w14:textId="7CE8F3EE" w:rsidR="00527ECE" w:rsidRDefault="00527ECE" w:rsidP="00527ECE">
      <w:pPr>
        <w:pStyle w:val="NormalWeb"/>
        <w:numPr>
          <w:ilvl w:val="0"/>
          <w:numId w:val="23"/>
        </w:numPr>
      </w:pPr>
      <w:r>
        <w:rPr>
          <w:b/>
          <w:bCs/>
        </w:rPr>
        <w:t>Eosinophil Recruitment Reduction:</w:t>
      </w:r>
      <w:r>
        <w:t xml:space="preserve"> Inhibits the expression of endothelial adhesion molecules (</w:t>
      </w:r>
      <w:r>
        <w:rPr>
          <w:rStyle w:val="math-inline"/>
          <w:rFonts w:eastAsiaTheme="majorEastAsia"/>
        </w:rPr>
        <w:t>ICAM-1</w:t>
      </w:r>
      <w:r>
        <w:t xml:space="preserve"> and </w:t>
      </w:r>
      <w:r>
        <w:rPr>
          <w:rStyle w:val="math-inline"/>
          <w:rFonts w:eastAsiaTheme="majorEastAsia"/>
        </w:rPr>
        <w:t>VCAM-1</w:t>
      </w:r>
      <w:r>
        <w:t xml:space="preserve">), which significantly decreases the migration, infiltration, and accumulation of </w:t>
      </w:r>
      <w:proofErr w:type="spellStart"/>
      <w:r>
        <w:t>eosinophils</w:t>
      </w:r>
      <w:proofErr w:type="spellEnd"/>
      <w:r>
        <w:t xml:space="preserve"> into the nasal mucosa during the late-phase allergic response.</w:t>
      </w:r>
    </w:p>
    <w:p w14:paraId="548713C2" w14:textId="77777777" w:rsidR="00527ECE" w:rsidRDefault="00527ECE" w:rsidP="00527ECE">
      <w:r>
        <w:pict w14:anchorId="09668F33">
          <v:rect id="_x0000_i1027" style="width:0;height:1.5pt" o:hralign="center" o:hrstd="t" o:hr="t" fillcolor="#a0a0a0" stroked="f"/>
        </w:pict>
      </w:r>
    </w:p>
    <w:p w14:paraId="5D0DE260" w14:textId="4B5FA153" w:rsidR="00527ECE" w:rsidRDefault="00527ECE" w:rsidP="00527ECE">
      <w:pPr>
        <w:pStyle w:val="Heading3"/>
      </w:pPr>
      <w:r w:rsidRPr="00AC7613">
        <w:rPr>
          <w:color w:val="FF0000"/>
        </w:rPr>
        <w:t>Indications &amp; Uses</w:t>
      </w:r>
      <w:r w:rsidR="00AC7613" w:rsidRPr="00AC7613">
        <w:rPr>
          <w:color w:val="FF0000"/>
        </w:rPr>
        <w:t>:</w:t>
      </w:r>
    </w:p>
    <w:p w14:paraId="78B2621A" w14:textId="77777777" w:rsidR="00527ECE" w:rsidRDefault="00527ECE" w:rsidP="00527ECE">
      <w:pPr>
        <w:pStyle w:val="NormalWeb"/>
        <w:numPr>
          <w:ilvl w:val="0"/>
          <w:numId w:val="24"/>
        </w:numPr>
      </w:pPr>
      <w:r>
        <w:rPr>
          <w:b/>
          <w:bCs/>
        </w:rPr>
        <w:t>Symptomatic Relief of Seasonal Allergic Rhinitis (Hay Fever):</w:t>
      </w:r>
      <w:r>
        <w:t xml:space="preserve"> Reduces acute upper respiratory tract symptoms, including allergic rhinorrhea, persistent sneezing, nasal congestion, and lacrimation (watery eyes).</w:t>
      </w:r>
    </w:p>
    <w:p w14:paraId="6E6A687E" w14:textId="77777777" w:rsidR="00527ECE" w:rsidRDefault="00527ECE" w:rsidP="00527ECE">
      <w:pPr>
        <w:pStyle w:val="NormalWeb"/>
        <w:numPr>
          <w:ilvl w:val="0"/>
          <w:numId w:val="24"/>
        </w:numPr>
      </w:pPr>
      <w:r>
        <w:rPr>
          <w:b/>
          <w:bCs/>
        </w:rPr>
        <w:t>Adjuvant Therapy for Chronic Inflammatory Conditions:</w:t>
      </w:r>
      <w:r>
        <w:t xml:space="preserve"> Functions as a supportive agent to reduce pain and inflammatory scores in mild osteoarthritic conditions.</w:t>
      </w:r>
    </w:p>
    <w:p w14:paraId="03379D18" w14:textId="77777777" w:rsidR="00527ECE" w:rsidRDefault="00527ECE" w:rsidP="00527ECE">
      <w:pPr>
        <w:pStyle w:val="NormalWeb"/>
        <w:numPr>
          <w:ilvl w:val="0"/>
          <w:numId w:val="24"/>
        </w:numPr>
      </w:pPr>
      <w:r>
        <w:rPr>
          <w:b/>
          <w:bCs/>
        </w:rPr>
        <w:t>Mild Diuretic Support:</w:t>
      </w:r>
      <w:r>
        <w:t xml:space="preserve"> Utilized traditionally to flush the lower urinary tract and prevent minor fluid retention.</w:t>
      </w:r>
    </w:p>
    <w:p w14:paraId="079243D1" w14:textId="77777777" w:rsidR="00527ECE" w:rsidRDefault="00527ECE" w:rsidP="00527ECE">
      <w:r>
        <w:pict w14:anchorId="3E90580B">
          <v:rect id="_x0000_i1028" style="width:0;height:1.5pt" o:hralign="center" o:hrstd="t" o:hr="t" fillcolor="#a0a0a0" stroked="f"/>
        </w:pict>
      </w:r>
    </w:p>
    <w:p w14:paraId="11404ED8" w14:textId="2EBCBE9A" w:rsidR="00527ECE" w:rsidRPr="00AC7613" w:rsidRDefault="00527ECE" w:rsidP="00527ECE">
      <w:pPr>
        <w:pStyle w:val="Heading3"/>
        <w:rPr>
          <w:color w:val="FF0000"/>
        </w:rPr>
      </w:pPr>
      <w:r w:rsidRPr="00AC7613">
        <w:rPr>
          <w:color w:val="FF0000"/>
        </w:rPr>
        <w:t>How to Use &amp; Dose (Leaf Specific for Allergies)</w:t>
      </w:r>
      <w:r w:rsidR="00AC7613" w:rsidRPr="00AC7613">
        <w:rPr>
          <w:color w:val="FF0000"/>
        </w:rPr>
        <w:t>:</w:t>
      </w:r>
    </w:p>
    <w:p w14:paraId="6B1D7B7D" w14:textId="46A3B4B4" w:rsidR="00527ECE" w:rsidRDefault="00527ECE" w:rsidP="00527ECE">
      <w:pPr>
        <w:pStyle w:val="NormalWeb"/>
        <w:numPr>
          <w:ilvl w:val="0"/>
          <w:numId w:val="25"/>
        </w:numPr>
      </w:pPr>
      <w:r>
        <w:rPr>
          <w:b/>
          <w:bCs/>
        </w:rPr>
        <w:t>Standardized Freeze-Dried Leaf Capsules:</w:t>
      </w:r>
      <w:r>
        <w:t xml:space="preserve"> </w:t>
      </w:r>
      <w:r w:rsidR="003856F5">
        <w:rPr>
          <w:rStyle w:val="math-inline"/>
          <w:rFonts w:eastAsiaTheme="majorEastAsia"/>
        </w:rPr>
        <w:t>300 - 600 mg</w:t>
      </w:r>
      <w:r>
        <w:t xml:space="preserve"> taken 2 to 3 times daily (highly preferred for allergic rhinitis as freeze-drying preserves the anti-inflammatory constituents).</w:t>
      </w:r>
    </w:p>
    <w:p w14:paraId="651762DB" w14:textId="17F24DEC" w:rsidR="00527ECE" w:rsidRDefault="00527ECE" w:rsidP="00527ECE">
      <w:pPr>
        <w:pStyle w:val="NormalWeb"/>
        <w:numPr>
          <w:ilvl w:val="0"/>
          <w:numId w:val="25"/>
        </w:numPr>
      </w:pPr>
      <w:r>
        <w:rPr>
          <w:b/>
          <w:bCs/>
        </w:rPr>
        <w:t>Aqueous Leaf Infusion (Nettle Tea):</w:t>
      </w:r>
      <w:r>
        <w:t xml:space="preserve"> Steep </w:t>
      </w:r>
      <w:r w:rsidR="003856F5">
        <w:rPr>
          <w:rStyle w:val="math-inline"/>
          <w:rFonts w:eastAsiaTheme="majorEastAsia"/>
        </w:rPr>
        <w:t>2 - 4 g</w:t>
      </w:r>
      <w:r>
        <w:t xml:space="preserve"> of dried loose leaves in </w:t>
      </w:r>
      <w:r w:rsidR="003856F5">
        <w:rPr>
          <w:rStyle w:val="math-inline"/>
          <w:rFonts w:eastAsiaTheme="majorEastAsia"/>
        </w:rPr>
        <w:t>150 - 200 mL</w:t>
      </w:r>
      <w:r>
        <w:t xml:space="preserve"> of boiling water for </w:t>
      </w:r>
      <w:r w:rsidR="003856F5">
        <w:rPr>
          <w:rStyle w:val="math-inline"/>
          <w:rFonts w:eastAsiaTheme="majorEastAsia"/>
        </w:rPr>
        <w:t>10 - 15 minutes</w:t>
      </w:r>
      <w:r>
        <w:t>. Drink 3 to 4 cups daily.</w:t>
      </w:r>
    </w:p>
    <w:p w14:paraId="4D385821" w14:textId="6FAE4C66" w:rsidR="00527ECE" w:rsidRDefault="00527ECE" w:rsidP="00527ECE">
      <w:pPr>
        <w:pStyle w:val="NormalWeb"/>
        <w:numPr>
          <w:ilvl w:val="0"/>
          <w:numId w:val="25"/>
        </w:numPr>
      </w:pPr>
      <w:r>
        <w:rPr>
          <w:b/>
          <w:bCs/>
        </w:rPr>
        <w:t xml:space="preserve">Fluid Extract / Tincture (1:5 </w:t>
      </w:r>
      <w:proofErr w:type="gramStart"/>
      <w:r>
        <w:rPr>
          <w:b/>
          <w:bCs/>
        </w:rPr>
        <w:t>in 45% ethanol</w:t>
      </w:r>
      <w:proofErr w:type="gramEnd"/>
      <w:r>
        <w:rPr>
          <w:b/>
          <w:bCs/>
        </w:rPr>
        <w:t>):</w:t>
      </w:r>
      <w:r>
        <w:t xml:space="preserve"> </w:t>
      </w:r>
      <w:r w:rsidR="003856F5">
        <w:rPr>
          <w:rStyle w:val="math-inline"/>
          <w:rFonts w:eastAsiaTheme="majorEastAsia"/>
        </w:rPr>
        <w:t>2 - 6 mL</w:t>
      </w:r>
      <w:r>
        <w:t xml:space="preserve"> taken three times daily.</w:t>
      </w:r>
    </w:p>
    <w:p w14:paraId="0599CB66" w14:textId="77777777" w:rsidR="00527ECE" w:rsidRDefault="00527ECE" w:rsidP="00527ECE">
      <w:r>
        <w:pict w14:anchorId="428E6088">
          <v:rect id="_x0000_i1029" style="width:0;height:1.5pt" o:hralign="center" o:hrstd="t" o:hr="t" fillcolor="#a0a0a0" stroked="f"/>
        </w:pict>
      </w:r>
    </w:p>
    <w:p w14:paraId="781CC09F" w14:textId="19E8DE6F" w:rsidR="00527ECE" w:rsidRPr="00AC7613" w:rsidRDefault="00527ECE" w:rsidP="00527ECE">
      <w:pPr>
        <w:pStyle w:val="Heading3"/>
        <w:rPr>
          <w:color w:val="FF0000"/>
        </w:rPr>
      </w:pPr>
      <w:r w:rsidRPr="00AC7613">
        <w:rPr>
          <w:color w:val="FF0000"/>
        </w:rPr>
        <w:t>Target Populations &amp; Safety</w:t>
      </w:r>
      <w:r w:rsidR="00AC7613" w:rsidRPr="00AC7613">
        <w:rPr>
          <w:color w:val="FF0000"/>
        </w:rPr>
        <w:t>:</w:t>
      </w:r>
    </w:p>
    <w:p w14:paraId="0216994A" w14:textId="77777777" w:rsidR="00527ECE" w:rsidRDefault="00527ECE" w:rsidP="00527ECE">
      <w:pPr>
        <w:pStyle w:val="NormalWeb"/>
        <w:numPr>
          <w:ilvl w:val="0"/>
          <w:numId w:val="26"/>
        </w:numPr>
      </w:pPr>
      <w:r>
        <w:rPr>
          <w:b/>
          <w:bCs/>
        </w:rPr>
        <w:t>Pregnancy &amp; Lactation:</w:t>
      </w:r>
      <w:r>
        <w:t xml:space="preserve"> </w:t>
      </w:r>
      <w:r>
        <w:rPr>
          <w:b/>
          <w:bCs/>
        </w:rPr>
        <w:t>Strictly Contraindicated.</w:t>
      </w:r>
      <w:r>
        <w:t xml:space="preserve"> Extracted compounds can stimulate uterine contractions (oxytocic and </w:t>
      </w:r>
      <w:proofErr w:type="spellStart"/>
      <w:r>
        <w:t>abortifacient</w:t>
      </w:r>
      <w:proofErr w:type="spellEnd"/>
      <w:r>
        <w:t xml:space="preserve"> potential). There is insufficient safety data during lactation.</w:t>
      </w:r>
    </w:p>
    <w:p w14:paraId="3803535F" w14:textId="34FB96D5" w:rsidR="00527ECE" w:rsidRDefault="00527ECE" w:rsidP="00527ECE">
      <w:pPr>
        <w:pStyle w:val="NormalWeb"/>
        <w:numPr>
          <w:ilvl w:val="0"/>
          <w:numId w:val="26"/>
        </w:numPr>
      </w:pPr>
      <w:r>
        <w:rPr>
          <w:b/>
          <w:bCs/>
        </w:rPr>
        <w:t>Pediatrics (</w:t>
      </w:r>
      <w:r>
        <w:rPr>
          <w:rStyle w:val="math-inline"/>
          <w:rFonts w:eastAsiaTheme="majorEastAsia"/>
          <w:b/>
          <w:bCs/>
        </w:rPr>
        <w:t>&lt;12</w:t>
      </w:r>
      <w:r>
        <w:rPr>
          <w:b/>
          <w:bCs/>
        </w:rPr>
        <w:t xml:space="preserve"> years old):</w:t>
      </w:r>
      <w:r>
        <w:t xml:space="preserve"> Not recommended due to limited clinical evaluation regarding safety and dosing standards in young children.</w:t>
      </w:r>
    </w:p>
    <w:p w14:paraId="72A232C9" w14:textId="77777777" w:rsidR="00527ECE" w:rsidRDefault="00527ECE" w:rsidP="00527ECE">
      <w:pPr>
        <w:pStyle w:val="NormalWeb"/>
        <w:numPr>
          <w:ilvl w:val="0"/>
          <w:numId w:val="26"/>
        </w:numPr>
      </w:pPr>
      <w:r>
        <w:rPr>
          <w:b/>
          <w:bCs/>
        </w:rPr>
        <w:t>Geriatrics &amp; Chronic Diseases:</w:t>
      </w:r>
    </w:p>
    <w:p w14:paraId="5383409B" w14:textId="77777777" w:rsidR="00527ECE" w:rsidRDefault="00527ECE" w:rsidP="00527ECE">
      <w:pPr>
        <w:pStyle w:val="NormalWeb"/>
        <w:numPr>
          <w:ilvl w:val="1"/>
          <w:numId w:val="26"/>
        </w:numPr>
      </w:pPr>
      <w:r>
        <w:rPr>
          <w:i/>
          <w:iCs/>
        </w:rPr>
        <w:t>Cardiovascular &amp; Renal Disease:</w:t>
      </w:r>
      <w:r>
        <w:t xml:space="preserve"> Use with caution in patients with congestive heart failure (CHF) or severe chronic kidney disease (CKD) due to the plant's </w:t>
      </w:r>
      <w:r>
        <w:rPr>
          <w:b/>
          <w:bCs/>
        </w:rPr>
        <w:t>potent diuretic action</w:t>
      </w:r>
      <w:r>
        <w:t xml:space="preserve"> and high potassium content which can disrupt electrolyte balances.</w:t>
      </w:r>
    </w:p>
    <w:p w14:paraId="6D525040" w14:textId="77777777" w:rsidR="00527ECE" w:rsidRDefault="00527ECE" w:rsidP="00527ECE">
      <w:r>
        <w:lastRenderedPageBreak/>
        <w:pict w14:anchorId="6B1A26A2">
          <v:rect id="_x0000_i1030" style="width:0;height:1.5pt" o:hralign="center" o:hrstd="t" o:hr="t" fillcolor="#a0a0a0" stroked="f"/>
        </w:pict>
      </w:r>
    </w:p>
    <w:p w14:paraId="09DD8E35" w14:textId="15A9FC8D" w:rsidR="00527ECE" w:rsidRPr="00AC7613" w:rsidRDefault="00527ECE" w:rsidP="00527ECE">
      <w:pPr>
        <w:pStyle w:val="Heading3"/>
        <w:rPr>
          <w:color w:val="FF0000"/>
        </w:rPr>
      </w:pPr>
      <w:r w:rsidRPr="00AC7613">
        <w:rPr>
          <w:color w:val="FF0000"/>
        </w:rPr>
        <w:t>Overdose-Toxicity, Symptoms &amp; Management</w:t>
      </w:r>
      <w:r w:rsidR="00AC7613" w:rsidRPr="00AC7613">
        <w:rPr>
          <w:color w:val="FF0000"/>
        </w:rPr>
        <w:t>:</w:t>
      </w:r>
    </w:p>
    <w:p w14:paraId="13A52A8C" w14:textId="77777777" w:rsidR="00527ECE" w:rsidRDefault="00527ECE" w:rsidP="00527ECE">
      <w:pPr>
        <w:pStyle w:val="NormalWeb"/>
        <w:numPr>
          <w:ilvl w:val="0"/>
          <w:numId w:val="27"/>
        </w:numPr>
      </w:pPr>
      <w:r>
        <w:rPr>
          <w:b/>
          <w:bCs/>
        </w:rPr>
        <w:t>Acute Ingestion Overdose:</w:t>
      </w:r>
      <w:r>
        <w:t xml:space="preserve"> Severe clinical toxicity is rare as </w:t>
      </w:r>
      <w:proofErr w:type="spellStart"/>
      <w:r>
        <w:rPr>
          <w:i/>
          <w:iCs/>
        </w:rPr>
        <w:t>Urtica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dioica</w:t>
      </w:r>
      <w:proofErr w:type="spellEnd"/>
      <w:r>
        <w:t xml:space="preserve"> has a high therapeutic index.</w:t>
      </w:r>
    </w:p>
    <w:p w14:paraId="425E058A" w14:textId="77777777" w:rsidR="00527ECE" w:rsidRDefault="00527ECE" w:rsidP="00527ECE">
      <w:pPr>
        <w:pStyle w:val="NormalWeb"/>
        <w:numPr>
          <w:ilvl w:val="1"/>
          <w:numId w:val="27"/>
        </w:numPr>
      </w:pPr>
      <w:r>
        <w:rPr>
          <w:b/>
          <w:bCs/>
        </w:rPr>
        <w:t>Symptoms:</w:t>
      </w:r>
      <w:r>
        <w:t xml:space="preserve"> Acute gastrointestinal distress (severe </w:t>
      </w:r>
      <w:proofErr w:type="spellStart"/>
      <w:r>
        <w:t>epigastric</w:t>
      </w:r>
      <w:proofErr w:type="spellEnd"/>
      <w:r>
        <w:t xml:space="preserve"> pain, nausea, osmotic diarrhea, or constipation), profuse diaphoresis (sweating), severe hypotension (low blood pressure), and electrolyte depletion secondary to excessive diuresis.</w:t>
      </w:r>
    </w:p>
    <w:p w14:paraId="2C076051" w14:textId="77777777" w:rsidR="00527ECE" w:rsidRDefault="00527ECE" w:rsidP="00527ECE">
      <w:pPr>
        <w:pStyle w:val="NormalWeb"/>
        <w:numPr>
          <w:ilvl w:val="1"/>
          <w:numId w:val="27"/>
        </w:numPr>
      </w:pPr>
      <w:r>
        <w:rPr>
          <w:b/>
          <w:bCs/>
        </w:rPr>
        <w:t>Management:</w:t>
      </w:r>
      <w:r>
        <w:t xml:space="preserve"> Discontinue usage immediately. Correct fluid loss and potential electrolyte imbalances (monitor serum potassium and sodium). Administer symptomatic gastrointestinal protectants (antacids, H2-blockers) if gastric pain persists. Treat systemic allergic reactions (rashes/hives) with standard </w:t>
      </w:r>
      <w:r>
        <w:rPr>
          <w:rStyle w:val="math-inline"/>
          <w:rFonts w:eastAsiaTheme="majorEastAsia"/>
        </w:rPr>
        <w:t>$H_1$</w:t>
      </w:r>
      <w:r>
        <w:t>-antihistamines.</w:t>
      </w:r>
    </w:p>
    <w:p w14:paraId="3206CD75" w14:textId="77777777" w:rsidR="00527ECE" w:rsidRDefault="00527ECE" w:rsidP="00527ECE">
      <w:r>
        <w:pict w14:anchorId="6548FDE6">
          <v:rect id="_x0000_i1031" style="width:0;height:1.5pt" o:hralign="center" o:hrstd="t" o:hr="t" fillcolor="#a0a0a0" stroked="f"/>
        </w:pict>
      </w:r>
    </w:p>
    <w:p w14:paraId="4A04C6AA" w14:textId="354A77DA" w:rsidR="00527ECE" w:rsidRPr="00AC7613" w:rsidRDefault="00527ECE" w:rsidP="00527ECE">
      <w:pPr>
        <w:pStyle w:val="Heading3"/>
        <w:rPr>
          <w:color w:val="FF0000"/>
        </w:rPr>
      </w:pPr>
      <w:r w:rsidRPr="00AC7613">
        <w:rPr>
          <w:color w:val="FF0000"/>
        </w:rPr>
        <w:t>Side Effects (Oral Administration)</w:t>
      </w:r>
      <w:r w:rsidR="00AC7613" w:rsidRPr="00AC7613">
        <w:rPr>
          <w:color w:val="FF0000"/>
        </w:rPr>
        <w:t>:</w:t>
      </w:r>
    </w:p>
    <w:p w14:paraId="34463456" w14:textId="77777777" w:rsidR="00527ECE" w:rsidRDefault="00527ECE" w:rsidP="00527ECE">
      <w:pPr>
        <w:pStyle w:val="NormalWeb"/>
        <w:numPr>
          <w:ilvl w:val="0"/>
          <w:numId w:val="28"/>
        </w:numPr>
      </w:pPr>
      <w:r>
        <w:rPr>
          <w:b/>
          <w:bCs/>
        </w:rPr>
        <w:t>Gastrointestinal:</w:t>
      </w:r>
      <w:r>
        <w:t xml:space="preserve"> Mild stomach upset, abdominal cramping, diarrhea, or transient nausea.</w:t>
      </w:r>
    </w:p>
    <w:p w14:paraId="04529326" w14:textId="77777777" w:rsidR="00527ECE" w:rsidRDefault="00527ECE" w:rsidP="00527ECE">
      <w:pPr>
        <w:pStyle w:val="NormalWeb"/>
        <w:numPr>
          <w:ilvl w:val="0"/>
          <w:numId w:val="28"/>
        </w:numPr>
      </w:pPr>
      <w:r>
        <w:rPr>
          <w:b/>
          <w:bCs/>
        </w:rPr>
        <w:t>Dermatological:</w:t>
      </w:r>
      <w:r>
        <w:t xml:space="preserve"> Hyperhidrosis (increased sweating) and rare hypersensitivity skin reactions (</w:t>
      </w:r>
      <w:proofErr w:type="spellStart"/>
      <w:r>
        <w:t>urticaria</w:t>
      </w:r>
      <w:proofErr w:type="spellEnd"/>
      <w:r>
        <w:t>, pruritus).</w:t>
      </w:r>
    </w:p>
    <w:p w14:paraId="6EE3CC5A" w14:textId="77777777" w:rsidR="00527ECE" w:rsidRDefault="00527ECE" w:rsidP="00527ECE">
      <w:pPr>
        <w:pStyle w:val="NormalWeb"/>
        <w:numPr>
          <w:ilvl w:val="0"/>
          <w:numId w:val="28"/>
        </w:numPr>
      </w:pPr>
      <w:r>
        <w:rPr>
          <w:b/>
          <w:bCs/>
        </w:rPr>
        <w:t>Urinary:</w:t>
      </w:r>
      <w:r>
        <w:t xml:space="preserve"> Increased urine volume and frequency (</w:t>
      </w:r>
      <w:proofErr w:type="spellStart"/>
      <w:r>
        <w:t>pollakiuria</w:t>
      </w:r>
      <w:proofErr w:type="spellEnd"/>
      <w:r>
        <w:t>).</w:t>
      </w:r>
    </w:p>
    <w:p w14:paraId="342397B3" w14:textId="77777777" w:rsidR="00527ECE" w:rsidRDefault="00527ECE" w:rsidP="00527ECE">
      <w:r>
        <w:pict w14:anchorId="3C4153DF">
          <v:rect id="_x0000_i1032" style="width:0;height:1.5pt" o:hralign="center" o:hrstd="t" o:hr="t" fillcolor="#a0a0a0" stroked="f"/>
        </w:pict>
      </w:r>
    </w:p>
    <w:p w14:paraId="547F835F" w14:textId="04E4BCBE" w:rsidR="00527ECE" w:rsidRDefault="00527ECE" w:rsidP="00527ECE">
      <w:pPr>
        <w:pStyle w:val="Heading3"/>
      </w:pPr>
      <w:r w:rsidRPr="00AC7613">
        <w:rPr>
          <w:color w:val="FF0000"/>
        </w:rPr>
        <w:t>Contraindications</w:t>
      </w:r>
      <w:r w:rsidR="00AC7613" w:rsidRPr="00AC7613">
        <w:rPr>
          <w:color w:val="FF0000"/>
        </w:rPr>
        <w:t>:</w:t>
      </w:r>
    </w:p>
    <w:p w14:paraId="3ADFA915" w14:textId="77777777" w:rsidR="00527ECE" w:rsidRDefault="00527ECE" w:rsidP="00527ECE">
      <w:pPr>
        <w:pStyle w:val="NormalWeb"/>
        <w:numPr>
          <w:ilvl w:val="0"/>
          <w:numId w:val="29"/>
        </w:numPr>
      </w:pPr>
      <w:r>
        <w:t xml:space="preserve">Known clinical hypersensitivity or allergy to </w:t>
      </w:r>
      <w:proofErr w:type="spellStart"/>
      <w:r>
        <w:rPr>
          <w:i/>
          <w:iCs/>
        </w:rPr>
        <w:t>Urtica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dioica</w:t>
      </w:r>
      <w:proofErr w:type="spellEnd"/>
      <w:r>
        <w:t xml:space="preserve"> or other members of the </w:t>
      </w:r>
      <w:proofErr w:type="spellStart"/>
      <w:r>
        <w:rPr>
          <w:b/>
          <w:bCs/>
        </w:rPr>
        <w:t>Urticaceae</w:t>
      </w:r>
      <w:proofErr w:type="spellEnd"/>
      <w:r>
        <w:t xml:space="preserve"> family.</w:t>
      </w:r>
    </w:p>
    <w:p w14:paraId="31664EBD" w14:textId="77777777" w:rsidR="00527ECE" w:rsidRDefault="00527ECE" w:rsidP="00527ECE">
      <w:pPr>
        <w:pStyle w:val="NormalWeb"/>
        <w:numPr>
          <w:ilvl w:val="0"/>
          <w:numId w:val="29"/>
        </w:numPr>
      </w:pPr>
      <w:r>
        <w:t>Pre-existing severe hypotension or medical conditions where fluid restriction is mandatory (e.g., severe renal failure or decompensated heart failure).</w:t>
      </w:r>
    </w:p>
    <w:p w14:paraId="3CE786C5" w14:textId="77777777" w:rsidR="00527ECE" w:rsidRDefault="00527ECE" w:rsidP="00527ECE">
      <w:pPr>
        <w:pStyle w:val="NormalWeb"/>
        <w:numPr>
          <w:ilvl w:val="0"/>
          <w:numId w:val="29"/>
        </w:numPr>
      </w:pPr>
      <w:r>
        <w:t>Pregnancy and lactation.</w:t>
      </w:r>
    </w:p>
    <w:p w14:paraId="192A12CE" w14:textId="77777777" w:rsidR="00527ECE" w:rsidRDefault="00527ECE" w:rsidP="00527ECE">
      <w:r>
        <w:pict w14:anchorId="313B5A65">
          <v:rect id="_x0000_i1033" style="width:0;height:1.5pt" o:hralign="center" o:hrstd="t" o:hr="t" fillcolor="#a0a0a0" stroked="f"/>
        </w:pict>
      </w:r>
    </w:p>
    <w:p w14:paraId="7E201723" w14:textId="562970A1" w:rsidR="00527ECE" w:rsidRPr="00AC7613" w:rsidRDefault="00527ECE" w:rsidP="00527ECE">
      <w:pPr>
        <w:pStyle w:val="Heading3"/>
        <w:rPr>
          <w:color w:val="FF0000"/>
        </w:rPr>
      </w:pPr>
      <w:r w:rsidRPr="00AC7613">
        <w:rPr>
          <w:color w:val="FF0000"/>
        </w:rPr>
        <w:t>Drug Interactions</w:t>
      </w:r>
      <w:r w:rsidR="00AC7613" w:rsidRPr="00AC7613">
        <w:rPr>
          <w:color w:val="FF0000"/>
        </w:rPr>
        <w:t>:</w:t>
      </w:r>
    </w:p>
    <w:p w14:paraId="3024A3A9" w14:textId="77777777" w:rsidR="00527ECE" w:rsidRDefault="00527ECE" w:rsidP="00527ECE">
      <w:pPr>
        <w:pStyle w:val="NormalWeb"/>
        <w:numPr>
          <w:ilvl w:val="0"/>
          <w:numId w:val="30"/>
        </w:numPr>
      </w:pPr>
      <w:r>
        <w:rPr>
          <w:b/>
          <w:bCs/>
        </w:rPr>
        <w:t>Diuretics (e.g., Furosemide, Hydrochlorothiazide):</w:t>
      </w:r>
      <w:r>
        <w:t xml:space="preserve"> Concurrent use may cause additive or synergistic diuretic effects, increasing the risk of profound </w:t>
      </w:r>
      <w:r>
        <w:rPr>
          <w:b/>
          <w:bCs/>
        </w:rPr>
        <w:t>dehydration and hypokalemia</w:t>
      </w:r>
      <w:r>
        <w:t>.</w:t>
      </w:r>
    </w:p>
    <w:p w14:paraId="08A74D4F" w14:textId="77777777" w:rsidR="00527ECE" w:rsidRDefault="00527ECE" w:rsidP="00527ECE">
      <w:pPr>
        <w:pStyle w:val="NormalWeb"/>
        <w:numPr>
          <w:ilvl w:val="0"/>
          <w:numId w:val="30"/>
        </w:numPr>
      </w:pPr>
      <w:r>
        <w:rPr>
          <w:b/>
          <w:bCs/>
        </w:rPr>
        <w:t>Antihypertensive Drugs (e.g., ACE inhibitors, Beta-blockers):</w:t>
      </w:r>
      <w:r>
        <w:t xml:space="preserve"> May potentiate hypotensive effects, leading to dizziness or syncope; blood pressure monitoring is advised.</w:t>
      </w:r>
    </w:p>
    <w:p w14:paraId="154D8B0C" w14:textId="77777777" w:rsidR="00527ECE" w:rsidRDefault="00527ECE" w:rsidP="00527ECE">
      <w:pPr>
        <w:pStyle w:val="NormalWeb"/>
        <w:numPr>
          <w:ilvl w:val="0"/>
          <w:numId w:val="30"/>
        </w:numPr>
      </w:pPr>
      <w:proofErr w:type="spellStart"/>
      <w:r>
        <w:rPr>
          <w:b/>
          <w:bCs/>
        </w:rPr>
        <w:lastRenderedPageBreak/>
        <w:t>Antidiabetic</w:t>
      </w:r>
      <w:proofErr w:type="spellEnd"/>
      <w:r>
        <w:rPr>
          <w:b/>
          <w:bCs/>
        </w:rPr>
        <w:t xml:space="preserve"> Agents:</w:t>
      </w:r>
      <w:r>
        <w:t xml:space="preserve"> May exert a mild additive hypoglycemic effect; monitor blood glucose levels closely.</w:t>
      </w:r>
    </w:p>
    <w:p w14:paraId="5ADBF970" w14:textId="77777777" w:rsidR="00527ECE" w:rsidRDefault="00527ECE" w:rsidP="00527ECE">
      <w:pPr>
        <w:pStyle w:val="NormalWeb"/>
        <w:numPr>
          <w:ilvl w:val="0"/>
          <w:numId w:val="30"/>
        </w:numPr>
      </w:pPr>
      <w:r>
        <w:rPr>
          <w:b/>
          <w:bCs/>
        </w:rPr>
        <w:t>CNS Depressants:</w:t>
      </w:r>
      <w:r>
        <w:t xml:space="preserve"> May weakly potentiate sedation.</w:t>
      </w:r>
    </w:p>
    <w:p w14:paraId="43FD32BA" w14:textId="77777777" w:rsidR="00527ECE" w:rsidRDefault="00527ECE" w:rsidP="00527ECE">
      <w:r>
        <w:pict w14:anchorId="4D079A00">
          <v:rect id="_x0000_i1034" style="width:0;height:1.5pt" o:hralign="center" o:hrstd="t" o:hr="t" fillcolor="#a0a0a0" stroked="f"/>
        </w:pict>
      </w:r>
    </w:p>
    <w:p w14:paraId="638FD8C5" w14:textId="0DFBA690" w:rsidR="00527ECE" w:rsidRPr="00527ECE" w:rsidRDefault="00527ECE" w:rsidP="00527ECE">
      <w:pPr>
        <w:pStyle w:val="Heading3"/>
        <w:rPr>
          <w:color w:val="FF0000"/>
        </w:rPr>
      </w:pPr>
      <w:r w:rsidRPr="00527ECE">
        <w:rPr>
          <w:color w:val="FF0000"/>
        </w:rPr>
        <w:t>Storage</w:t>
      </w:r>
      <w:r w:rsidRPr="00527ECE">
        <w:rPr>
          <w:color w:val="FF0000"/>
        </w:rPr>
        <w:t>:</w:t>
      </w:r>
    </w:p>
    <w:p w14:paraId="207BD72F" w14:textId="39C8DF6A" w:rsidR="00527ECE" w:rsidRDefault="00527ECE" w:rsidP="00527ECE">
      <w:pPr>
        <w:pStyle w:val="NormalWeb"/>
        <w:numPr>
          <w:ilvl w:val="0"/>
          <w:numId w:val="31"/>
        </w:numPr>
      </w:pPr>
      <w:r>
        <w:rPr>
          <w:b/>
          <w:bCs/>
        </w:rPr>
        <w:t>Freeze-Dried Leaf Capsules / Powder:</w:t>
      </w:r>
      <w:r>
        <w:t xml:space="preserve"> Must be stored in airtight, amber-colored glass containers below </w:t>
      </w:r>
      <w:r w:rsidR="00AC7613">
        <w:rPr>
          <w:rStyle w:val="math-inline"/>
          <w:rFonts w:eastAsiaTheme="majorEastAsia"/>
        </w:rPr>
        <w:t>25 C</w:t>
      </w:r>
      <w:r>
        <w:t>, completely shielded from light and ambient moisture to prevent hygroscopic clumping and phytochemical oxidation.</w:t>
      </w:r>
    </w:p>
    <w:p w14:paraId="49FAE2D7" w14:textId="77777777" w:rsidR="00527ECE" w:rsidRDefault="00527ECE" w:rsidP="00527ECE">
      <w:pPr>
        <w:pStyle w:val="NormalWeb"/>
        <w:numPr>
          <w:ilvl w:val="0"/>
          <w:numId w:val="31"/>
        </w:numPr>
      </w:pPr>
      <w:r>
        <w:rPr>
          <w:b/>
          <w:bCs/>
        </w:rPr>
        <w:t>Air-Dried Loose Leaves:</w:t>
      </w:r>
      <w:r>
        <w:t xml:space="preserve"> Store in a cool, dark cabinet in a tightly sealed container. Discard immediately if a musty odor or mold growth develops.</w:t>
      </w:r>
    </w:p>
    <w:p w14:paraId="38DD37DC" w14:textId="04CA0C07" w:rsidR="00527ECE" w:rsidRDefault="00527ECE" w:rsidP="00527ECE">
      <w:pPr>
        <w:pStyle w:val="NormalWeb"/>
        <w:numPr>
          <w:ilvl w:val="0"/>
          <w:numId w:val="31"/>
        </w:numPr>
      </w:pPr>
      <w:r>
        <w:rPr>
          <w:b/>
          <w:bCs/>
        </w:rPr>
        <w:t>Frozen Blanched Nettle (Culinary):</w:t>
      </w:r>
      <w:r>
        <w:t xml:space="preserve"> Squeeze out all excess air, pack tightly in heavy-duty freezer bags, and store at </w:t>
      </w:r>
      <w:r w:rsidR="00AC7613">
        <w:rPr>
          <w:rStyle w:val="math-inline"/>
          <w:rFonts w:eastAsiaTheme="majorEastAsia"/>
        </w:rPr>
        <w:t xml:space="preserve">-18 C </w:t>
      </w:r>
      <w:r>
        <w:t xml:space="preserve">for up to </w:t>
      </w:r>
      <w:r w:rsidR="00AC7613">
        <w:rPr>
          <w:rStyle w:val="math-inline"/>
          <w:rFonts w:eastAsiaTheme="majorEastAsia"/>
        </w:rPr>
        <w:t>6 - 8 months</w:t>
      </w:r>
      <w:r>
        <w:t>.</w:t>
      </w:r>
    </w:p>
    <w:p w14:paraId="19B4C007" w14:textId="77777777" w:rsidR="00527ECE" w:rsidRDefault="00527ECE" w:rsidP="00527ECE">
      <w:r>
        <w:pict w14:anchorId="37ABCC84">
          <v:rect id="_x0000_i1035" style="width:0;height:1.5pt" o:hralign="center" o:hrstd="t" o:hr="t" fillcolor="#a0a0a0" stroked="f"/>
        </w:pict>
      </w:r>
    </w:p>
    <w:p w14:paraId="46377C7F" w14:textId="77777777" w:rsidR="00527ECE" w:rsidRPr="00527ECE" w:rsidRDefault="00527ECE" w:rsidP="00527ECE">
      <w:pPr>
        <w:pStyle w:val="Heading3"/>
        <w:rPr>
          <w:color w:val="FF0000"/>
        </w:rPr>
      </w:pPr>
      <w:r w:rsidRPr="00527ECE">
        <w:rPr>
          <w:color w:val="FF0000"/>
        </w:rPr>
        <w:t>Facts vs. Myths</w:t>
      </w:r>
      <w:bookmarkStart w:id="0" w:name="_GoBack"/>
      <w:bookmarkEnd w:id="0"/>
    </w:p>
    <w:p w14:paraId="59AFF791" w14:textId="77777777" w:rsidR="00527ECE" w:rsidRPr="00527ECE" w:rsidRDefault="00527ECE" w:rsidP="00527ECE">
      <w:pPr>
        <w:pStyle w:val="NormalWeb"/>
        <w:numPr>
          <w:ilvl w:val="0"/>
          <w:numId w:val="32"/>
        </w:numPr>
        <w:rPr>
          <w:color w:val="FF0000"/>
        </w:rPr>
      </w:pPr>
      <w:r w:rsidRPr="00527ECE">
        <w:rPr>
          <w:b/>
          <w:bCs/>
          <w:color w:val="FF0000"/>
        </w:rPr>
        <w:t>Myth:</w:t>
      </w:r>
      <w:r w:rsidRPr="00527ECE">
        <w:rPr>
          <w:color w:val="FF0000"/>
        </w:rPr>
        <w:t xml:space="preserve"> </w:t>
      </w:r>
      <w:r w:rsidRPr="00527ECE">
        <w:rPr>
          <w:i/>
          <w:iCs/>
          <w:color w:val="FF0000"/>
        </w:rPr>
        <w:t>"Every part of the Stinging Nettle plant serves the exact same medical purpose."</w:t>
      </w:r>
    </w:p>
    <w:p w14:paraId="4EB950F0" w14:textId="77777777" w:rsidR="00527ECE" w:rsidRDefault="00527ECE" w:rsidP="00527ECE">
      <w:pPr>
        <w:pStyle w:val="NormalWeb"/>
        <w:numPr>
          <w:ilvl w:val="0"/>
          <w:numId w:val="32"/>
        </w:numPr>
      </w:pPr>
      <w:r w:rsidRPr="00527ECE">
        <w:rPr>
          <w:b/>
          <w:bCs/>
          <w:color w:val="FF0000"/>
        </w:rPr>
        <w:t>Fact:</w:t>
      </w:r>
      <w:r w:rsidRPr="00527ECE">
        <w:rPr>
          <w:color w:val="FF0000"/>
        </w:rPr>
        <w:t xml:space="preserve"> Phytochemical profiles differ drastically between plant parts. </w:t>
      </w:r>
      <w:r w:rsidRPr="00527ECE">
        <w:rPr>
          <w:b/>
          <w:bCs/>
          <w:color w:val="FF0000"/>
        </w:rPr>
        <w:t>Nettle Leaves</w:t>
      </w:r>
      <w:r w:rsidRPr="00527ECE">
        <w:rPr>
          <w:color w:val="FF0000"/>
        </w:rPr>
        <w:t xml:space="preserve"> contain flavonoids and </w:t>
      </w:r>
      <w:proofErr w:type="spellStart"/>
      <w:r w:rsidRPr="00527ECE">
        <w:rPr>
          <w:color w:val="FF0000"/>
        </w:rPr>
        <w:t>quercetin</w:t>
      </w:r>
      <w:proofErr w:type="spellEnd"/>
      <w:r w:rsidRPr="00527ECE">
        <w:rPr>
          <w:color w:val="FF0000"/>
        </w:rPr>
        <w:t xml:space="preserve">, which are indicated for </w:t>
      </w:r>
      <w:r w:rsidRPr="00527ECE">
        <w:rPr>
          <w:b/>
          <w:bCs/>
          <w:color w:val="FF0000"/>
        </w:rPr>
        <w:t>allergic rhinitis</w:t>
      </w:r>
      <w:r w:rsidRPr="00527ECE">
        <w:rPr>
          <w:color w:val="FF0000"/>
        </w:rPr>
        <w:t xml:space="preserve">, whereas </w:t>
      </w:r>
      <w:r w:rsidRPr="00527ECE">
        <w:rPr>
          <w:b/>
          <w:bCs/>
          <w:color w:val="FF0000"/>
        </w:rPr>
        <w:t>Nettle Roots</w:t>
      </w:r>
      <w:r w:rsidRPr="00527ECE">
        <w:rPr>
          <w:color w:val="FF0000"/>
        </w:rPr>
        <w:t xml:space="preserve"> contain </w:t>
      </w:r>
      <w:proofErr w:type="spellStart"/>
      <w:r w:rsidRPr="00527ECE">
        <w:rPr>
          <w:color w:val="FF0000"/>
        </w:rPr>
        <w:t>lignans</w:t>
      </w:r>
      <w:proofErr w:type="spellEnd"/>
      <w:r w:rsidRPr="00527ECE">
        <w:rPr>
          <w:color w:val="FF0000"/>
        </w:rPr>
        <w:t xml:space="preserve"> and sterols specifically indicated for </w:t>
      </w:r>
      <w:r w:rsidRPr="00527ECE">
        <w:rPr>
          <w:b/>
          <w:bCs/>
          <w:color w:val="FF0000"/>
        </w:rPr>
        <w:t>Benign Prostatic Hyperplasia (BPH)</w:t>
      </w:r>
      <w:r w:rsidRPr="00527ECE">
        <w:rPr>
          <w:color w:val="FF0000"/>
        </w:rPr>
        <w:t>.</w:t>
      </w:r>
    </w:p>
    <w:p w14:paraId="3662EA2B" w14:textId="77777777" w:rsidR="00527ECE" w:rsidRDefault="00527ECE" w:rsidP="00527ECE">
      <w:r>
        <w:pict w14:anchorId="54D1A79D">
          <v:rect id="_x0000_i1036" style="width:0;height:1.5pt" o:hralign="center" o:hrstd="t" o:hr="t" fillcolor="#a0a0a0" stroked="f"/>
        </w:pict>
      </w:r>
    </w:p>
    <w:p w14:paraId="0BBE4B71" w14:textId="6944C30D" w:rsidR="00527ECE" w:rsidRDefault="00527ECE" w:rsidP="00527ECE">
      <w:pPr>
        <w:pStyle w:val="Heading3"/>
      </w:pPr>
      <w:r w:rsidRPr="00527ECE">
        <w:rPr>
          <w:color w:val="FF0000"/>
        </w:rPr>
        <w:t>In the Market (Egypt / Global)</w:t>
      </w:r>
      <w:r w:rsidRPr="00527ECE">
        <w:rPr>
          <w:color w:val="FF0000"/>
        </w:rPr>
        <w:t>:</w:t>
      </w:r>
    </w:p>
    <w:p w14:paraId="1E60DD08" w14:textId="77777777" w:rsidR="00527ECE" w:rsidRDefault="00527ECE" w:rsidP="00527ECE">
      <w:pPr>
        <w:pStyle w:val="NormalWeb"/>
        <w:numPr>
          <w:ilvl w:val="0"/>
          <w:numId w:val="33"/>
        </w:numPr>
      </w:pPr>
      <w:r>
        <w:rPr>
          <w:b/>
          <w:bCs/>
        </w:rPr>
        <w:t xml:space="preserve">Traditional </w:t>
      </w:r>
      <w:proofErr w:type="spellStart"/>
      <w:r>
        <w:rPr>
          <w:b/>
          <w:bCs/>
        </w:rPr>
        <w:t>Medicinals</w:t>
      </w:r>
      <w:proofErr w:type="spellEnd"/>
      <w:r>
        <w:rPr>
          <w:b/>
          <w:bCs/>
        </w:rPr>
        <w:t xml:space="preserve"> Organic Nettle Leaf Tea</w:t>
      </w:r>
      <w:r>
        <w:t xml:space="preserve"> (Widely available for respiratory wellness)</w:t>
      </w:r>
    </w:p>
    <w:p w14:paraId="050C517A" w14:textId="77777777" w:rsidR="00527ECE" w:rsidRDefault="00527ECE" w:rsidP="00527ECE">
      <w:pPr>
        <w:pStyle w:val="NormalWeb"/>
        <w:numPr>
          <w:ilvl w:val="0"/>
          <w:numId w:val="33"/>
        </w:numPr>
      </w:pPr>
      <w:proofErr w:type="spellStart"/>
      <w:r>
        <w:rPr>
          <w:b/>
          <w:bCs/>
        </w:rPr>
        <w:t>Solgar</w:t>
      </w:r>
      <w:proofErr w:type="spellEnd"/>
      <w:r>
        <w:rPr>
          <w:b/>
          <w:bCs/>
        </w:rPr>
        <w:t xml:space="preserve"> Nettle Leaf Extract Capsules</w:t>
      </w:r>
      <w:r>
        <w:t xml:space="preserve"> (Standardized for allergies)</w:t>
      </w:r>
    </w:p>
    <w:p w14:paraId="449E796E" w14:textId="77777777" w:rsidR="00527ECE" w:rsidRDefault="00527ECE" w:rsidP="00527ECE">
      <w:pPr>
        <w:pStyle w:val="NormalWeb"/>
        <w:numPr>
          <w:ilvl w:val="0"/>
          <w:numId w:val="33"/>
        </w:numPr>
      </w:pPr>
      <w:r>
        <w:rPr>
          <w:b/>
          <w:bCs/>
        </w:rPr>
        <w:t>NOW Foods Stinging Nettle Root 250mg</w:t>
      </w:r>
      <w:r>
        <w:t xml:space="preserve"> (</w:t>
      </w:r>
      <w:r>
        <w:rPr>
          <w:i/>
          <w:iCs/>
        </w:rPr>
        <w:t>Note for the project:</w:t>
      </w:r>
      <w:r>
        <w:t xml:space="preserve"> This specific product targets prostate health/BPH, not rhinitis).</w:t>
      </w:r>
    </w:p>
    <w:p w14:paraId="0D764F7A" w14:textId="6E8B18D6" w:rsidR="00527ECE" w:rsidRDefault="00527ECE" w:rsidP="00527ECE">
      <w:r>
        <w:pict w14:anchorId="57AC00A0">
          <v:rect id="_x0000_i1037" style="width:0;height:1.5pt" o:hralign="center" o:hrstd="t" o:hr="t" fillcolor="#a0a0a0" stroked="f"/>
        </w:pict>
      </w:r>
    </w:p>
    <w:p w14:paraId="0ED3C295" w14:textId="77777777" w:rsidR="00527ECE" w:rsidRDefault="00527ECE" w:rsidP="00527ECE">
      <w:pPr>
        <w:pStyle w:val="Heading3"/>
      </w:pPr>
      <w:r>
        <w:rPr>
          <w:rFonts w:ascii="Arial" w:hAnsi="Arial" w:cs="Arial"/>
        </w:rPr>
        <w:t>📚</w:t>
      </w:r>
      <w:r>
        <w:t xml:space="preserve"> References</w:t>
      </w:r>
    </w:p>
    <w:p w14:paraId="6CDC77A3" w14:textId="3DC71054" w:rsidR="00527ECE" w:rsidRDefault="00527ECE" w:rsidP="00527ECE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t>Roschek</w:t>
      </w:r>
      <w:proofErr w:type="spellEnd"/>
      <w:r>
        <w:rPr>
          <w:b/>
          <w:bCs/>
        </w:rPr>
        <w:t xml:space="preserve">, B., Fink, R. C., McMichael, M. D., Li, D., &amp; </w:t>
      </w:r>
      <w:proofErr w:type="spellStart"/>
      <w:r>
        <w:rPr>
          <w:b/>
          <w:bCs/>
        </w:rPr>
        <w:t>Alberte</w:t>
      </w:r>
      <w:proofErr w:type="spellEnd"/>
      <w:r>
        <w:rPr>
          <w:b/>
          <w:bCs/>
        </w:rPr>
        <w:t>, R. S. (2009).</w:t>
      </w:r>
      <w:r>
        <w:t xml:space="preserve"> Nettle extract (</w:t>
      </w:r>
      <w:proofErr w:type="spellStart"/>
      <w:r>
        <w:rPr>
          <w:i/>
          <w:iCs/>
        </w:rPr>
        <w:t>Urtica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dioica</w:t>
      </w:r>
      <w:proofErr w:type="spellEnd"/>
      <w:r>
        <w:t xml:space="preserve">) affects key receptors and enzymes associated with allergic rhinitis. </w:t>
      </w:r>
      <w:proofErr w:type="spellStart"/>
      <w:r>
        <w:rPr>
          <w:i/>
          <w:iCs/>
        </w:rPr>
        <w:t>Phytotherapy</w:t>
      </w:r>
      <w:proofErr w:type="spellEnd"/>
      <w:r>
        <w:rPr>
          <w:i/>
          <w:iCs/>
        </w:rPr>
        <w:t xml:space="preserve"> Research</w:t>
      </w:r>
      <w:r>
        <w:t xml:space="preserve">, 23(7), 920-926. </w:t>
      </w:r>
    </w:p>
    <w:p w14:paraId="60E69A2E" w14:textId="77777777" w:rsidR="00527ECE" w:rsidRDefault="00527ECE" w:rsidP="00527ECE">
      <w:pPr>
        <w:pStyle w:val="NormalWeb"/>
        <w:numPr>
          <w:ilvl w:val="0"/>
          <w:numId w:val="35"/>
        </w:numPr>
      </w:pPr>
      <w:r>
        <w:rPr>
          <w:b/>
          <w:bCs/>
        </w:rPr>
        <w:t>European Medicines Agency (EMA):</w:t>
      </w:r>
      <w:r>
        <w:t xml:space="preserve"> European Union herbal monograph on </w:t>
      </w:r>
      <w:proofErr w:type="spellStart"/>
      <w:r>
        <w:rPr>
          <w:i/>
          <w:iCs/>
        </w:rPr>
        <w:t>Urtica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dioica</w:t>
      </w:r>
      <w:proofErr w:type="spellEnd"/>
      <w:r>
        <w:t xml:space="preserve"> L. and </w:t>
      </w:r>
      <w:proofErr w:type="spellStart"/>
      <w:r>
        <w:rPr>
          <w:i/>
          <w:iCs/>
        </w:rPr>
        <w:t>Urtica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urens</w:t>
      </w:r>
      <w:proofErr w:type="spellEnd"/>
      <w:r>
        <w:t xml:space="preserve"> L., folium. Committee on Herbal Medicinal Products (HMPC).</w:t>
      </w:r>
    </w:p>
    <w:p w14:paraId="09B5BB32" w14:textId="77777777" w:rsidR="00527ECE" w:rsidRDefault="00527ECE" w:rsidP="00527ECE">
      <w:pPr>
        <w:pStyle w:val="NormalWeb"/>
        <w:numPr>
          <w:ilvl w:val="0"/>
          <w:numId w:val="35"/>
        </w:numPr>
      </w:pPr>
      <w:r>
        <w:rPr>
          <w:b/>
          <w:bCs/>
        </w:rPr>
        <w:lastRenderedPageBreak/>
        <w:t>World Health Organization (WHO):</w:t>
      </w:r>
      <w:r>
        <w:t xml:space="preserve"> WHO monographs on selected medicinal plants, Volume 2: </w:t>
      </w:r>
      <w:r>
        <w:rPr>
          <w:i/>
          <w:iCs/>
        </w:rPr>
        <w:t xml:space="preserve">Radix </w:t>
      </w:r>
      <w:proofErr w:type="spellStart"/>
      <w:r>
        <w:rPr>
          <w:i/>
          <w:iCs/>
        </w:rPr>
        <w:t>Urticae</w:t>
      </w:r>
      <w:proofErr w:type="spellEnd"/>
      <w:r>
        <w:t xml:space="preserve"> / </w:t>
      </w:r>
      <w:r>
        <w:rPr>
          <w:i/>
          <w:iCs/>
        </w:rPr>
        <w:t xml:space="preserve">Folium </w:t>
      </w:r>
      <w:proofErr w:type="spellStart"/>
      <w:r>
        <w:rPr>
          <w:i/>
          <w:iCs/>
        </w:rPr>
        <w:t>Urticae</w:t>
      </w:r>
      <w:proofErr w:type="spellEnd"/>
      <w:r>
        <w:t>. Geneva.</w:t>
      </w:r>
    </w:p>
    <w:p w14:paraId="1BDB1088" w14:textId="77777777" w:rsidR="00527ECE" w:rsidRDefault="00527ECE" w:rsidP="00527ECE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t>Bakhshaee</w:t>
      </w:r>
      <w:proofErr w:type="spellEnd"/>
      <w:r>
        <w:rPr>
          <w:b/>
          <w:bCs/>
        </w:rPr>
        <w:t>, M., et al. (2017).</w:t>
      </w:r>
      <w:r>
        <w:t xml:space="preserve"> Efficacy of Supportive Therapy of Allergic Rhinitis by </w:t>
      </w:r>
      <w:proofErr w:type="spellStart"/>
      <w:r>
        <w:rPr>
          <w:i/>
          <w:iCs/>
        </w:rPr>
        <w:t>Urtica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dioica</w:t>
      </w:r>
      <w:proofErr w:type="spellEnd"/>
      <w:r>
        <w:t xml:space="preserve"> extract. </w:t>
      </w:r>
      <w:r>
        <w:rPr>
          <w:i/>
          <w:iCs/>
        </w:rPr>
        <w:t>Iranian Journal of Otorhinolaryngology</w:t>
      </w:r>
      <w:r>
        <w:t>, 29(92), 137-141.</w:t>
      </w:r>
    </w:p>
    <w:p w14:paraId="041FA0AD" w14:textId="7817C9D1" w:rsidR="00DA29C5" w:rsidRPr="009B4F42" w:rsidRDefault="00AC7613" w:rsidP="00AC7613">
      <w:pPr>
        <w:rPr>
          <w:b/>
          <w:bCs/>
          <w:color w:val="C00000"/>
          <w:sz w:val="40"/>
          <w:szCs w:val="40"/>
        </w:rPr>
      </w:pPr>
      <w:r>
        <w:rPr>
          <w:b/>
          <w:bCs/>
          <w:noProof/>
          <w:color w:val="C00000"/>
          <w:sz w:val="40"/>
          <w:szCs w:val="40"/>
          <w:lang w:val="en-US"/>
        </w:rPr>
        <w:drawing>
          <wp:inline distT="0" distB="0" distL="0" distR="0" wp14:anchorId="43A654E1" wp14:editId="5F13229D">
            <wp:extent cx="1799760" cy="2324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6 at 10.49.03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76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C00000"/>
          <w:sz w:val="40"/>
          <w:szCs w:val="40"/>
          <w:lang w:val="en-US"/>
        </w:rPr>
        <w:drawing>
          <wp:inline distT="0" distB="0" distL="0" distR="0" wp14:anchorId="208C0E34" wp14:editId="33CFC979">
            <wp:extent cx="2712720" cy="2712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6 at 10.49.03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613">
        <w:rPr>
          <w:b/>
          <w:bCs/>
          <w:noProof/>
          <w:color w:val="C00000"/>
          <w:sz w:val="40"/>
          <w:szCs w:val="40"/>
          <w:lang w:val="en-US"/>
        </w:rPr>
        <w:t xml:space="preserve"> </w:t>
      </w:r>
    </w:p>
    <w:sectPr w:rsidR="00DA29C5" w:rsidRPr="009B4F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4370F"/>
    <w:multiLevelType w:val="multilevel"/>
    <w:tmpl w:val="F5E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55CC8"/>
    <w:multiLevelType w:val="multilevel"/>
    <w:tmpl w:val="5900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66533B"/>
    <w:multiLevelType w:val="multilevel"/>
    <w:tmpl w:val="66AA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2286C"/>
    <w:multiLevelType w:val="multilevel"/>
    <w:tmpl w:val="C3A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7D59D0"/>
    <w:multiLevelType w:val="hybridMultilevel"/>
    <w:tmpl w:val="947A7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F2575F"/>
    <w:multiLevelType w:val="hybridMultilevel"/>
    <w:tmpl w:val="4CB4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A53D1E"/>
    <w:multiLevelType w:val="hybridMultilevel"/>
    <w:tmpl w:val="C26C5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A03FB0"/>
    <w:multiLevelType w:val="multilevel"/>
    <w:tmpl w:val="FA2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A66514"/>
    <w:multiLevelType w:val="hybridMultilevel"/>
    <w:tmpl w:val="E0A82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7D1911"/>
    <w:multiLevelType w:val="multilevel"/>
    <w:tmpl w:val="CA8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AE2FD4"/>
    <w:multiLevelType w:val="hybridMultilevel"/>
    <w:tmpl w:val="1624C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910211"/>
    <w:multiLevelType w:val="hybridMultilevel"/>
    <w:tmpl w:val="DAD83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A10A49"/>
    <w:multiLevelType w:val="multilevel"/>
    <w:tmpl w:val="A6D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587893"/>
    <w:multiLevelType w:val="hybridMultilevel"/>
    <w:tmpl w:val="D5441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BD019C"/>
    <w:multiLevelType w:val="multilevel"/>
    <w:tmpl w:val="BE8E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2E0E85"/>
    <w:multiLevelType w:val="hybridMultilevel"/>
    <w:tmpl w:val="832C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362E21"/>
    <w:multiLevelType w:val="multilevel"/>
    <w:tmpl w:val="A82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4E7263"/>
    <w:multiLevelType w:val="hybridMultilevel"/>
    <w:tmpl w:val="04EE9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30378B"/>
    <w:multiLevelType w:val="hybridMultilevel"/>
    <w:tmpl w:val="3DD20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3600F0"/>
    <w:multiLevelType w:val="hybridMultilevel"/>
    <w:tmpl w:val="3ED28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0F20E4"/>
    <w:multiLevelType w:val="multilevel"/>
    <w:tmpl w:val="2B2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A561D8"/>
    <w:multiLevelType w:val="hybridMultilevel"/>
    <w:tmpl w:val="AE0C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6C7BB5"/>
    <w:multiLevelType w:val="multilevel"/>
    <w:tmpl w:val="4C5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E5152F"/>
    <w:multiLevelType w:val="multilevel"/>
    <w:tmpl w:val="B194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BD6325"/>
    <w:multiLevelType w:val="multilevel"/>
    <w:tmpl w:val="918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0D2245"/>
    <w:multiLevelType w:val="hybridMultilevel"/>
    <w:tmpl w:val="4330E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D962A1"/>
    <w:multiLevelType w:val="multilevel"/>
    <w:tmpl w:val="1D8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240B8B"/>
    <w:multiLevelType w:val="multilevel"/>
    <w:tmpl w:val="162A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97C14D4"/>
    <w:multiLevelType w:val="hybridMultilevel"/>
    <w:tmpl w:val="8F2E5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690F86"/>
    <w:multiLevelType w:val="hybridMultilevel"/>
    <w:tmpl w:val="8508F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F364D5"/>
    <w:multiLevelType w:val="hybridMultilevel"/>
    <w:tmpl w:val="30A46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5E3274"/>
    <w:multiLevelType w:val="hybridMultilevel"/>
    <w:tmpl w:val="8D3C9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F12E3F"/>
    <w:multiLevelType w:val="hybridMultilevel"/>
    <w:tmpl w:val="A38A7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3F269F"/>
    <w:multiLevelType w:val="hybridMultilevel"/>
    <w:tmpl w:val="B3987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CB5831"/>
    <w:multiLevelType w:val="hybridMultilevel"/>
    <w:tmpl w:val="1116B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8"/>
  </w:num>
  <w:num w:numId="4">
    <w:abstractNumId w:val="5"/>
  </w:num>
  <w:num w:numId="5">
    <w:abstractNumId w:val="19"/>
  </w:num>
  <w:num w:numId="6">
    <w:abstractNumId w:val="18"/>
  </w:num>
  <w:num w:numId="7">
    <w:abstractNumId w:val="15"/>
  </w:num>
  <w:num w:numId="8">
    <w:abstractNumId w:val="28"/>
  </w:num>
  <w:num w:numId="9">
    <w:abstractNumId w:val="34"/>
  </w:num>
  <w:num w:numId="10">
    <w:abstractNumId w:val="33"/>
  </w:num>
  <w:num w:numId="11">
    <w:abstractNumId w:val="29"/>
  </w:num>
  <w:num w:numId="12">
    <w:abstractNumId w:val="21"/>
  </w:num>
  <w:num w:numId="13">
    <w:abstractNumId w:val="31"/>
  </w:num>
  <w:num w:numId="14">
    <w:abstractNumId w:val="4"/>
  </w:num>
  <w:num w:numId="15">
    <w:abstractNumId w:val="32"/>
  </w:num>
  <w:num w:numId="16">
    <w:abstractNumId w:val="13"/>
  </w:num>
  <w:num w:numId="17">
    <w:abstractNumId w:val="25"/>
  </w:num>
  <w:num w:numId="18">
    <w:abstractNumId w:val="11"/>
  </w:num>
  <w:num w:numId="19">
    <w:abstractNumId w:val="17"/>
  </w:num>
  <w:num w:numId="20">
    <w:abstractNumId w:val="10"/>
  </w:num>
  <w:num w:numId="21">
    <w:abstractNumId w:val="0"/>
  </w:num>
  <w:num w:numId="22">
    <w:abstractNumId w:val="23"/>
  </w:num>
  <w:num w:numId="23">
    <w:abstractNumId w:val="2"/>
  </w:num>
  <w:num w:numId="24">
    <w:abstractNumId w:val="27"/>
  </w:num>
  <w:num w:numId="25">
    <w:abstractNumId w:val="26"/>
  </w:num>
  <w:num w:numId="26">
    <w:abstractNumId w:val="24"/>
  </w:num>
  <w:num w:numId="27">
    <w:abstractNumId w:val="22"/>
  </w:num>
  <w:num w:numId="28">
    <w:abstractNumId w:val="9"/>
  </w:num>
  <w:num w:numId="29">
    <w:abstractNumId w:val="7"/>
  </w:num>
  <w:num w:numId="30">
    <w:abstractNumId w:val="20"/>
  </w:num>
  <w:num w:numId="31">
    <w:abstractNumId w:val="1"/>
  </w:num>
  <w:num w:numId="32">
    <w:abstractNumId w:val="12"/>
  </w:num>
  <w:num w:numId="33">
    <w:abstractNumId w:val="3"/>
  </w:num>
  <w:num w:numId="34">
    <w:abstractNumId w:val="16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05A"/>
    <w:rsid w:val="00013BDF"/>
    <w:rsid w:val="00023513"/>
    <w:rsid w:val="00047B7B"/>
    <w:rsid w:val="00060857"/>
    <w:rsid w:val="00070D6A"/>
    <w:rsid w:val="00094547"/>
    <w:rsid w:val="000C635C"/>
    <w:rsid w:val="000D48C2"/>
    <w:rsid w:val="001218C0"/>
    <w:rsid w:val="00130179"/>
    <w:rsid w:val="0013321A"/>
    <w:rsid w:val="00134D5C"/>
    <w:rsid w:val="001851A5"/>
    <w:rsid w:val="0019049A"/>
    <w:rsid w:val="00191AC5"/>
    <w:rsid w:val="001E5847"/>
    <w:rsid w:val="0024372C"/>
    <w:rsid w:val="00292715"/>
    <w:rsid w:val="002E0E73"/>
    <w:rsid w:val="002E435C"/>
    <w:rsid w:val="00313E1E"/>
    <w:rsid w:val="003142AC"/>
    <w:rsid w:val="003712D5"/>
    <w:rsid w:val="003856F5"/>
    <w:rsid w:val="003C150A"/>
    <w:rsid w:val="003C51A4"/>
    <w:rsid w:val="003E163D"/>
    <w:rsid w:val="00412AE9"/>
    <w:rsid w:val="00420C66"/>
    <w:rsid w:val="00423D0F"/>
    <w:rsid w:val="00432E9B"/>
    <w:rsid w:val="004A76B1"/>
    <w:rsid w:val="004D34D9"/>
    <w:rsid w:val="00527ECE"/>
    <w:rsid w:val="005879D1"/>
    <w:rsid w:val="005B64F4"/>
    <w:rsid w:val="005C24A1"/>
    <w:rsid w:val="005C4FE0"/>
    <w:rsid w:val="005E395E"/>
    <w:rsid w:val="00604DC2"/>
    <w:rsid w:val="00625F99"/>
    <w:rsid w:val="00643612"/>
    <w:rsid w:val="006544EA"/>
    <w:rsid w:val="0067105A"/>
    <w:rsid w:val="00694079"/>
    <w:rsid w:val="006C59B1"/>
    <w:rsid w:val="006D1DC0"/>
    <w:rsid w:val="006F2668"/>
    <w:rsid w:val="006F72E3"/>
    <w:rsid w:val="007038B2"/>
    <w:rsid w:val="00715DCA"/>
    <w:rsid w:val="00720FD0"/>
    <w:rsid w:val="00721732"/>
    <w:rsid w:val="0073346E"/>
    <w:rsid w:val="0073502B"/>
    <w:rsid w:val="007B2BDF"/>
    <w:rsid w:val="007E6B8D"/>
    <w:rsid w:val="007F1A04"/>
    <w:rsid w:val="00805127"/>
    <w:rsid w:val="008A12B2"/>
    <w:rsid w:val="008A1A79"/>
    <w:rsid w:val="008F74A4"/>
    <w:rsid w:val="00903F96"/>
    <w:rsid w:val="009225FD"/>
    <w:rsid w:val="009350E2"/>
    <w:rsid w:val="009474A3"/>
    <w:rsid w:val="00961247"/>
    <w:rsid w:val="009643E9"/>
    <w:rsid w:val="0099042A"/>
    <w:rsid w:val="009B4F42"/>
    <w:rsid w:val="009E48E3"/>
    <w:rsid w:val="009F4FC0"/>
    <w:rsid w:val="00A34842"/>
    <w:rsid w:val="00A65FC5"/>
    <w:rsid w:val="00A67362"/>
    <w:rsid w:val="00A8223C"/>
    <w:rsid w:val="00AC7613"/>
    <w:rsid w:val="00AF2BD4"/>
    <w:rsid w:val="00B01FFA"/>
    <w:rsid w:val="00B06F1C"/>
    <w:rsid w:val="00B150FB"/>
    <w:rsid w:val="00B21B2D"/>
    <w:rsid w:val="00B3063F"/>
    <w:rsid w:val="00B47074"/>
    <w:rsid w:val="00B54D3B"/>
    <w:rsid w:val="00B8255F"/>
    <w:rsid w:val="00B9179E"/>
    <w:rsid w:val="00BF5364"/>
    <w:rsid w:val="00C001F6"/>
    <w:rsid w:val="00C13696"/>
    <w:rsid w:val="00C21A93"/>
    <w:rsid w:val="00C55F1E"/>
    <w:rsid w:val="00CE73EA"/>
    <w:rsid w:val="00D064C0"/>
    <w:rsid w:val="00D82F7F"/>
    <w:rsid w:val="00DA29C5"/>
    <w:rsid w:val="00DC078F"/>
    <w:rsid w:val="00DE2D72"/>
    <w:rsid w:val="00DF7B3F"/>
    <w:rsid w:val="00E323C2"/>
    <w:rsid w:val="00E42B34"/>
    <w:rsid w:val="00E46830"/>
    <w:rsid w:val="00EC0796"/>
    <w:rsid w:val="00EE09B7"/>
    <w:rsid w:val="00EF57F4"/>
    <w:rsid w:val="00F71D1B"/>
    <w:rsid w:val="00F86314"/>
    <w:rsid w:val="00F90611"/>
    <w:rsid w:val="00FE7366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C2D3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0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2AC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736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3502B"/>
    <w:rPr>
      <w:b/>
      <w:bCs/>
    </w:rPr>
  </w:style>
  <w:style w:type="character" w:customStyle="1" w:styleId="t286pc">
    <w:name w:val="t286pc"/>
    <w:basedOn w:val="DefaultParagraphFont"/>
    <w:rsid w:val="00EC0796"/>
  </w:style>
  <w:style w:type="paragraph" w:styleId="NormalWeb">
    <w:name w:val="Normal (Web)"/>
    <w:basedOn w:val="Normal"/>
    <w:uiPriority w:val="99"/>
    <w:semiHidden/>
    <w:unhideWhenUsed/>
    <w:rsid w:val="00527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math-inline">
    <w:name w:val="math-inline"/>
    <w:basedOn w:val="DefaultParagraphFont"/>
    <w:rsid w:val="00527ECE"/>
  </w:style>
  <w:style w:type="paragraph" w:styleId="BalloonText">
    <w:name w:val="Balloon Text"/>
    <w:basedOn w:val="Normal"/>
    <w:link w:val="BalloonTextChar"/>
    <w:uiPriority w:val="99"/>
    <w:semiHidden/>
    <w:unhideWhenUsed/>
    <w:rsid w:val="00AC7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6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0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2AC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736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3502B"/>
    <w:rPr>
      <w:b/>
      <w:bCs/>
    </w:rPr>
  </w:style>
  <w:style w:type="character" w:customStyle="1" w:styleId="t286pc">
    <w:name w:val="t286pc"/>
    <w:basedOn w:val="DefaultParagraphFont"/>
    <w:rsid w:val="00EC0796"/>
  </w:style>
  <w:style w:type="paragraph" w:styleId="NormalWeb">
    <w:name w:val="Normal (Web)"/>
    <w:basedOn w:val="Normal"/>
    <w:uiPriority w:val="99"/>
    <w:semiHidden/>
    <w:unhideWhenUsed/>
    <w:rsid w:val="00527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math-inline">
    <w:name w:val="math-inline"/>
    <w:basedOn w:val="DefaultParagraphFont"/>
    <w:rsid w:val="00527ECE"/>
  </w:style>
  <w:style w:type="paragraph" w:styleId="BalloonText">
    <w:name w:val="Balloon Text"/>
    <w:basedOn w:val="Normal"/>
    <w:link w:val="BalloonTextChar"/>
    <w:uiPriority w:val="99"/>
    <w:semiHidden/>
    <w:unhideWhenUsed/>
    <w:rsid w:val="00AC7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6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4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Hagar Reda Salah Amin Ali Negm</dc:creator>
  <cp:lastModifiedBy>H</cp:lastModifiedBy>
  <cp:revision>2</cp:revision>
  <dcterms:created xsi:type="dcterms:W3CDTF">2026-05-16T20:10:00Z</dcterms:created>
  <dcterms:modified xsi:type="dcterms:W3CDTF">2026-05-16T20:10:00Z</dcterms:modified>
</cp:coreProperties>
</file>