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keepNext/>
        <w:pBdr>
          <w:bottom w:val="single" w:sz="12" w:space="4" w:color="0F2C4A"/>
        </w:pBdr>
      </w:pPr>
      <w:r>
        <w:rPr>
          <w:rFonts w:ascii="Calibri" w:hAnsi="Calibri"/>
          <w:b/>
          <w:i w:val="0"/>
          <w:color w:val="0F2C4A"/>
          <w:sz w:val="38"/>
        </w:rPr>
        <w:t>Investment Readiness &amp; Investment Round Management</w:t>
      </w:r>
    </w:p>
    <w:p>
      <w:pPr>
        <w:keepNext/>
        <w:spacing w:before="320" w:after="100"/>
      </w:pPr>
      <w:r>
        <w:rPr>
          <w:rFonts w:ascii="Calibri" w:hAnsi="Calibri"/>
          <w:b/>
          <w:i w:val="0"/>
          <w:color w:val="0F2C4A"/>
          <w:sz w:val="27"/>
        </w:rPr>
        <w:t>Proposal and Consulting Agreement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p>
        </w:tc>
        <w:tc>
          <w:tcPr>
            <w:tcW w:type="dxa" w:w="4819"/>
            <w:shd w:val="clear" w:color="auto" w:fill="0F2C4A"/>
          </w:tcPr>
          <w:p>
            <w:pPr>
              <w:spacing w:after="40" w:before="40"/>
            </w:pPr>
            <w:r/>
          </w:p>
        </w:tc>
      </w:tr>
      <w:tr>
        <w:tc>
          <w:tcPr>
            <w:tcW w:type="dxa" w:w="4819"/>
          </w:tcPr>
          <w:p>
            <w:pPr>
              <w:spacing w:after="40" w:before="40"/>
            </w:pPr>
            <w:r/>
            <w:r>
              <w:rPr>
                <w:rFonts w:ascii="Cambria" w:hAnsi="Cambria"/>
                <w:b/>
                <w:i w:val="0"/>
                <w:sz w:val="17"/>
              </w:rPr>
              <w:t>Prepared for</w:t>
            </w:r>
          </w:p>
        </w:tc>
        <w:tc>
          <w:tcPr>
            <w:tcW w:type="dxa" w:w="4819"/>
          </w:tcPr>
          <w:p>
            <w:pPr>
              <w:spacing w:after="40" w:before="40"/>
            </w:pPr>
            <w:r/>
            <w:r>
              <w:rPr>
                <w:rFonts w:ascii="Cambria" w:hAnsi="Cambria"/>
                <w:b w:val="0"/>
                <w:i w:val="0"/>
                <w:sz w:val="17"/>
              </w:rPr>
              <w:t>Btakka — [Insert Registered Legal Entity Name]</w:t>
            </w:r>
          </w:p>
        </w:tc>
      </w:tr>
      <w:tr>
        <w:tc>
          <w:tcPr>
            <w:tcW w:type="dxa" w:w="4819"/>
            <w:shd w:val="clear" w:color="auto" w:fill="F2F5F8"/>
          </w:tcPr>
          <w:p>
            <w:pPr>
              <w:spacing w:after="40" w:before="40"/>
            </w:pPr>
            <w:r/>
            <w:r>
              <w:rPr>
                <w:rFonts w:ascii="Cambria" w:hAnsi="Cambria"/>
                <w:b/>
                <w:i w:val="0"/>
                <w:sz w:val="17"/>
              </w:rPr>
              <w:t>Prepared by</w:t>
            </w:r>
          </w:p>
        </w:tc>
        <w:tc>
          <w:tcPr>
            <w:tcW w:type="dxa" w:w="4819"/>
            <w:shd w:val="clear" w:color="auto" w:fill="F2F5F8"/>
          </w:tcPr>
          <w:p>
            <w:pPr>
              <w:spacing w:after="40" w:before="40"/>
            </w:pPr>
            <w:r/>
            <w:r>
              <w:rPr>
                <w:rFonts w:ascii="Cambria" w:hAnsi="Cambria"/>
                <w:b w:val="0"/>
                <w:i w:val="0"/>
                <w:sz w:val="17"/>
              </w:rPr>
              <w:t>Abdelrhman Soliman — Investment &amp; Business Expert</w:t>
            </w:r>
          </w:p>
        </w:tc>
      </w:tr>
      <w:tr>
        <w:tc>
          <w:tcPr>
            <w:tcW w:type="dxa" w:w="4819"/>
          </w:tcPr>
          <w:p>
            <w:pPr>
              <w:spacing w:after="40" w:before="40"/>
            </w:pPr>
            <w:r/>
            <w:r>
              <w:rPr>
                <w:rFonts w:ascii="Cambria" w:hAnsi="Cambria"/>
                <w:b/>
                <w:i w:val="0"/>
                <w:sz w:val="17"/>
              </w:rPr>
              <w:t>Date</w:t>
            </w:r>
          </w:p>
        </w:tc>
        <w:tc>
          <w:tcPr>
            <w:tcW w:type="dxa" w:w="4819"/>
          </w:tcPr>
          <w:p>
            <w:pPr>
              <w:spacing w:after="40" w:before="40"/>
            </w:pPr>
            <w:r/>
            <w:r>
              <w:rPr>
                <w:rFonts w:ascii="Cambria" w:hAnsi="Cambria"/>
                <w:b w:val="0"/>
                <w:i w:val="0"/>
                <w:sz w:val="17"/>
              </w:rPr>
              <w:t>13 September 2026</w:t>
            </w:r>
          </w:p>
        </w:tc>
      </w:tr>
      <w:tr>
        <w:tc>
          <w:tcPr>
            <w:tcW w:type="dxa" w:w="4819"/>
            <w:shd w:val="clear" w:color="auto" w:fill="F2F5F8"/>
          </w:tcPr>
          <w:p>
            <w:pPr>
              <w:spacing w:after="40" w:before="40"/>
            </w:pPr>
            <w:r/>
            <w:r>
              <w:rPr>
                <w:rFonts w:ascii="Cambria" w:hAnsi="Cambria"/>
                <w:b/>
                <w:i w:val="0"/>
                <w:sz w:val="17"/>
              </w:rPr>
              <w:t>Validity of this proposal</w:t>
            </w:r>
          </w:p>
        </w:tc>
        <w:tc>
          <w:tcPr>
            <w:tcW w:type="dxa" w:w="4819"/>
            <w:shd w:val="clear" w:color="auto" w:fill="F2F5F8"/>
          </w:tcPr>
          <w:p>
            <w:pPr>
              <w:spacing w:after="40" w:before="40"/>
            </w:pPr>
            <w:r/>
            <w:r>
              <w:rPr>
                <w:rFonts w:ascii="Cambria" w:hAnsi="Cambria"/>
                <w:b w:val="0"/>
                <w:i w:val="0"/>
                <w:sz w:val="17"/>
              </w:rPr>
              <w:t>30 days from the date above</w:t>
            </w:r>
          </w:p>
        </w:tc>
      </w:tr>
    </w:tbl>
    <w:p>
      <w:pPr>
        <w:spacing w:after="40"/>
      </w:pPr>
    </w:p>
    <w:p>
      <w:pPr>
        <w:spacing w:before="120" w:after="120"/>
        <w:pBdr>
          <w:bottom w:val="single" w:sz="6" w:space="1" w:color="C2CCD6"/>
        </w:pBdr>
      </w:pPr>
    </w:p>
    <w:p>
      <w:pPr>
        <w:keepNext/>
        <w:spacing w:before="240" w:after="80"/>
      </w:pPr>
      <w:r>
        <w:rPr>
          <w:rFonts w:ascii="Calibri" w:hAnsi="Calibri"/>
          <w:b/>
          <w:i w:val="0"/>
          <w:color w:val="1C4A73"/>
          <w:sz w:val="23"/>
        </w:rPr>
        <w:t>Document Control</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Field</w:t>
            </w:r>
          </w:p>
        </w:tc>
        <w:tc>
          <w:tcPr>
            <w:tcW w:type="dxa" w:w="4819"/>
            <w:shd w:val="clear" w:color="auto" w:fill="0F2C4A"/>
          </w:tcPr>
          <w:p>
            <w:pPr>
              <w:spacing w:after="40" w:before="40"/>
            </w:pPr>
            <w:r/>
            <w:r>
              <w:rPr>
                <w:rFonts w:ascii="Calibri" w:hAnsi="Calibri"/>
                <w:b/>
                <w:i w:val="0"/>
                <w:color w:val="FFFFFF"/>
                <w:sz w:val="17"/>
              </w:rPr>
              <w:t>Detail</w:t>
            </w:r>
          </w:p>
        </w:tc>
      </w:tr>
      <w:tr>
        <w:tc>
          <w:tcPr>
            <w:tcW w:type="dxa" w:w="4819"/>
          </w:tcPr>
          <w:p>
            <w:pPr>
              <w:spacing w:after="40" w:before="40"/>
            </w:pPr>
            <w:r/>
            <w:r>
              <w:rPr>
                <w:rFonts w:ascii="Cambria" w:hAnsi="Cambria"/>
                <w:b w:val="0"/>
                <w:i w:val="0"/>
                <w:sz w:val="17"/>
              </w:rPr>
              <w:t>Document title</w:t>
            </w:r>
          </w:p>
        </w:tc>
        <w:tc>
          <w:tcPr>
            <w:tcW w:type="dxa" w:w="4819"/>
          </w:tcPr>
          <w:p>
            <w:pPr>
              <w:spacing w:after="40" w:before="40"/>
            </w:pPr>
            <w:r/>
            <w:r>
              <w:rPr>
                <w:rFonts w:ascii="Cambria" w:hAnsi="Cambria"/>
                <w:b w:val="0"/>
                <w:i w:val="0"/>
                <w:sz w:val="17"/>
              </w:rPr>
              <w:t>Investment Readiness &amp; Investment Round Management — Proposal and Consulting Agreement</w:t>
            </w:r>
          </w:p>
        </w:tc>
      </w:tr>
      <w:tr>
        <w:tc>
          <w:tcPr>
            <w:tcW w:type="dxa" w:w="4819"/>
            <w:shd w:val="clear" w:color="auto" w:fill="F2F5F8"/>
          </w:tcPr>
          <w:p>
            <w:pPr>
              <w:spacing w:after="40" w:before="40"/>
            </w:pPr>
            <w:r/>
            <w:r>
              <w:rPr>
                <w:rFonts w:ascii="Cambria" w:hAnsi="Cambria"/>
                <w:b w:val="0"/>
                <w:i w:val="0"/>
                <w:sz w:val="17"/>
              </w:rPr>
              <w:t>Version</w:t>
            </w:r>
          </w:p>
        </w:tc>
        <w:tc>
          <w:tcPr>
            <w:tcW w:type="dxa" w:w="4819"/>
            <w:shd w:val="clear" w:color="auto" w:fill="F2F5F8"/>
          </w:tcPr>
          <w:p>
            <w:pPr>
              <w:spacing w:after="40" w:before="40"/>
            </w:pPr>
            <w:r/>
            <w:r>
              <w:rPr>
                <w:rFonts w:ascii="Cambria" w:hAnsi="Cambria"/>
                <w:b w:val="0"/>
                <w:i w:val="0"/>
                <w:sz w:val="17"/>
              </w:rPr>
              <w:t>1.0 — For Client Review</w:t>
            </w:r>
          </w:p>
        </w:tc>
      </w:tr>
      <w:tr>
        <w:tc>
          <w:tcPr>
            <w:tcW w:type="dxa" w:w="4819"/>
          </w:tcPr>
          <w:p>
            <w:pPr>
              <w:spacing w:after="40" w:before="40"/>
            </w:pPr>
            <w:r/>
            <w:r>
              <w:rPr>
                <w:rFonts w:ascii="Cambria" w:hAnsi="Cambria"/>
                <w:b w:val="0"/>
                <w:i w:val="0"/>
                <w:sz w:val="17"/>
              </w:rPr>
              <w:t>Consultant</w:t>
            </w:r>
          </w:p>
        </w:tc>
        <w:tc>
          <w:tcPr>
            <w:tcW w:type="dxa" w:w="4819"/>
          </w:tcPr>
          <w:p>
            <w:pPr>
              <w:spacing w:after="40" w:before="40"/>
            </w:pPr>
            <w:r/>
            <w:r>
              <w:rPr>
                <w:rFonts w:ascii="Cambria" w:hAnsi="Cambria"/>
                <w:b w:val="0"/>
                <w:i w:val="0"/>
                <w:sz w:val="17"/>
              </w:rPr>
              <w:t>Abdelrhman Soliman, Independent Investment Advisor &amp; Consultant</w:t>
            </w:r>
          </w:p>
        </w:tc>
      </w:tr>
      <w:tr>
        <w:tc>
          <w:tcPr>
            <w:tcW w:type="dxa" w:w="4819"/>
            <w:shd w:val="clear" w:color="auto" w:fill="F2F5F8"/>
          </w:tcPr>
          <w:p>
            <w:pPr>
              <w:spacing w:after="40" w:before="40"/>
            </w:pPr>
            <w:r/>
            <w:r>
              <w:rPr>
                <w:rFonts w:ascii="Cambria" w:hAnsi="Cambria"/>
                <w:b w:val="0"/>
                <w:i w:val="0"/>
                <w:sz w:val="17"/>
              </w:rPr>
              <w:t>Consultant address</w:t>
            </w:r>
          </w:p>
        </w:tc>
        <w:tc>
          <w:tcPr>
            <w:tcW w:type="dxa" w:w="4819"/>
            <w:shd w:val="clear" w:color="auto" w:fill="F2F5F8"/>
          </w:tcPr>
          <w:p>
            <w:pPr>
              <w:spacing w:after="40" w:before="40"/>
            </w:pPr>
            <w:r/>
            <w:r>
              <w:rPr>
                <w:rFonts w:ascii="Cambria" w:hAnsi="Cambria"/>
                <w:b w:val="0"/>
                <w:i w:val="0"/>
                <w:sz w:val="17"/>
              </w:rPr>
              <w:t>Cairo, Arab Republic of Egypt</w:t>
            </w:r>
          </w:p>
        </w:tc>
      </w:tr>
      <w:tr>
        <w:tc>
          <w:tcPr>
            <w:tcW w:type="dxa" w:w="4819"/>
          </w:tcPr>
          <w:p>
            <w:pPr>
              <w:spacing w:after="40" w:before="40"/>
            </w:pPr>
            <w:r/>
            <w:r>
              <w:rPr>
                <w:rFonts w:ascii="Cambria" w:hAnsi="Cambria"/>
                <w:b w:val="0"/>
                <w:i w:val="0"/>
                <w:sz w:val="17"/>
              </w:rPr>
              <w:t>Consultant contact</w:t>
            </w:r>
          </w:p>
        </w:tc>
        <w:tc>
          <w:tcPr>
            <w:tcW w:type="dxa" w:w="4819"/>
          </w:tcPr>
          <w:p>
            <w:pPr>
              <w:spacing w:after="40" w:before="40"/>
            </w:pPr>
            <w:r/>
            <w:r>
              <w:rPr>
                <w:rFonts w:ascii="Cambria" w:hAnsi="Cambria"/>
                <w:b w:val="0"/>
                <w:i w:val="0"/>
                <w:sz w:val="17"/>
              </w:rPr>
              <w:t>abdelrhmansoliman96@gmail.com · +20 109 651 5287</w:t>
            </w:r>
          </w:p>
        </w:tc>
      </w:tr>
      <w:tr>
        <w:tc>
          <w:tcPr>
            <w:tcW w:type="dxa" w:w="4819"/>
            <w:shd w:val="clear" w:color="auto" w:fill="F2F5F8"/>
          </w:tcPr>
          <w:p>
            <w:pPr>
              <w:spacing w:after="40" w:before="40"/>
            </w:pPr>
            <w:r/>
            <w:r>
              <w:rPr>
                <w:rFonts w:ascii="Cambria" w:hAnsi="Cambria"/>
                <w:b w:val="0"/>
                <w:i w:val="0"/>
                <w:sz w:val="17"/>
              </w:rPr>
              <w:t>Client (trade name)</w:t>
            </w:r>
          </w:p>
        </w:tc>
        <w:tc>
          <w:tcPr>
            <w:tcW w:type="dxa" w:w="4819"/>
            <w:shd w:val="clear" w:color="auto" w:fill="F2F5F8"/>
          </w:tcPr>
          <w:p>
            <w:pPr>
              <w:spacing w:after="40" w:before="40"/>
            </w:pPr>
            <w:r/>
            <w:r>
              <w:rPr>
                <w:rFonts w:ascii="Cambria" w:hAnsi="Cambria"/>
                <w:b w:val="0"/>
                <w:i w:val="0"/>
                <w:sz w:val="17"/>
              </w:rPr>
              <w:t>Btakka</w:t>
            </w:r>
          </w:p>
        </w:tc>
      </w:tr>
      <w:tr>
        <w:tc>
          <w:tcPr>
            <w:tcW w:type="dxa" w:w="4819"/>
          </w:tcPr>
          <w:p>
            <w:pPr>
              <w:spacing w:after="40" w:before="40"/>
            </w:pPr>
            <w:r/>
            <w:r>
              <w:rPr>
                <w:rFonts w:ascii="Cambria" w:hAnsi="Cambria"/>
                <w:b w:val="0"/>
                <w:i w:val="0"/>
                <w:sz w:val="17"/>
              </w:rPr>
              <w:t>Client (legal entity)</w:t>
            </w:r>
          </w:p>
        </w:tc>
        <w:tc>
          <w:tcPr>
            <w:tcW w:type="dxa" w:w="4819"/>
          </w:tcPr>
          <w:p>
            <w:pPr>
              <w:spacing w:after="40" w:before="40"/>
            </w:pPr>
            <w:r/>
            <w:r>
              <w:rPr>
                <w:rFonts w:ascii="Cambria" w:hAnsi="Cambria"/>
                <w:b w:val="0"/>
                <w:i w:val="0"/>
                <w:sz w:val="17"/>
              </w:rPr>
              <w:t>[Insert full registered name]</w:t>
            </w:r>
          </w:p>
        </w:tc>
      </w:tr>
      <w:tr>
        <w:tc>
          <w:tcPr>
            <w:tcW w:type="dxa" w:w="4819"/>
            <w:shd w:val="clear" w:color="auto" w:fill="F2F5F8"/>
          </w:tcPr>
          <w:p>
            <w:pPr>
              <w:spacing w:after="40" w:before="40"/>
            </w:pPr>
            <w:r/>
            <w:r>
              <w:rPr>
                <w:rFonts w:ascii="Cambria" w:hAnsi="Cambria"/>
                <w:b w:val="0"/>
                <w:i w:val="0"/>
                <w:sz w:val="17"/>
              </w:rPr>
              <w:t>Commercial Register No.</w:t>
            </w:r>
          </w:p>
        </w:tc>
        <w:tc>
          <w:tcPr>
            <w:tcW w:type="dxa" w:w="4819"/>
            <w:shd w:val="clear" w:color="auto" w:fill="F2F5F8"/>
          </w:tcPr>
          <w:p>
            <w:pPr>
              <w:spacing w:after="40" w:before="40"/>
            </w:pPr>
            <w:r/>
            <w:r>
              <w:rPr>
                <w:rFonts w:ascii="Cambria" w:hAnsi="Cambria"/>
                <w:b w:val="0"/>
                <w:i w:val="0"/>
                <w:sz w:val="17"/>
              </w:rPr>
              <w:t>[Insert CR number]</w:t>
            </w:r>
          </w:p>
        </w:tc>
      </w:tr>
      <w:tr>
        <w:tc>
          <w:tcPr>
            <w:tcW w:type="dxa" w:w="4819"/>
          </w:tcPr>
          <w:p>
            <w:pPr>
              <w:spacing w:after="40" w:before="40"/>
            </w:pPr>
            <w:r/>
            <w:r>
              <w:rPr>
                <w:rFonts w:ascii="Cambria" w:hAnsi="Cambria"/>
                <w:b w:val="0"/>
                <w:i w:val="0"/>
                <w:sz w:val="17"/>
              </w:rPr>
              <w:t>Tax Card No.</w:t>
            </w:r>
          </w:p>
        </w:tc>
        <w:tc>
          <w:tcPr>
            <w:tcW w:type="dxa" w:w="4819"/>
          </w:tcPr>
          <w:p>
            <w:pPr>
              <w:spacing w:after="40" w:before="40"/>
            </w:pPr>
            <w:r/>
            <w:r>
              <w:rPr>
                <w:rFonts w:ascii="Cambria" w:hAnsi="Cambria"/>
                <w:b w:val="0"/>
                <w:i w:val="0"/>
                <w:sz w:val="17"/>
              </w:rPr>
              <w:t>[Insert tax ID]</w:t>
            </w:r>
          </w:p>
        </w:tc>
      </w:tr>
      <w:tr>
        <w:tc>
          <w:tcPr>
            <w:tcW w:type="dxa" w:w="4819"/>
            <w:shd w:val="clear" w:color="auto" w:fill="F2F5F8"/>
          </w:tcPr>
          <w:p>
            <w:pPr>
              <w:spacing w:after="40" w:before="40"/>
            </w:pPr>
            <w:r/>
            <w:r>
              <w:rPr>
                <w:rFonts w:ascii="Cambria" w:hAnsi="Cambria"/>
                <w:b w:val="0"/>
                <w:i w:val="0"/>
                <w:sz w:val="17"/>
              </w:rPr>
              <w:t>Registered address</w:t>
            </w:r>
          </w:p>
        </w:tc>
        <w:tc>
          <w:tcPr>
            <w:tcW w:type="dxa" w:w="4819"/>
            <w:shd w:val="clear" w:color="auto" w:fill="F2F5F8"/>
          </w:tcPr>
          <w:p>
            <w:pPr>
              <w:spacing w:after="40" w:before="40"/>
            </w:pPr>
            <w:r/>
            <w:r>
              <w:rPr>
                <w:rFonts w:ascii="Cambria" w:hAnsi="Cambria"/>
                <w:b w:val="0"/>
                <w:i w:val="0"/>
                <w:sz w:val="17"/>
              </w:rPr>
              <w:t>[Insert address]</w:t>
            </w:r>
          </w:p>
        </w:tc>
      </w:tr>
      <w:tr>
        <w:tc>
          <w:tcPr>
            <w:tcW w:type="dxa" w:w="4819"/>
          </w:tcPr>
          <w:p>
            <w:pPr>
              <w:spacing w:after="40" w:before="40"/>
            </w:pPr>
            <w:r/>
            <w:r>
              <w:rPr>
                <w:rFonts w:ascii="Cambria" w:hAnsi="Cambria"/>
                <w:b w:val="0"/>
                <w:i w:val="0"/>
                <w:sz w:val="17"/>
              </w:rPr>
              <w:t>Client signatory</w:t>
            </w:r>
          </w:p>
        </w:tc>
        <w:tc>
          <w:tcPr>
            <w:tcW w:type="dxa" w:w="4819"/>
          </w:tcPr>
          <w:p>
            <w:pPr>
              <w:spacing w:after="40" w:before="40"/>
            </w:pPr>
            <w:r/>
            <w:r>
              <w:rPr>
                <w:rFonts w:ascii="Cambria" w:hAnsi="Cambria"/>
                <w:b w:val="0"/>
                <w:i w:val="0"/>
                <w:sz w:val="17"/>
              </w:rPr>
              <w:t>[Insert name and title]</w:t>
            </w:r>
          </w:p>
        </w:tc>
      </w:tr>
      <w:tr>
        <w:tc>
          <w:tcPr>
            <w:tcW w:type="dxa" w:w="4819"/>
            <w:shd w:val="clear" w:color="auto" w:fill="F2F5F8"/>
          </w:tcPr>
          <w:p>
            <w:pPr>
              <w:spacing w:after="40" w:before="40"/>
            </w:pPr>
            <w:r/>
            <w:r>
              <w:rPr>
                <w:rFonts w:ascii="Cambria" w:hAnsi="Cambria"/>
                <w:b w:val="0"/>
                <w:i w:val="0"/>
                <w:sz w:val="17"/>
              </w:rPr>
              <w:t>Target round</w:t>
            </w:r>
          </w:p>
        </w:tc>
        <w:tc>
          <w:tcPr>
            <w:tcW w:type="dxa" w:w="4819"/>
            <w:shd w:val="clear" w:color="auto" w:fill="F2F5F8"/>
          </w:tcPr>
          <w:p>
            <w:pPr>
              <w:spacing w:after="40" w:before="40"/>
            </w:pPr>
            <w:r/>
            <w:r>
              <w:rPr>
                <w:rFonts w:ascii="Cambria" w:hAnsi="Cambria"/>
                <w:b w:val="0"/>
                <w:i w:val="0"/>
                <w:sz w:val="17"/>
              </w:rPr>
              <w:t>Pre-Seed</w:t>
            </w:r>
          </w:p>
        </w:tc>
      </w:tr>
      <w:tr>
        <w:tc>
          <w:tcPr>
            <w:tcW w:type="dxa" w:w="4819"/>
          </w:tcPr>
          <w:p>
            <w:pPr>
              <w:spacing w:after="40" w:before="40"/>
            </w:pPr>
            <w:r/>
            <w:r>
              <w:rPr>
                <w:rFonts w:ascii="Cambria" w:hAnsi="Cambria"/>
                <w:b w:val="0"/>
                <w:i w:val="0"/>
                <w:sz w:val="17"/>
              </w:rPr>
              <w:t>Total engagement fee</w:t>
            </w:r>
          </w:p>
        </w:tc>
        <w:tc>
          <w:tcPr>
            <w:tcW w:type="dxa" w:w="4819"/>
          </w:tcPr>
          <w:p>
            <w:pPr>
              <w:spacing w:after="40" w:before="40"/>
            </w:pPr>
            <w:r/>
            <w:r>
              <w:rPr>
                <w:rFonts w:ascii="Cambria" w:hAnsi="Cambria"/>
                <w:b w:val="0"/>
                <w:i w:val="0"/>
                <w:sz w:val="17"/>
              </w:rPr>
              <w:t>EGP 150,000 plus a 10% Success Fee on Consultant-introduced tickets</w:t>
            </w:r>
          </w:p>
        </w:tc>
      </w:tr>
      <w:tr>
        <w:tc>
          <w:tcPr>
            <w:tcW w:type="dxa" w:w="4819"/>
            <w:shd w:val="clear" w:color="auto" w:fill="F2F5F8"/>
          </w:tcPr>
          <w:p>
            <w:pPr>
              <w:spacing w:after="40" w:before="40"/>
            </w:pPr>
            <w:r/>
            <w:r>
              <w:rPr>
                <w:rFonts w:ascii="Cambria" w:hAnsi="Cambria"/>
                <w:b w:val="0"/>
                <w:i w:val="0"/>
                <w:sz w:val="17"/>
              </w:rPr>
              <w:t>Indicative duration</w:t>
            </w:r>
          </w:p>
        </w:tc>
        <w:tc>
          <w:tcPr>
            <w:tcW w:type="dxa" w:w="4819"/>
            <w:shd w:val="clear" w:color="auto" w:fill="F2F5F8"/>
          </w:tcPr>
          <w:p>
            <w:pPr>
              <w:spacing w:after="40" w:before="40"/>
            </w:pPr>
            <w:r/>
            <w:r>
              <w:rPr>
                <w:rFonts w:ascii="Cambria" w:hAnsi="Cambria"/>
                <w:b w:val="0"/>
                <w:i w:val="0"/>
                <w:sz w:val="17"/>
              </w:rPr>
              <w:t>4 months (1 month readiness + 3 months round management)</w:t>
            </w:r>
          </w:p>
        </w:tc>
      </w:tr>
    </w:tbl>
    <w:p>
      <w:pPr>
        <w:spacing w:after="40"/>
      </w:pPr>
    </w:p>
    <w:p>
      <w:pPr>
        <w:spacing w:before="140" w:after="180"/>
        <w:ind w:left="283" w:right="170"/>
        <w:pBdr>
          <w:left w:val="single" w:sz="18" w:space="8" w:color="0F2C4A"/>
        </w:pBdr>
        <w:shd w:val="clear" w:color="auto" w:fill="EEF3F8"/>
      </w:pPr>
      <w:r>
        <w:rPr>
          <w:rFonts w:ascii="Cambria" w:hAnsi="Cambria"/>
          <w:b/>
          <w:i w:val="0"/>
          <w:color w:val="1C3A55"/>
          <w:sz w:val="19"/>
        </w:rPr>
        <w:t>How to read this document.</w:t>
      </w:r>
      <w:r>
        <w:rPr>
          <w:rFonts w:ascii="Cambria" w:hAnsi="Cambria"/>
          <w:b w:val="0"/>
          <w:i w:val="0"/>
          <w:color w:val="1C3A55"/>
          <w:sz w:val="19"/>
        </w:rPr>
        <w:t xml:space="preserve"> </w:t>
      </w:r>
      <w:r>
        <w:rPr>
          <w:rFonts w:ascii="Cambria" w:hAnsi="Cambria"/>
          <w:b/>
          <w:i w:val="0"/>
          <w:color w:val="1C3A55"/>
          <w:sz w:val="19"/>
        </w:rPr>
        <w:t>Part I — Proposal</w:t>
      </w:r>
      <w:r>
        <w:rPr>
          <w:rFonts w:ascii="Cambria" w:hAnsi="Cambria"/>
          <w:b w:val="0"/>
          <w:i w:val="0"/>
          <w:color w:val="1C3A55"/>
          <w:sz w:val="19"/>
        </w:rPr>
        <w:t xml:space="preserve"> sets out what will be done, by whom, by when, and for how much. </w:t>
      </w:r>
      <w:r>
        <w:rPr>
          <w:rFonts w:ascii="Cambria" w:hAnsi="Cambria"/>
          <w:b/>
          <w:i w:val="0"/>
          <w:color w:val="1C3A55"/>
          <w:sz w:val="19"/>
        </w:rPr>
        <w:t>Part II — Consulting Agreement</w:t>
      </w:r>
      <w:r>
        <w:rPr>
          <w:rFonts w:ascii="Cambria" w:hAnsi="Cambria"/>
          <w:b w:val="0"/>
          <w:i w:val="0"/>
          <w:color w:val="1C3A55"/>
          <w:sz w:val="19"/>
        </w:rPr>
        <w:t xml:space="preserve"> is the binding contract. </w:t>
      </w:r>
      <w:r>
        <w:rPr>
          <w:rFonts w:ascii="Cambria" w:hAnsi="Cambria"/>
          <w:b/>
          <w:i w:val="0"/>
          <w:color w:val="1C3A55"/>
          <w:sz w:val="19"/>
        </w:rPr>
        <w:t>Part III — Schedules</w:t>
      </w:r>
      <w:r>
        <w:rPr>
          <w:rFonts w:ascii="Cambria" w:hAnsi="Cambria"/>
          <w:b w:val="0"/>
          <w:i w:val="0"/>
          <w:color w:val="1C3A55"/>
          <w:sz w:val="19"/>
        </w:rPr>
        <w:t xml:space="preserve"> contains the detailed scope, workshop programme, input requirements, fee schedule and investor log that the Agreement incorporates by reference. Fields shown as </w:t>
      </w:r>
      <w:r>
        <w:rPr>
          <w:rFonts w:ascii="Consolas" w:hAnsi="Consolas"/>
          <w:b w:val="0"/>
          <w:i w:val="0"/>
          <w:color w:val="1C3A55"/>
          <w:sz w:val="19"/>
        </w:rPr>
        <w:t>[ ]</w:t>
      </w:r>
      <w:r>
        <w:rPr>
          <w:rFonts w:ascii="Cambria" w:hAnsi="Cambria"/>
          <w:b w:val="0"/>
          <w:i w:val="0"/>
          <w:color w:val="1C3A55"/>
          <w:sz w:val="19"/>
        </w:rPr>
        <w:t xml:space="preserve"> are to be completed before signature.</w:t>
      </w:r>
    </w:p>
    <w:p>
      <w:pPr>
        <w:spacing w:before="120" w:after="120"/>
        <w:pBdr>
          <w:bottom w:val="single" w:sz="6" w:space="1" w:color="C2CCD6"/>
        </w:pBdr>
      </w:pPr>
    </w:p>
    <w:p>
      <w:pPr>
        <w:spacing w:before="0" w:after="200"/>
        <w:keepNext/>
        <w:pBdr>
          <w:bottom w:val="single" w:sz="12" w:space="4" w:color="0F2C4A"/>
        </w:pBdr>
      </w:pPr>
      <w:r>
        <w:br w:type="page"/>
      </w:r>
      <w:r>
        <w:rPr>
          <w:rFonts w:ascii="Calibri" w:hAnsi="Calibri"/>
          <w:b/>
          <w:i w:val="0"/>
          <w:color w:val="0F2C4A"/>
          <w:sz w:val="38"/>
        </w:rPr>
        <w:t>PART I — PROPOSAL</w:t>
      </w:r>
    </w:p>
    <w:p>
      <w:pPr>
        <w:keepNext/>
        <w:spacing w:before="320" w:after="100"/>
      </w:pPr>
      <w:r>
        <w:rPr>
          <w:rFonts w:ascii="Calibri" w:hAnsi="Calibri"/>
          <w:b/>
          <w:i w:val="0"/>
          <w:color w:val="0F2C4A"/>
          <w:sz w:val="27"/>
        </w:rPr>
        <w:t>1. Executive Summary</w:t>
      </w:r>
    </w:p>
    <w:p>
      <w:pPr>
        <w:spacing w:after="120"/>
      </w:pPr>
      <w:r>
        <w:rPr>
          <w:rFonts w:ascii="Cambria" w:hAnsi="Cambria"/>
          <w:b w:val="0"/>
          <w:i w:val="0"/>
        </w:rPr>
        <w:t xml:space="preserve">Btakka operates two published iOS products on the Egyptian App Store — </w:t>
      </w:r>
      <w:r>
        <w:rPr>
          <w:rFonts w:ascii="Cambria" w:hAnsi="Cambria"/>
          <w:b/>
          <w:i w:val="0"/>
        </w:rPr>
        <w:t>Btakka Business</w:t>
      </w:r>
      <w:r>
        <w:rPr>
          <w:rFonts w:ascii="Cambria" w:hAnsi="Cambria"/>
          <w:b w:val="0"/>
          <w:i w:val="0"/>
        </w:rPr>
        <w:t xml:space="preserve"> (</w:t>
      </w:r>
      <w:r>
        <w:rPr>
          <w:rFonts w:ascii="Cambria" w:hAnsi="Cambria"/>
          <w:b w:val="0"/>
          <w:i w:val="0"/>
        </w:rPr>
        <w:t>App Store</w:t>
      </w:r>
      <w:r>
        <w:rPr>
          <w:rFonts w:ascii="Cambria" w:hAnsi="Cambria"/>
          <w:b w:val="0"/>
          <w:i w:val="0"/>
        </w:rPr>
        <w:t xml:space="preserve">) and </w:t>
      </w:r>
      <w:r>
        <w:rPr>
          <w:rFonts w:ascii="Cambria" w:hAnsi="Cambria"/>
          <w:b/>
          <w:i w:val="0"/>
        </w:rPr>
        <w:t>Btakka Finishing &amp; Decor</w:t>
      </w:r>
      <w:r>
        <w:rPr>
          <w:rFonts w:ascii="Cambria" w:hAnsi="Cambria"/>
          <w:b w:val="0"/>
          <w:i w:val="0"/>
        </w:rPr>
        <w:t xml:space="preserve"> (</w:t>
      </w:r>
      <w:r>
        <w:rPr>
          <w:rFonts w:ascii="Cambria" w:hAnsi="Cambria"/>
          <w:b w:val="0"/>
          <w:i w:val="0"/>
        </w:rPr>
        <w:t>App Store</w:t>
      </w:r>
      <w:r>
        <w:rPr>
          <w:rFonts w:ascii="Cambria" w:hAnsi="Cambria"/>
          <w:b w:val="0"/>
          <w:i w:val="0"/>
        </w:rPr>
        <w:t>). A live product in market is the hardest part of a pre-seed story, and Btakka already has it.</w:t>
      </w:r>
    </w:p>
    <w:p>
      <w:pPr>
        <w:spacing w:after="120"/>
      </w:pPr>
      <w:r>
        <w:rPr>
          <w:rFonts w:ascii="Cambria" w:hAnsi="Cambria"/>
          <w:b w:val="0"/>
          <w:i w:val="0"/>
        </w:rPr>
        <w:t xml:space="preserve">What most pre-seed companies in this position lack is not a product and not ambition — it is the </w:t>
      </w:r>
      <w:r>
        <w:rPr>
          <w:rFonts w:ascii="Cambria" w:hAnsi="Cambria"/>
          <w:b/>
          <w:i w:val="0"/>
        </w:rPr>
        <w:t>evidence package</w:t>
      </w:r>
      <w:r>
        <w:rPr>
          <w:rFonts w:ascii="Cambria" w:hAnsi="Cambria"/>
          <w:b w:val="0"/>
          <w:i w:val="0"/>
        </w:rPr>
        <w:t>. Investors do not fund a good idea described well. They fund a company that can answer every question in a diligence checklist within twenty-four hours, with numbers that reconcile, a story that holds under pressure, and a founder who has clearly done this work before the meeting rather than during it.</w:t>
      </w:r>
    </w:p>
    <w:p>
      <w:pPr>
        <w:spacing w:after="120"/>
      </w:pPr>
      <w:r>
        <w:rPr>
          <w:rFonts w:ascii="Cambria" w:hAnsi="Cambria"/>
          <w:b w:val="0"/>
          <w:i w:val="0"/>
        </w:rPr>
        <w:t>This engagement delivers exactly that, in two phases:</w:t>
      </w:r>
    </w:p>
    <w:p>
      <w:pPr>
        <w:spacing w:after="120"/>
      </w:pPr>
      <w:r>
        <w:rPr>
          <w:rFonts w:ascii="Cambria" w:hAnsi="Cambria"/>
          <w:b/>
          <w:i w:val="0"/>
        </w:rPr>
        <w:t>Phase 1 — Investment Readiness (1 month).</w:t>
      </w:r>
      <w:r>
        <w:rPr>
          <w:rFonts w:ascii="Cambria" w:hAnsi="Cambria"/>
          <w:b w:val="0"/>
          <w:i w:val="0"/>
        </w:rPr>
        <w:t xml:space="preserve"> Build the complete pre-seed data room against the 36-item checklist, the financial model and financial expectations, the valuation, the pitch deck, the teaser, the business plan and the full investor document set. Delivered through four structured workshops that transfer the reasoning to the founding team, not just the files.</w:t>
      </w:r>
    </w:p>
    <w:p>
      <w:pPr>
        <w:spacing w:after="120"/>
      </w:pPr>
      <w:r>
        <w:rPr>
          <w:rFonts w:ascii="Cambria" w:hAnsi="Cambria"/>
          <w:b/>
          <w:i w:val="0"/>
        </w:rPr>
        <w:t>Phase 2 — Investment Round Management (3 months).</w:t>
      </w:r>
      <w:r>
        <w:rPr>
          <w:rFonts w:ascii="Cambria" w:hAnsi="Cambria"/>
          <w:b w:val="0"/>
          <w:i w:val="0"/>
        </w:rPr>
        <w:t xml:space="preserve"> Convert readiness into capital: fundraising strategy, investor target map, structured outreach, meeting management, diligence coordination, term sheet negotiation and close.</w:t>
      </w:r>
    </w:p>
    <w:p>
      <w:pPr>
        <w:spacing w:after="120"/>
      </w:pPr>
      <w:r>
        <w:rPr>
          <w:rFonts w:ascii="Cambria" w:hAnsi="Cambria"/>
          <w:b/>
          <w:i w:val="0"/>
        </w:rPr>
        <w:t>Commercials.</w:t>
      </w:r>
      <w:r>
        <w:rPr>
          <w:rFonts w:ascii="Cambria" w:hAnsi="Cambria"/>
          <w:b w:val="0"/>
          <w:i w:val="0"/>
        </w:rPr>
        <w:t xml:space="preserve"> EGP 150,000 in fixed fees across three milestones (EGP 30,000 on signature, EGP 30,000 on completion of readiness, EGP 90,000 on first close), plus a 10% Success Fee on the value of investment tickets funded by investors the Consultant introduced.</w:t>
      </w:r>
    </w:p>
    <w:p>
      <w:pPr>
        <w:spacing w:after="120"/>
      </w:pPr>
      <w:r>
        <w:rPr>
          <w:rFonts w:ascii="Cambria" w:hAnsi="Cambria"/>
          <w:b/>
          <w:i w:val="0"/>
        </w:rPr>
        <w:t>The one thing that determines whether this works.</w:t>
      </w:r>
      <w:r>
        <w:rPr>
          <w:rFonts w:ascii="Cambria" w:hAnsi="Cambria"/>
          <w:b w:val="0"/>
          <w:i w:val="0"/>
        </w:rPr>
        <w:t xml:space="preserve"> Every deadline in this document is conditional on Btakka's engagement — documents delivered on time, workshops attended by decision-makers, and introduced investors answered within three business days. This is stated plainly in Clause 5 and Clause 7 because it is the single largest cause of failed rounds, and it is the one input the Consultant cannot supply.</w:t>
      </w:r>
    </w:p>
    <w:p>
      <w:pPr>
        <w:spacing w:before="120" w:after="120"/>
        <w:pBdr>
          <w:bottom w:val="single" w:sz="6" w:space="1" w:color="C2CCD6"/>
        </w:pBdr>
      </w:pPr>
    </w:p>
    <w:p>
      <w:pPr>
        <w:keepNext/>
        <w:spacing w:before="320" w:after="100"/>
      </w:pPr>
      <w:r>
        <w:rPr>
          <w:rFonts w:ascii="Calibri" w:hAnsi="Calibri"/>
          <w:b/>
          <w:i w:val="0"/>
          <w:color w:val="0F2C4A"/>
          <w:sz w:val="27"/>
        </w:rPr>
        <w:t>2. About the Consultant</w:t>
      </w:r>
    </w:p>
    <w:p>
      <w:pPr>
        <w:spacing w:after="120"/>
      </w:pPr>
      <w:r>
        <w:rPr>
          <w:rFonts w:ascii="Cambria" w:hAnsi="Cambria"/>
          <w:b w:val="0"/>
          <w:i w:val="0"/>
        </w:rPr>
        <w:t>Abdelrhman Soliman is an independent investment advisor based in Cairo, working with founders, angels, VCs and family offices across MENA and global markets. Specialisations: investment evaluation, fundraising strategy, investor relations, financial modelling and portfolio development.</w:t>
      </w:r>
    </w:p>
    <w:p>
      <w:pPr>
        <w:keepNext/>
        <w:spacing w:before="240" w:after="80"/>
      </w:pPr>
      <w:r>
        <w:rPr>
          <w:rFonts w:ascii="Calibri" w:hAnsi="Calibri"/>
          <w:b/>
          <w:i w:val="0"/>
          <w:color w:val="1C4A73"/>
          <w:sz w:val="23"/>
        </w:rPr>
        <w:t>Track record</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Metric</w:t>
            </w:r>
          </w:p>
        </w:tc>
        <w:tc>
          <w:tcPr>
            <w:tcW w:type="dxa" w:w="4819"/>
            <w:shd w:val="clear" w:color="auto" w:fill="0F2C4A"/>
          </w:tcPr>
          <w:p>
            <w:pPr>
              <w:spacing w:after="40" w:before="40"/>
            </w:pPr>
            <w:r/>
            <w:r>
              <w:rPr>
                <w:rFonts w:ascii="Calibri" w:hAnsi="Calibri"/>
                <w:b/>
                <w:i w:val="0"/>
                <w:color w:val="FFFFFF"/>
                <w:sz w:val="17"/>
              </w:rPr>
              <w:t>Figure</w:t>
            </w:r>
          </w:p>
        </w:tc>
      </w:tr>
      <w:tr>
        <w:tc>
          <w:tcPr>
            <w:tcW w:type="dxa" w:w="4819"/>
          </w:tcPr>
          <w:p>
            <w:pPr>
              <w:spacing w:after="40" w:before="40"/>
            </w:pPr>
            <w:r/>
            <w:r>
              <w:rPr>
                <w:rFonts w:ascii="Cambria" w:hAnsi="Cambria"/>
                <w:b w:val="0"/>
                <w:i w:val="0"/>
                <w:sz w:val="17"/>
              </w:rPr>
              <w:t>Years in VC, PE and advisory</w:t>
            </w:r>
          </w:p>
        </w:tc>
        <w:tc>
          <w:tcPr>
            <w:tcW w:type="dxa" w:w="4819"/>
          </w:tcPr>
          <w:p>
            <w:pPr>
              <w:spacing w:after="40" w:before="40"/>
            </w:pPr>
            <w:r/>
            <w:r>
              <w:rPr>
                <w:rFonts w:ascii="Cambria" w:hAnsi="Cambria"/>
                <w:b w:val="0"/>
                <w:i w:val="0"/>
                <w:sz w:val="17"/>
              </w:rPr>
              <w:t>7+</w:t>
            </w:r>
          </w:p>
        </w:tc>
      </w:tr>
      <w:tr>
        <w:tc>
          <w:tcPr>
            <w:tcW w:type="dxa" w:w="4819"/>
            <w:shd w:val="clear" w:color="auto" w:fill="F2F5F8"/>
          </w:tcPr>
          <w:p>
            <w:pPr>
              <w:spacing w:after="40" w:before="40"/>
            </w:pPr>
            <w:r/>
            <w:r>
              <w:rPr>
                <w:rFonts w:ascii="Cambria" w:hAnsi="Cambria"/>
                <w:b w:val="0"/>
                <w:i w:val="0"/>
                <w:sz w:val="17"/>
              </w:rPr>
              <w:t>Startups mentored</w:t>
            </w:r>
          </w:p>
        </w:tc>
        <w:tc>
          <w:tcPr>
            <w:tcW w:type="dxa" w:w="4819"/>
            <w:shd w:val="clear" w:color="auto" w:fill="F2F5F8"/>
          </w:tcPr>
          <w:p>
            <w:pPr>
              <w:spacing w:after="40" w:before="40"/>
            </w:pPr>
            <w:r/>
            <w:r>
              <w:rPr>
                <w:rFonts w:ascii="Cambria" w:hAnsi="Cambria"/>
                <w:b w:val="0"/>
                <w:i w:val="0"/>
                <w:sz w:val="17"/>
              </w:rPr>
              <w:t>100+</w:t>
            </w:r>
          </w:p>
        </w:tc>
      </w:tr>
      <w:tr>
        <w:tc>
          <w:tcPr>
            <w:tcW w:type="dxa" w:w="4819"/>
          </w:tcPr>
          <w:p>
            <w:pPr>
              <w:spacing w:after="40" w:before="40"/>
            </w:pPr>
            <w:r/>
            <w:r>
              <w:rPr>
                <w:rFonts w:ascii="Cambria" w:hAnsi="Cambria"/>
                <w:b w:val="0"/>
                <w:i w:val="0"/>
                <w:sz w:val="17"/>
              </w:rPr>
              <w:t>Capital raised supported</w:t>
            </w:r>
          </w:p>
        </w:tc>
        <w:tc>
          <w:tcPr>
            <w:tcW w:type="dxa" w:w="4819"/>
          </w:tcPr>
          <w:p>
            <w:pPr>
              <w:spacing w:after="40" w:before="40"/>
            </w:pPr>
            <w:r/>
            <w:r>
              <w:rPr>
                <w:rFonts w:ascii="Cambria" w:hAnsi="Cambria"/>
                <w:b w:val="0"/>
                <w:i w:val="0"/>
                <w:sz w:val="17"/>
              </w:rPr>
              <w:t>USD 10M+</w:t>
            </w:r>
          </w:p>
        </w:tc>
      </w:tr>
      <w:tr>
        <w:tc>
          <w:tcPr>
            <w:tcW w:type="dxa" w:w="4819"/>
            <w:shd w:val="clear" w:color="auto" w:fill="F2F5F8"/>
          </w:tcPr>
          <w:p>
            <w:pPr>
              <w:spacing w:after="40" w:before="40"/>
            </w:pPr>
            <w:r/>
            <w:r>
              <w:rPr>
                <w:rFonts w:ascii="Cambria" w:hAnsi="Cambria"/>
                <w:b w:val="0"/>
                <w:i w:val="0"/>
                <w:sz w:val="17"/>
              </w:rPr>
              <w:t>Financial models built and reviewed</w:t>
            </w:r>
          </w:p>
        </w:tc>
        <w:tc>
          <w:tcPr>
            <w:tcW w:type="dxa" w:w="4819"/>
            <w:shd w:val="clear" w:color="auto" w:fill="F2F5F8"/>
          </w:tcPr>
          <w:p>
            <w:pPr>
              <w:spacing w:after="40" w:before="40"/>
            </w:pPr>
            <w:r/>
            <w:r>
              <w:rPr>
                <w:rFonts w:ascii="Cambria" w:hAnsi="Cambria"/>
                <w:b w:val="0"/>
                <w:i w:val="0"/>
                <w:sz w:val="17"/>
              </w:rPr>
              <w:t>50+</w:t>
            </w:r>
          </w:p>
        </w:tc>
      </w:tr>
      <w:tr>
        <w:tc>
          <w:tcPr>
            <w:tcW w:type="dxa" w:w="4819"/>
          </w:tcPr>
          <w:p>
            <w:pPr>
              <w:spacing w:after="40" w:before="40"/>
            </w:pPr>
            <w:r/>
            <w:r>
              <w:rPr>
                <w:rFonts w:ascii="Cambria" w:hAnsi="Cambria"/>
                <w:b w:val="0"/>
                <w:i w:val="0"/>
                <w:sz w:val="17"/>
              </w:rPr>
              <w:t>Peak simulated fund DPI</w:t>
            </w:r>
          </w:p>
        </w:tc>
        <w:tc>
          <w:tcPr>
            <w:tcW w:type="dxa" w:w="4819"/>
          </w:tcPr>
          <w:p>
            <w:pPr>
              <w:spacing w:after="40" w:before="40"/>
            </w:pPr>
            <w:r/>
            <w:r>
              <w:rPr>
                <w:rFonts w:ascii="Cambria" w:hAnsi="Cambria"/>
                <w:b w:val="0"/>
                <w:i w:val="0"/>
                <w:sz w:val="17"/>
              </w:rPr>
              <w:t>120x</w:t>
            </w:r>
          </w:p>
        </w:tc>
      </w:tr>
    </w:tbl>
    <w:p>
      <w:pPr>
        <w:spacing w:after="40"/>
      </w:pPr>
    </w:p>
    <w:p>
      <w:pPr>
        <w:keepNext/>
        <w:spacing w:before="240" w:after="80"/>
      </w:pPr>
      <w:r>
        <w:rPr>
          <w:rFonts w:ascii="Calibri" w:hAnsi="Calibri"/>
          <w:b/>
          <w:i w:val="0"/>
          <w:color w:val="1C4A73"/>
          <w:sz w:val="23"/>
        </w:rPr>
        <w:t>Experience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r>
              <w:rPr>
                <w:rFonts w:ascii="Calibri" w:hAnsi="Calibri"/>
                <w:b/>
                <w:i w:val="0"/>
                <w:color w:val="FFFFFF"/>
                <w:sz w:val="17"/>
              </w:rPr>
              <w:t>Period</w:t>
            </w:r>
          </w:p>
        </w:tc>
        <w:tc>
          <w:tcPr>
            <w:tcW w:type="dxa" w:w="3213"/>
            <w:shd w:val="clear" w:color="auto" w:fill="0F2C4A"/>
          </w:tcPr>
          <w:p>
            <w:pPr>
              <w:spacing w:after="40" w:before="40"/>
            </w:pPr>
            <w:r/>
            <w:r>
              <w:rPr>
                <w:rFonts w:ascii="Calibri" w:hAnsi="Calibri"/>
                <w:b/>
                <w:i w:val="0"/>
                <w:color w:val="FFFFFF"/>
                <w:sz w:val="17"/>
              </w:rPr>
              <w:t>Role</w:t>
            </w:r>
          </w:p>
        </w:tc>
        <w:tc>
          <w:tcPr>
            <w:tcW w:type="dxa" w:w="3213"/>
            <w:shd w:val="clear" w:color="auto" w:fill="0F2C4A"/>
          </w:tcPr>
          <w:p>
            <w:pPr>
              <w:spacing w:after="40" w:before="40"/>
            </w:pPr>
            <w:r/>
            <w:r>
              <w:rPr>
                <w:rFonts w:ascii="Calibri" w:hAnsi="Calibri"/>
                <w:b/>
                <w:i w:val="0"/>
                <w:color w:val="FFFFFF"/>
                <w:sz w:val="17"/>
              </w:rPr>
              <w:t>Organisation</w:t>
            </w:r>
          </w:p>
        </w:tc>
      </w:tr>
      <w:tr>
        <w:tc>
          <w:tcPr>
            <w:tcW w:type="dxa" w:w="3213"/>
          </w:tcPr>
          <w:p>
            <w:pPr>
              <w:spacing w:after="40" w:before="40"/>
            </w:pPr>
            <w:r/>
            <w:r>
              <w:rPr>
                <w:rFonts w:ascii="Cambria" w:hAnsi="Cambria"/>
                <w:b w:val="0"/>
                <w:i w:val="0"/>
                <w:sz w:val="17"/>
              </w:rPr>
              <w:t>Jun 2026 — present</w:t>
            </w:r>
          </w:p>
        </w:tc>
        <w:tc>
          <w:tcPr>
            <w:tcW w:type="dxa" w:w="3213"/>
          </w:tcPr>
          <w:p>
            <w:pPr>
              <w:spacing w:after="40" w:before="40"/>
            </w:pPr>
            <w:r/>
            <w:r>
              <w:rPr>
                <w:rFonts w:ascii="Cambria" w:hAnsi="Cambria"/>
                <w:b w:val="0"/>
                <w:i w:val="0"/>
                <w:sz w:val="17"/>
              </w:rPr>
              <w:t>Independent Investment Advisor &amp; Consultant</w:t>
            </w:r>
          </w:p>
        </w:tc>
        <w:tc>
          <w:tcPr>
            <w:tcW w:type="dxa" w:w="3213"/>
          </w:tcPr>
          <w:p>
            <w:pPr>
              <w:spacing w:after="40" w:before="40"/>
            </w:pPr>
            <w:r/>
            <w:r>
              <w:rPr>
                <w:rFonts w:ascii="Cambria" w:hAnsi="Cambria"/>
                <w:b w:val="0"/>
                <w:i w:val="0"/>
                <w:sz w:val="17"/>
              </w:rPr>
              <w:t>Private Practice</w:t>
            </w:r>
          </w:p>
        </w:tc>
      </w:tr>
      <w:tr>
        <w:tc>
          <w:tcPr>
            <w:tcW w:type="dxa" w:w="3213"/>
            <w:shd w:val="clear" w:color="auto" w:fill="F2F5F8"/>
          </w:tcPr>
          <w:p>
            <w:pPr>
              <w:spacing w:after="40" w:before="40"/>
            </w:pPr>
            <w:r/>
            <w:r>
              <w:rPr>
                <w:rFonts w:ascii="Cambria" w:hAnsi="Cambria"/>
                <w:b w:val="0"/>
                <w:i w:val="0"/>
                <w:sz w:val="17"/>
              </w:rPr>
              <w:t>2025 — 2026</w:t>
            </w:r>
          </w:p>
        </w:tc>
        <w:tc>
          <w:tcPr>
            <w:tcW w:type="dxa" w:w="3213"/>
            <w:shd w:val="clear" w:color="auto" w:fill="F2F5F8"/>
          </w:tcPr>
          <w:p>
            <w:pPr>
              <w:spacing w:after="40" w:before="40"/>
            </w:pPr>
            <w:r/>
            <w:r>
              <w:rPr>
                <w:rFonts w:ascii="Cambria" w:hAnsi="Cambria"/>
                <w:b w:val="0"/>
                <w:i w:val="0"/>
                <w:sz w:val="17"/>
              </w:rPr>
              <w:t>Syndicate Lead &amp; Head of Investment</w:t>
            </w:r>
          </w:p>
        </w:tc>
        <w:tc>
          <w:tcPr>
            <w:tcW w:type="dxa" w:w="3213"/>
            <w:shd w:val="clear" w:color="auto" w:fill="F2F5F8"/>
          </w:tcPr>
          <w:p>
            <w:pPr>
              <w:spacing w:after="40" w:before="40"/>
            </w:pPr>
            <w:r/>
            <w:r>
              <w:rPr>
                <w:rFonts w:ascii="Cambria" w:hAnsi="Cambria"/>
                <w:b w:val="0"/>
                <w:i w:val="0"/>
                <w:sz w:val="17"/>
              </w:rPr>
              <w:t>Multiples Ventures</w:t>
            </w:r>
          </w:p>
        </w:tc>
      </w:tr>
      <w:tr>
        <w:tc>
          <w:tcPr>
            <w:tcW w:type="dxa" w:w="3213"/>
          </w:tcPr>
          <w:p>
            <w:pPr>
              <w:spacing w:after="40" w:before="40"/>
            </w:pPr>
            <w:r/>
            <w:r>
              <w:rPr>
                <w:rFonts w:ascii="Cambria" w:hAnsi="Cambria"/>
                <w:b w:val="0"/>
                <w:i w:val="0"/>
                <w:sz w:val="17"/>
              </w:rPr>
              <w:t>2024 — 2025</w:t>
            </w:r>
          </w:p>
        </w:tc>
        <w:tc>
          <w:tcPr>
            <w:tcW w:type="dxa" w:w="3213"/>
          </w:tcPr>
          <w:p>
            <w:pPr>
              <w:spacing w:after="40" w:before="40"/>
            </w:pPr>
            <w:r/>
            <w:r>
              <w:rPr>
                <w:rFonts w:ascii="Cambria" w:hAnsi="Cambria"/>
                <w:b w:val="0"/>
                <w:i w:val="0"/>
                <w:sz w:val="17"/>
              </w:rPr>
              <w:t>Senior Investment Analyst</w:t>
            </w:r>
          </w:p>
        </w:tc>
        <w:tc>
          <w:tcPr>
            <w:tcW w:type="dxa" w:w="3213"/>
          </w:tcPr>
          <w:p>
            <w:pPr>
              <w:spacing w:after="40" w:before="40"/>
            </w:pPr>
            <w:r/>
            <w:r>
              <w:rPr>
                <w:rFonts w:ascii="Cambria" w:hAnsi="Cambria"/>
                <w:b w:val="0"/>
                <w:i w:val="0"/>
                <w:sz w:val="17"/>
              </w:rPr>
              <w:t>Multiples Ventures</w:t>
            </w:r>
          </w:p>
        </w:tc>
      </w:tr>
      <w:tr>
        <w:tc>
          <w:tcPr>
            <w:tcW w:type="dxa" w:w="3213"/>
            <w:shd w:val="clear" w:color="auto" w:fill="F2F5F8"/>
          </w:tcPr>
          <w:p>
            <w:pPr>
              <w:spacing w:after="40" w:before="40"/>
            </w:pPr>
            <w:r/>
            <w:r>
              <w:rPr>
                <w:rFonts w:ascii="Cambria" w:hAnsi="Cambria"/>
                <w:b w:val="0"/>
                <w:i w:val="0"/>
                <w:sz w:val="17"/>
              </w:rPr>
              <w:t>2024 — present</w:t>
            </w:r>
          </w:p>
        </w:tc>
        <w:tc>
          <w:tcPr>
            <w:tcW w:type="dxa" w:w="3213"/>
            <w:shd w:val="clear" w:color="auto" w:fill="F2F5F8"/>
          </w:tcPr>
          <w:p>
            <w:pPr>
              <w:spacing w:after="40" w:before="40"/>
            </w:pPr>
            <w:r/>
            <w:r>
              <w:rPr>
                <w:rFonts w:ascii="Cambria" w:hAnsi="Cambria"/>
                <w:b w:val="0"/>
                <w:i w:val="0"/>
                <w:sz w:val="17"/>
              </w:rPr>
              <w:t>Startup Investment Mentor</w:t>
            </w:r>
          </w:p>
        </w:tc>
        <w:tc>
          <w:tcPr>
            <w:tcW w:type="dxa" w:w="3213"/>
            <w:shd w:val="clear" w:color="auto" w:fill="F2F5F8"/>
          </w:tcPr>
          <w:p>
            <w:pPr>
              <w:spacing w:after="40" w:before="40"/>
            </w:pPr>
            <w:r/>
            <w:r>
              <w:rPr>
                <w:rFonts w:ascii="Cambria" w:hAnsi="Cambria"/>
                <w:b w:val="0"/>
                <w:i w:val="0"/>
                <w:sz w:val="17"/>
              </w:rPr>
              <w:t>Startupbootcamp · VC4A</w:t>
            </w:r>
          </w:p>
        </w:tc>
      </w:tr>
      <w:tr>
        <w:tc>
          <w:tcPr>
            <w:tcW w:type="dxa" w:w="3213"/>
          </w:tcPr>
          <w:p>
            <w:pPr>
              <w:spacing w:after="40" w:before="40"/>
            </w:pPr>
            <w:r/>
            <w:r>
              <w:rPr>
                <w:rFonts w:ascii="Cambria" w:hAnsi="Cambria"/>
                <w:b w:val="0"/>
                <w:i w:val="0"/>
                <w:sz w:val="17"/>
              </w:rPr>
              <w:t>2022 — 2023</w:t>
            </w:r>
          </w:p>
        </w:tc>
        <w:tc>
          <w:tcPr>
            <w:tcW w:type="dxa" w:w="3213"/>
          </w:tcPr>
          <w:p>
            <w:pPr>
              <w:spacing w:after="40" w:before="40"/>
            </w:pPr>
            <w:r/>
            <w:r>
              <w:rPr>
                <w:rFonts w:ascii="Cambria" w:hAnsi="Cambria"/>
                <w:b w:val="0"/>
                <w:i w:val="0"/>
                <w:sz w:val="17"/>
              </w:rPr>
              <w:t>Investment Unit Supervisor</w:t>
            </w:r>
          </w:p>
        </w:tc>
        <w:tc>
          <w:tcPr>
            <w:tcW w:type="dxa" w:w="3213"/>
          </w:tcPr>
          <w:p>
            <w:pPr>
              <w:spacing w:after="40" w:before="40"/>
            </w:pPr>
            <w:r/>
            <w:r>
              <w:rPr>
                <w:rFonts w:ascii="Cambria" w:hAnsi="Cambria"/>
                <w:b w:val="0"/>
                <w:i w:val="0"/>
                <w:sz w:val="17"/>
              </w:rPr>
              <w:t>G. World MENA</w:t>
            </w:r>
          </w:p>
        </w:tc>
      </w:tr>
      <w:tr>
        <w:tc>
          <w:tcPr>
            <w:tcW w:type="dxa" w:w="3213"/>
            <w:shd w:val="clear" w:color="auto" w:fill="F2F5F8"/>
          </w:tcPr>
          <w:p>
            <w:pPr>
              <w:spacing w:after="40" w:before="40"/>
            </w:pPr>
            <w:r/>
            <w:r>
              <w:rPr>
                <w:rFonts w:ascii="Cambria" w:hAnsi="Cambria"/>
                <w:b w:val="0"/>
                <w:i w:val="0"/>
                <w:sz w:val="17"/>
              </w:rPr>
              <w:t>2020 — 2022</w:t>
            </w:r>
          </w:p>
        </w:tc>
        <w:tc>
          <w:tcPr>
            <w:tcW w:type="dxa" w:w="3213"/>
            <w:shd w:val="clear" w:color="auto" w:fill="F2F5F8"/>
          </w:tcPr>
          <w:p>
            <w:pPr>
              <w:spacing w:after="40" w:before="40"/>
            </w:pPr>
            <w:r/>
            <w:r>
              <w:rPr>
                <w:rFonts w:ascii="Cambria" w:hAnsi="Cambria"/>
                <w:b w:val="0"/>
                <w:i w:val="0"/>
                <w:sz w:val="17"/>
              </w:rPr>
              <w:t>Investment Analyst</w:t>
            </w:r>
          </w:p>
        </w:tc>
        <w:tc>
          <w:tcPr>
            <w:tcW w:type="dxa" w:w="3213"/>
            <w:shd w:val="clear" w:color="auto" w:fill="F2F5F8"/>
          </w:tcPr>
          <w:p>
            <w:pPr>
              <w:spacing w:after="40" w:before="40"/>
            </w:pPr>
            <w:r/>
            <w:r>
              <w:rPr>
                <w:rFonts w:ascii="Cambria" w:hAnsi="Cambria"/>
                <w:b w:val="0"/>
                <w:i w:val="0"/>
                <w:sz w:val="17"/>
              </w:rPr>
              <w:t>G. World MENA</w:t>
            </w:r>
          </w:p>
        </w:tc>
      </w:tr>
    </w:tbl>
    <w:p>
      <w:pPr>
        <w:spacing w:after="40"/>
      </w:pPr>
    </w:p>
    <w:p>
      <w:pPr>
        <w:keepNext/>
        <w:spacing w:before="240" w:after="80"/>
      </w:pPr>
      <w:r>
        <w:rPr>
          <w:rFonts w:ascii="Calibri" w:hAnsi="Calibri"/>
          <w:b/>
          <w:i w:val="0"/>
          <w:color w:val="1C4A73"/>
          <w:sz w:val="23"/>
        </w:rPr>
        <w:t>Recognition</w:t>
      </w:r>
    </w:p>
    <w:p>
      <w:pPr>
        <w:pStyle w:val="ListBullet"/>
        <w:spacing w:after="60"/>
        <w:ind w:left="397"/>
      </w:pPr>
      <w:r>
        <w:rPr>
          <w:rFonts w:ascii="Cambria" w:hAnsi="Cambria"/>
          <w:b/>
          <w:i w:val="0"/>
        </w:rPr>
        <w:t>Top 4% — VC Lab, Cohort 17.</w:t>
      </w:r>
      <w:r>
        <w:rPr>
          <w:rFonts w:ascii="Cambria" w:hAnsi="Cambria"/>
          <w:b w:val="0"/>
          <w:i w:val="0"/>
        </w:rPr>
        <w:t xml:space="preserve"> Among the top 4% of emerging fund managers globally; validated a USD 3M pre-seed SaaS fund thesis.</w:t>
      </w:r>
    </w:p>
    <w:p>
      <w:pPr>
        <w:pStyle w:val="ListBullet"/>
        <w:spacing w:after="60"/>
        <w:ind w:left="397"/>
      </w:pPr>
      <w:r>
        <w:rPr>
          <w:rFonts w:ascii="Cambria" w:hAnsi="Cambria"/>
          <w:b/>
          <w:i w:val="0"/>
        </w:rPr>
        <w:t>Winner — Fintech Saudi 2024 Content Challenge</w:t>
      </w:r>
      <w:r>
        <w:rPr>
          <w:rFonts w:ascii="Cambria" w:hAnsi="Cambria"/>
          <w:b w:val="0"/>
          <w:i w:val="0"/>
        </w:rPr>
        <w:t>, for "Reimagining the Financial Services Value Chain".</w:t>
      </w:r>
    </w:p>
    <w:p>
      <w:pPr>
        <w:pStyle w:val="ListBullet"/>
        <w:spacing w:after="60"/>
        <w:ind w:left="397"/>
      </w:pPr>
      <w:r>
        <w:rPr>
          <w:rFonts w:ascii="Cambria" w:hAnsi="Cambria"/>
          <w:b/>
          <w:i w:val="0"/>
        </w:rPr>
        <w:t>Top 10 LinkedIn VC Creators, MENA</w:t>
      </w:r>
      <w:r>
        <w:rPr>
          <w:rFonts w:ascii="Cambria" w:hAnsi="Cambria"/>
          <w:b w:val="0"/>
          <w:i w:val="0"/>
        </w:rPr>
        <w:t>, for thought leadership and founder education.</w:t>
      </w:r>
    </w:p>
    <w:p>
      <w:pPr>
        <w:pStyle w:val="ListBullet"/>
        <w:spacing w:after="60"/>
        <w:ind w:left="397"/>
      </w:pPr>
      <w:r>
        <w:rPr>
          <w:rFonts w:ascii="Cambria" w:hAnsi="Cambria"/>
          <w:b/>
          <w:i w:val="0"/>
        </w:rPr>
        <w:t>+120x</w:t>
      </w:r>
      <w:r>
        <w:rPr>
          <w:rFonts w:ascii="Cambria" w:hAnsi="Cambria"/>
          <w:b w:val="0"/>
          <w:i w:val="0"/>
        </w:rPr>
        <w:t xml:space="preserve"> simulated growth-stage DPI and +6x early-stage DPI, VC Fund Manager Masterclass.</w:t>
      </w:r>
    </w:p>
    <w:p>
      <w:pPr>
        <w:keepNext/>
        <w:spacing w:before="240" w:after="80"/>
      </w:pPr>
      <w:r>
        <w:rPr>
          <w:rFonts w:ascii="Calibri" w:hAnsi="Calibri"/>
          <w:b/>
          <w:i w:val="0"/>
          <w:color w:val="1C4A73"/>
          <w:sz w:val="23"/>
        </w:rPr>
        <w:t>Credentials</w:t>
      </w:r>
    </w:p>
    <w:p>
      <w:pPr>
        <w:spacing w:after="120"/>
      </w:pPr>
      <w:r>
        <w:rPr>
          <w:rFonts w:ascii="Cambria" w:hAnsi="Cambria"/>
          <w:b w:val="0"/>
          <w:i w:val="0"/>
        </w:rPr>
        <w:t>CFA Level I (CFA Institute) · VC &amp; Private Equity (Bocconi) · Advanced Valuation (Erasmus Rotterdam) · Investment Banking virtual experience (J.P. Morgan) · Alternative Investing (Apollo Academy) · Data Analysis (Dubai Future Foundation).</w:t>
      </w:r>
    </w:p>
    <w:p>
      <w:pPr>
        <w:keepNext/>
        <w:spacing w:before="240" w:after="80"/>
      </w:pPr>
      <w:r>
        <w:rPr>
          <w:rFonts w:ascii="Calibri" w:hAnsi="Calibri"/>
          <w:b/>
          <w:i w:val="0"/>
          <w:color w:val="1C4A73"/>
          <w:sz w:val="23"/>
        </w:rPr>
        <w:t>Sectors covered</w:t>
      </w:r>
    </w:p>
    <w:p>
      <w:pPr>
        <w:spacing w:after="120"/>
      </w:pPr>
      <w:r>
        <w:rPr>
          <w:rFonts w:ascii="Cambria" w:hAnsi="Cambria"/>
          <w:b w:val="0"/>
          <w:i w:val="0"/>
        </w:rPr>
        <w:t>SaaS · Fintech · E-commerce · Real Estate · Ed-tech · Logistics · Climate Tech · Retail.</w:t>
      </w:r>
    </w:p>
    <w:p>
      <w:pPr>
        <w:keepNext/>
        <w:spacing w:before="240" w:after="80"/>
      </w:pPr>
      <w:r>
        <w:rPr>
          <w:rFonts w:ascii="Calibri" w:hAnsi="Calibri"/>
          <w:b/>
          <w:i w:val="0"/>
          <w:color w:val="1C4A73"/>
          <w:sz w:val="23"/>
        </w:rPr>
        <w:t>Speaking and media</w:t>
      </w:r>
    </w:p>
    <w:p>
      <w:pPr>
        <w:spacing w:after="120"/>
      </w:pPr>
      <w:r>
        <w:rPr>
          <w:rFonts w:ascii="Cambria" w:hAnsi="Cambria"/>
          <w:b w:val="0"/>
          <w:i w:val="0"/>
        </w:rPr>
        <w:t xml:space="preserve">Startupbootcamp · VC4A · Startup Without Borders · TINTS Business Lobby · Asharq News (Sharq Bounce) · Alhadath Alyoum TV (Financial Market) · </w:t>
      </w:r>
      <w:r>
        <w:rPr>
          <w:rFonts w:ascii="Cambria" w:hAnsi="Cambria"/>
          <w:b w:val="0"/>
          <w:i/>
        </w:rPr>
        <w:t>Investment World</w:t>
      </w:r>
      <w:r>
        <w:rPr>
          <w:rFonts w:ascii="Cambria" w:hAnsi="Cambria"/>
          <w:b w:val="0"/>
          <w:i w:val="0"/>
        </w:rPr>
        <w:t xml:space="preserve"> LinkedIn newsletter · YouTube founder-education channel.</w:t>
      </w:r>
    </w:p>
    <w:p>
      <w:pPr>
        <w:spacing w:before="120" w:after="120"/>
        <w:pBdr>
          <w:bottom w:val="single" w:sz="6" w:space="1" w:color="C2CCD6"/>
        </w:pBdr>
      </w:pPr>
    </w:p>
    <w:p>
      <w:pPr>
        <w:keepNext/>
        <w:spacing w:before="320" w:after="100"/>
      </w:pPr>
      <w:r>
        <w:rPr>
          <w:rFonts w:ascii="Calibri" w:hAnsi="Calibri"/>
          <w:b/>
          <w:i w:val="0"/>
          <w:color w:val="0F2C4A"/>
          <w:sz w:val="27"/>
        </w:rPr>
        <w:t>3. Understanding of Btakka</w:t>
      </w:r>
    </w:p>
    <w:p>
      <w:pPr>
        <w:spacing w:after="120"/>
      </w:pPr>
      <w:r>
        <w:rPr>
          <w:rFonts w:ascii="Cambria" w:hAnsi="Cambria"/>
          <w:b w:val="0"/>
          <w:i w:val="0"/>
        </w:rPr>
        <w:t>The Consultant's present understanding is based on the two publicly listed applications and the materials shared to date. It will be confirmed, corrected and completed in the Discovery &amp; Story Workshop (W1), which is scheduled as the first substantive session of the engagement precisely so that no downstream deliverable is built on an assumption.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What is established</w:t>
            </w:r>
          </w:p>
        </w:tc>
        <w:tc>
          <w:tcPr>
            <w:tcW w:type="dxa" w:w="4819"/>
            <w:shd w:val="clear" w:color="auto" w:fill="0F2C4A"/>
          </w:tcPr>
          <w:p>
            <w:pPr>
              <w:spacing w:after="40" w:before="40"/>
            </w:pPr>
            <w:r/>
            <w:r>
              <w:rPr>
                <w:rFonts w:ascii="Calibri" w:hAnsi="Calibri"/>
                <w:b/>
                <w:i w:val="0"/>
                <w:color w:val="FFFFFF"/>
                <w:sz w:val="17"/>
              </w:rPr>
              <w:t>What will be established in W1</w:t>
            </w:r>
          </w:p>
        </w:tc>
      </w:tr>
      <w:tr>
        <w:tc>
          <w:tcPr>
            <w:tcW w:type="dxa" w:w="4819"/>
          </w:tcPr>
          <w:p>
            <w:pPr>
              <w:spacing w:after="40" w:before="40"/>
            </w:pPr>
            <w:r/>
            <w:r>
              <w:rPr>
                <w:rFonts w:ascii="Cambria" w:hAnsi="Cambria"/>
                <w:b w:val="0"/>
                <w:i w:val="0"/>
                <w:sz w:val="17"/>
              </w:rPr>
              <w:t>Two live iOS products published on the Egyptian App Store</w:t>
            </w:r>
          </w:p>
        </w:tc>
        <w:tc>
          <w:tcPr>
            <w:tcW w:type="dxa" w:w="4819"/>
          </w:tcPr>
          <w:p>
            <w:pPr>
              <w:spacing w:after="40" w:before="40"/>
            </w:pPr>
            <w:r/>
            <w:r>
              <w:rPr>
                <w:rFonts w:ascii="Cambria" w:hAnsi="Cambria"/>
                <w:b w:val="0"/>
                <w:i w:val="0"/>
                <w:sz w:val="17"/>
              </w:rPr>
              <w:t>Current traction: downloads, activations, active users, retention</w:t>
            </w:r>
          </w:p>
        </w:tc>
      </w:tr>
      <w:tr>
        <w:tc>
          <w:tcPr>
            <w:tcW w:type="dxa" w:w="4819"/>
            <w:shd w:val="clear" w:color="auto" w:fill="F2F5F8"/>
          </w:tcPr>
          <w:p>
            <w:pPr>
              <w:spacing w:after="40" w:before="40"/>
            </w:pPr>
            <w:r/>
            <w:r>
              <w:rPr>
                <w:rFonts w:ascii="Cambria" w:hAnsi="Cambria"/>
                <w:b w:val="0"/>
                <w:i w:val="0"/>
                <w:sz w:val="17"/>
              </w:rPr>
              <w:t>A B2B/business-facing product (Btakka Business)</w:t>
            </w:r>
          </w:p>
        </w:tc>
        <w:tc>
          <w:tcPr>
            <w:tcW w:type="dxa" w:w="4819"/>
            <w:shd w:val="clear" w:color="auto" w:fill="F2F5F8"/>
          </w:tcPr>
          <w:p>
            <w:pPr>
              <w:spacing w:after="40" w:before="40"/>
            </w:pPr>
            <w:r/>
            <w:r>
              <w:rPr>
                <w:rFonts w:ascii="Cambria" w:hAnsi="Cambria"/>
                <w:b w:val="0"/>
                <w:i w:val="0"/>
                <w:sz w:val="17"/>
              </w:rPr>
              <w:t>Revenue model in force today and monetisation actually collected</w:t>
            </w:r>
          </w:p>
        </w:tc>
      </w:tr>
      <w:tr>
        <w:tc>
          <w:tcPr>
            <w:tcW w:type="dxa" w:w="4819"/>
          </w:tcPr>
          <w:p>
            <w:pPr>
              <w:spacing w:after="40" w:before="40"/>
            </w:pPr>
            <w:r/>
            <w:r>
              <w:rPr>
                <w:rFonts w:ascii="Cambria" w:hAnsi="Cambria"/>
                <w:b w:val="0"/>
                <w:i w:val="0"/>
                <w:sz w:val="17"/>
              </w:rPr>
              <w:t>A vertical product for finishing and décor</w:t>
            </w:r>
          </w:p>
        </w:tc>
        <w:tc>
          <w:tcPr>
            <w:tcW w:type="dxa" w:w="4819"/>
          </w:tcPr>
          <w:p>
            <w:pPr>
              <w:spacing w:after="40" w:before="40"/>
            </w:pPr>
            <w:r/>
            <w:r>
              <w:rPr>
                <w:rFonts w:ascii="Cambria" w:hAnsi="Cambria"/>
                <w:b w:val="0"/>
                <w:i w:val="0"/>
                <w:sz w:val="17"/>
              </w:rPr>
              <w:t>Unit economics: CAC, payback, contribution margin, LTV</w:t>
            </w:r>
          </w:p>
        </w:tc>
      </w:tr>
      <w:tr>
        <w:tc>
          <w:tcPr>
            <w:tcW w:type="dxa" w:w="4819"/>
            <w:shd w:val="clear" w:color="auto" w:fill="F2F5F8"/>
          </w:tcPr>
          <w:p>
            <w:pPr>
              <w:spacing w:after="40" w:before="40"/>
            </w:pPr>
            <w:r/>
            <w:r>
              <w:rPr>
                <w:rFonts w:ascii="Cambria" w:hAnsi="Cambria"/>
                <w:b w:val="0"/>
                <w:i w:val="0"/>
                <w:sz w:val="17"/>
              </w:rPr>
              <w:t>The company is at pre-seed stage and raising</w:t>
            </w:r>
          </w:p>
        </w:tc>
        <w:tc>
          <w:tcPr>
            <w:tcW w:type="dxa" w:w="4819"/>
            <w:shd w:val="clear" w:color="auto" w:fill="F2F5F8"/>
          </w:tcPr>
          <w:p>
            <w:pPr>
              <w:spacing w:after="40" w:before="40"/>
            </w:pPr>
            <w:r/>
            <w:r>
              <w:rPr>
                <w:rFonts w:ascii="Cambria" w:hAnsi="Cambria"/>
                <w:b w:val="0"/>
                <w:i w:val="0"/>
                <w:sz w:val="17"/>
              </w:rPr>
              <w:t>Target round size, instrument, valuation expectation and use of funds</w:t>
            </w:r>
          </w:p>
        </w:tc>
      </w:tr>
      <w:tr>
        <w:tc>
          <w:tcPr>
            <w:tcW w:type="dxa" w:w="4819"/>
          </w:tcPr>
          <w:p>
            <w:pPr>
              <w:spacing w:after="40" w:before="40"/>
            </w:pPr>
            <w:r/>
            <w:r>
              <w:rPr>
                <w:rFonts w:ascii="Cambria" w:hAnsi="Cambria"/>
                <w:b w:val="0"/>
                <w:i w:val="0"/>
                <w:sz w:val="17"/>
              </w:rPr>
              <w:t>A founding team is in place</w:t>
            </w:r>
          </w:p>
        </w:tc>
        <w:tc>
          <w:tcPr>
            <w:tcW w:type="dxa" w:w="4819"/>
          </w:tcPr>
          <w:p>
            <w:pPr>
              <w:spacing w:after="40" w:before="40"/>
            </w:pPr>
            <w:r/>
            <w:r>
              <w:rPr>
                <w:rFonts w:ascii="Cambria" w:hAnsi="Cambria"/>
                <w:b w:val="0"/>
                <w:i w:val="0"/>
                <w:sz w:val="17"/>
              </w:rPr>
              <w:t>Cap table, prior funding, founder vesting, current runway and burn</w:t>
            </w:r>
          </w:p>
        </w:tc>
      </w:tr>
      <w:tr>
        <w:tc>
          <w:tcPr>
            <w:tcW w:type="dxa" w:w="4819"/>
            <w:shd w:val="clear" w:color="auto" w:fill="F2F5F8"/>
          </w:tcPr>
          <w:p>
            <w:pPr>
              <w:spacing w:after="40" w:before="40"/>
            </w:pPr>
            <w:r/>
            <w:r>
              <w:rPr>
                <w:rFonts w:ascii="Cambria" w:hAnsi="Cambria"/>
                <w:b w:val="0"/>
                <w:i w:val="0"/>
                <w:sz w:val="17"/>
              </w:rPr>
              <w:t>A product roadmap exists</w:t>
            </w:r>
          </w:p>
        </w:tc>
        <w:tc>
          <w:tcPr>
            <w:tcW w:type="dxa" w:w="4819"/>
            <w:shd w:val="clear" w:color="auto" w:fill="F2F5F8"/>
          </w:tcPr>
          <w:p>
            <w:pPr>
              <w:spacing w:after="40" w:before="40"/>
            </w:pPr>
            <w:r/>
            <w:r>
              <w:rPr>
                <w:rFonts w:ascii="Cambria" w:hAnsi="Cambria"/>
                <w:b w:val="0"/>
                <w:i w:val="0"/>
                <w:sz w:val="17"/>
              </w:rPr>
              <w:t>Competitive set, defensibility and the wedge into the market</w:t>
            </w:r>
          </w:p>
        </w:tc>
      </w:tr>
    </w:tbl>
    <w:p>
      <w:pPr>
        <w:spacing w:after="40"/>
      </w:pPr>
    </w:p>
    <w:p>
      <w:pPr>
        <w:spacing w:after="120"/>
      </w:pPr>
      <w:r>
        <w:rPr>
          <w:rFonts w:ascii="Cambria" w:hAnsi="Cambria"/>
          <w:b/>
          <w:i w:val="0"/>
        </w:rPr>
        <w:t>Why this matters.</w:t>
      </w:r>
      <w:r>
        <w:rPr>
          <w:rFonts w:ascii="Cambria" w:hAnsi="Cambria"/>
          <w:b w:val="0"/>
          <w:i w:val="0"/>
        </w:rPr>
        <w:t xml:space="preserve"> A pre-seed investor in Egypt is underwriting three things: that the market is large enough, that this team can execute, and that the money buys a specific, measurable step-change. The data room is the instrument that proves all three. Everything in Phase 1 is built to answer those three questions and nothing else.</w:t>
      </w:r>
    </w:p>
    <w:p>
      <w:pPr>
        <w:spacing w:before="120" w:after="120"/>
        <w:pBdr>
          <w:bottom w:val="single" w:sz="6" w:space="1" w:color="C2CCD6"/>
        </w:pBdr>
      </w:pPr>
    </w:p>
    <w:p>
      <w:pPr>
        <w:keepNext/>
        <w:spacing w:before="320" w:after="100"/>
      </w:pPr>
      <w:r>
        <w:rPr>
          <w:rFonts w:ascii="Calibri" w:hAnsi="Calibri"/>
          <w:b/>
          <w:i w:val="0"/>
          <w:color w:val="0F2C4A"/>
          <w:sz w:val="27"/>
        </w:rPr>
        <w:t>4. Engagement Objective</w:t>
      </w:r>
    </w:p>
    <w:p>
      <w:pPr>
        <w:spacing w:after="120"/>
      </w:pPr>
      <w:r>
        <w:rPr>
          <w:rFonts w:ascii="Cambria" w:hAnsi="Cambria"/>
          <w:b w:val="0"/>
          <w:i w:val="0"/>
        </w:rPr>
        <w:t xml:space="preserve">To take Btakka from its current position to a </w:t>
      </w:r>
      <w:r>
        <w:rPr>
          <w:rFonts w:ascii="Cambria" w:hAnsi="Cambria"/>
          <w:b/>
          <w:i w:val="0"/>
        </w:rPr>
        <w:t>funded pre-seed round</w:t>
      </w:r>
      <w:r>
        <w:rPr>
          <w:rFonts w:ascii="Cambria" w:hAnsi="Cambria"/>
          <w:b w:val="0"/>
          <w:i w:val="0"/>
        </w:rPr>
        <w:t>, by:</w:t>
      </w:r>
    </w:p>
    <w:p>
      <w:pPr>
        <w:pStyle w:val="ListNumber"/>
        <w:spacing w:after="60"/>
        <w:ind w:left="397"/>
      </w:pPr>
      <w:r>
        <w:rPr>
          <w:rFonts w:ascii="Cambria" w:hAnsi="Cambria"/>
          <w:b w:val="0"/>
          <w:i w:val="0"/>
        </w:rPr>
        <w:t>Producing an investor-grade data room covering all 36 items of the Pre-Seed Round Data Room Checklist.</w:t>
      </w:r>
    </w:p>
    <w:p>
      <w:pPr>
        <w:pStyle w:val="ListNumber"/>
        <w:spacing w:after="60"/>
        <w:ind w:left="397"/>
      </w:pPr>
      <w:r>
        <w:rPr>
          <w:rFonts w:ascii="Cambria" w:hAnsi="Cambria"/>
          <w:b w:val="0"/>
          <w:i w:val="0"/>
        </w:rPr>
        <w:t>Producing a defensible financial model, financial expectations and valuation that withstand investor scrutiny.</w:t>
      </w:r>
    </w:p>
    <w:p>
      <w:pPr>
        <w:pStyle w:val="ListNumber"/>
        <w:spacing w:after="60"/>
        <w:ind w:left="397"/>
      </w:pPr>
      <w:r>
        <w:rPr>
          <w:rFonts w:ascii="Cambria" w:hAnsi="Cambria"/>
          <w:b w:val="0"/>
          <w:i w:val="0"/>
        </w:rPr>
        <w:t>Producing the complete investor document set — pitch deck, teaser, business plan, term sheet template and valuation.</w:t>
      </w:r>
    </w:p>
    <w:p>
      <w:pPr>
        <w:pStyle w:val="ListNumber"/>
        <w:spacing w:after="60"/>
        <w:ind w:left="397"/>
      </w:pPr>
      <w:r>
        <w:rPr>
          <w:rFonts w:ascii="Cambria" w:hAnsi="Cambria"/>
          <w:b w:val="0"/>
          <w:i w:val="0"/>
        </w:rPr>
        <w:t>Equipping the founding team, through workshops, to own and defend every number and every claim.</w:t>
      </w:r>
    </w:p>
    <w:p>
      <w:pPr>
        <w:pStyle w:val="ListNumber"/>
        <w:spacing w:after="60"/>
        <w:ind w:left="397"/>
      </w:pPr>
      <w:r>
        <w:rPr>
          <w:rFonts w:ascii="Cambria" w:hAnsi="Cambria"/>
          <w:b w:val="0"/>
          <w:i w:val="0"/>
        </w:rPr>
        <w:t>Running a structured, time-boxed fundraising process from strategy through outreach to signed close.</w:t>
      </w:r>
    </w:p>
    <w:p>
      <w:pPr>
        <w:spacing w:after="120"/>
      </w:pPr>
      <w:r>
        <w:rPr>
          <w:rFonts w:ascii="Cambria" w:hAnsi="Cambria"/>
          <w:b/>
          <w:i w:val="0"/>
        </w:rPr>
        <w:t>What "success" means in this document.</w:t>
      </w:r>
      <w:r>
        <w:rPr>
          <w:rFonts w:ascii="Cambria" w:hAnsi="Cambria"/>
          <w:b w:val="0"/>
          <w:i w:val="0"/>
        </w:rPr>
        <w:t xml:space="preserve"> Phase 1 succeeds when the data room passes a diligence readiness review and is signed off (Schedule A). Phase 2 succeeds when investment funds are received in cleared funds in Btakka's account. The Consultant does not, and cannot, guarantee that a round will be funded — see Clause 12.</w:t>
      </w:r>
    </w:p>
    <w:p>
      <w:pPr>
        <w:spacing w:before="120" w:after="120"/>
        <w:pBdr>
          <w:bottom w:val="single" w:sz="6" w:space="1" w:color="C2CCD6"/>
        </w:pBdr>
      </w:pPr>
    </w:p>
    <w:p>
      <w:pPr>
        <w:keepNext/>
        <w:spacing w:before="320" w:after="100"/>
      </w:pPr>
      <w:r>
        <w:rPr>
          <w:rFonts w:ascii="Calibri" w:hAnsi="Calibri"/>
          <w:b/>
          <w:i w:val="0"/>
          <w:color w:val="0F2C4A"/>
          <w:sz w:val="27"/>
        </w:rPr>
        <w:t>5. Scope of Work</w:t>
      </w:r>
    </w:p>
    <w:p>
      <w:pPr>
        <w:keepNext/>
        <w:spacing w:before="240" w:after="80"/>
      </w:pPr>
      <w:r>
        <w:rPr>
          <w:rFonts w:ascii="Calibri" w:hAnsi="Calibri"/>
          <w:b/>
          <w:i w:val="0"/>
          <w:color w:val="1C4A73"/>
          <w:sz w:val="23"/>
        </w:rPr>
        <w:t xml:space="preserve">Phase 1 — Investment Readiness </w:t>
      </w:r>
      <w:r>
        <w:rPr>
          <w:rFonts w:ascii="Calibri" w:hAnsi="Calibri"/>
          <w:b/>
          <w:i/>
          <w:color w:val="1C4A73"/>
          <w:sz w:val="23"/>
        </w:rPr>
        <w:t>(Weeks 1–4)</w:t>
      </w:r>
    </w:p>
    <w:p>
      <w:pPr>
        <w:keepNext/>
        <w:spacing w:before="200" w:after="60"/>
      </w:pPr>
      <w:r>
        <w:rPr>
          <w:rFonts w:ascii="Calibri" w:hAnsi="Calibri"/>
          <w:b/>
          <w:i w:val="0"/>
          <w:color w:val="1C4A73"/>
          <w:sz w:val="21"/>
        </w:rPr>
        <w:t>Workstream A — Story, Positioning &amp; Market</w:t>
      </w:r>
    </w:p>
    <w:p>
      <w:pPr>
        <w:pStyle w:val="ListBullet"/>
        <w:spacing w:after="60"/>
        <w:ind w:left="397"/>
      </w:pPr>
      <w:r>
        <w:rPr>
          <w:rFonts w:ascii="Cambria" w:hAnsi="Cambria"/>
          <w:b w:val="0"/>
          <w:i w:val="0"/>
        </w:rPr>
        <w:t>Investment thesis and narrative spine for Btakka</w:t>
      </w:r>
    </w:p>
    <w:p>
      <w:pPr>
        <w:pStyle w:val="ListBullet"/>
        <w:spacing w:after="60"/>
        <w:ind w:left="397"/>
      </w:pPr>
      <w:r>
        <w:rPr>
          <w:rFonts w:ascii="Cambria" w:hAnsi="Cambria"/>
          <w:b w:val="0"/>
          <w:i w:val="0"/>
        </w:rPr>
        <w:t>Problem/solution framing calibrated to pre-seed investor expectations</w:t>
      </w:r>
    </w:p>
    <w:p>
      <w:pPr>
        <w:pStyle w:val="ListBullet"/>
        <w:spacing w:after="60"/>
        <w:ind w:left="397"/>
      </w:pPr>
      <w:r>
        <w:rPr>
          <w:rFonts w:ascii="Cambria" w:hAnsi="Cambria"/>
          <w:b w:val="0"/>
          <w:i w:val="0"/>
        </w:rPr>
        <w:t>Market sizing: TAM, SAM and SOM with sourced, defensible methodology</w:t>
      </w:r>
    </w:p>
    <w:p>
      <w:pPr>
        <w:pStyle w:val="ListBullet"/>
        <w:spacing w:after="60"/>
        <w:ind w:left="397"/>
      </w:pPr>
      <w:r>
        <w:rPr>
          <w:rFonts w:ascii="Cambria" w:hAnsi="Cambria"/>
          <w:b w:val="0"/>
          <w:i w:val="0"/>
        </w:rPr>
        <w:t>Competitive analysis and differentiation map</w:t>
      </w:r>
    </w:p>
    <w:p>
      <w:pPr>
        <w:pStyle w:val="ListBullet"/>
        <w:spacing w:after="60"/>
        <w:ind w:left="397"/>
      </w:pPr>
      <w:r>
        <w:rPr>
          <w:rFonts w:ascii="Cambria" w:hAnsi="Cambria"/>
          <w:b w:val="0"/>
          <w:i w:val="0"/>
        </w:rPr>
        <w:t>Go-to-market strategy and customer acquisition plan</w:t>
      </w:r>
    </w:p>
    <w:p>
      <w:pPr>
        <w:pStyle w:val="ListBullet"/>
        <w:spacing w:after="60"/>
        <w:ind w:left="397"/>
      </w:pPr>
      <w:r>
        <w:rPr>
          <w:rFonts w:ascii="Cambria" w:hAnsi="Cambria"/>
          <w:b w:val="0"/>
          <w:i w:val="0"/>
        </w:rPr>
        <w:t>Customer development evidence pack and traction narrative</w:t>
      </w:r>
    </w:p>
    <w:p>
      <w:pPr>
        <w:keepNext/>
        <w:spacing w:before="200" w:after="60"/>
      </w:pPr>
      <w:r>
        <w:rPr>
          <w:rFonts w:ascii="Calibri" w:hAnsi="Calibri"/>
          <w:b/>
          <w:i w:val="0"/>
          <w:color w:val="1C4A73"/>
          <w:sz w:val="21"/>
        </w:rPr>
        <w:t>Workstream B — Financial Model, Expectations &amp; Valuation</w:t>
      </w:r>
    </w:p>
    <w:p>
      <w:pPr>
        <w:pStyle w:val="ListBullet"/>
        <w:spacing w:after="60"/>
        <w:ind w:left="397"/>
      </w:pPr>
      <w:r>
        <w:rPr>
          <w:rFonts w:ascii="Cambria" w:hAnsi="Cambria"/>
          <w:b w:val="0"/>
          <w:i w:val="0"/>
        </w:rPr>
        <w:t>Full driver-based financial model, 3–5 year horizon, monthly for year 1–2</w:t>
      </w:r>
    </w:p>
    <w:p>
      <w:pPr>
        <w:pStyle w:val="ListBullet"/>
        <w:spacing w:after="60"/>
        <w:ind w:left="397"/>
      </w:pPr>
      <w:r>
        <w:rPr>
          <w:rFonts w:ascii="Cambria" w:hAnsi="Cambria"/>
          <w:b w:val="0"/>
          <w:i w:val="0"/>
        </w:rPr>
        <w:t>Revenue model across both product lines, built on real unit economics</w:t>
      </w:r>
    </w:p>
    <w:p>
      <w:pPr>
        <w:pStyle w:val="ListBullet"/>
        <w:spacing w:after="60"/>
        <w:ind w:left="397"/>
      </w:pPr>
      <w:r>
        <w:rPr>
          <w:rFonts w:ascii="Cambria" w:hAnsi="Cambria"/>
          <w:b w:val="0"/>
          <w:i w:val="0"/>
        </w:rPr>
        <w:t>Cost structure: COGS, operating expenses, and headcount costs derived from Btakka's HR plan</w:t>
      </w:r>
    </w:p>
    <w:p>
      <w:pPr>
        <w:pStyle w:val="ListBullet"/>
        <w:spacing w:after="60"/>
        <w:ind w:left="397"/>
      </w:pPr>
      <w:r>
        <w:rPr>
          <w:rFonts w:ascii="Cambria" w:hAnsi="Cambria"/>
          <w:b w:val="0"/>
          <w:i w:val="0"/>
        </w:rPr>
        <w:t>Cash flow, burn rate, runway and current cash position statement</w:t>
      </w:r>
    </w:p>
    <w:p>
      <w:pPr>
        <w:pStyle w:val="ListBullet"/>
        <w:spacing w:after="60"/>
        <w:ind w:left="397"/>
      </w:pPr>
      <w:r>
        <w:rPr>
          <w:rFonts w:ascii="Cambria" w:hAnsi="Cambria"/>
          <w:b w:val="0"/>
          <w:i w:val="0"/>
        </w:rPr>
        <w:t>Base / conservative / upside scenarios with sensitivity analysis</w:t>
      </w:r>
    </w:p>
    <w:p>
      <w:pPr>
        <w:pStyle w:val="ListBullet"/>
        <w:spacing w:after="60"/>
        <w:ind w:left="397"/>
      </w:pPr>
      <w:r>
        <w:rPr>
          <w:rFonts w:ascii="Cambria" w:hAnsi="Cambria"/>
          <w:b/>
          <w:i w:val="0"/>
        </w:rPr>
        <w:t>Financial expectations pack</w:t>
      </w:r>
      <w:r>
        <w:rPr>
          <w:rFonts w:ascii="Cambria" w:hAnsi="Cambria"/>
          <w:b w:val="0"/>
          <w:i w:val="0"/>
        </w:rPr>
        <w:t xml:space="preserve"> — the forward projections investors will underwrite</w:t>
      </w:r>
    </w:p>
    <w:p>
      <w:pPr>
        <w:pStyle w:val="ListBullet"/>
        <w:spacing w:after="60"/>
        <w:ind w:left="397"/>
      </w:pPr>
      <w:r>
        <w:rPr>
          <w:rFonts w:ascii="Cambria" w:hAnsi="Cambria"/>
          <w:b w:val="0"/>
          <w:i w:val="0"/>
        </w:rPr>
        <w:t>Use of Funds statement covering a 12–18 month runway with milestone mapping</w:t>
      </w:r>
    </w:p>
    <w:p>
      <w:pPr>
        <w:pStyle w:val="ListBullet"/>
        <w:spacing w:after="60"/>
        <w:ind w:left="397"/>
      </w:pPr>
      <w:r>
        <w:rPr>
          <w:rFonts w:ascii="Cambria" w:hAnsi="Cambria"/>
          <w:b w:val="0"/>
          <w:i w:val="0"/>
        </w:rPr>
        <w:t>Pre-seed valuation with method, comparables and a defensible range</w:t>
      </w:r>
    </w:p>
    <w:p>
      <w:pPr>
        <w:pStyle w:val="ListBullet"/>
        <w:spacing w:after="60"/>
        <w:ind w:left="397"/>
      </w:pPr>
      <w:r>
        <w:rPr>
          <w:rFonts w:ascii="Cambria" w:hAnsi="Cambria"/>
          <w:b w:val="0"/>
          <w:i w:val="0"/>
        </w:rPr>
        <w:t>Current and post-money cap table, including dilution scenarios</w:t>
      </w:r>
    </w:p>
    <w:p>
      <w:pPr>
        <w:pStyle w:val="ListBullet"/>
        <w:spacing w:after="60"/>
        <w:ind w:left="397"/>
      </w:pPr>
      <w:r>
        <w:rPr>
          <w:rFonts w:ascii="Cambria" w:hAnsi="Cambria"/>
          <w:b w:val="0"/>
          <w:i w:val="0"/>
        </w:rPr>
        <w:t>Key metrics dashboard and operational KPI set</w:t>
      </w:r>
    </w:p>
    <w:p>
      <w:pPr>
        <w:keepNext/>
        <w:spacing w:before="200" w:after="60"/>
      </w:pPr>
      <w:r>
        <w:rPr>
          <w:rFonts w:ascii="Calibri" w:hAnsi="Calibri"/>
          <w:b/>
          <w:i w:val="0"/>
          <w:color w:val="1C4A73"/>
          <w:sz w:val="21"/>
        </w:rPr>
        <w:t>Workstream C — Data Room Construction</w:t>
      </w:r>
    </w:p>
    <w:p>
      <w:pPr>
        <w:pStyle w:val="ListBullet"/>
        <w:spacing w:after="60"/>
        <w:ind w:left="397"/>
      </w:pPr>
      <w:r>
        <w:rPr>
          <w:rFonts w:ascii="Cambria" w:hAnsi="Cambria"/>
          <w:b w:val="0"/>
          <w:i w:val="0"/>
        </w:rPr>
        <w:t>Full data room architecture, folder structure, naming convention and index</w:t>
      </w:r>
    </w:p>
    <w:p>
      <w:pPr>
        <w:pStyle w:val="ListBullet"/>
        <w:spacing w:after="60"/>
        <w:ind w:left="397"/>
      </w:pPr>
      <w:r>
        <w:rPr>
          <w:rFonts w:ascii="Cambria" w:hAnsi="Cambria"/>
          <w:b w:val="0"/>
          <w:i w:val="0"/>
        </w:rPr>
        <w:t>Preparation, drafting or investor-formatting of every Consultant-owned item in Schedule A</w:t>
      </w:r>
    </w:p>
    <w:p>
      <w:pPr>
        <w:pStyle w:val="ListBullet"/>
        <w:spacing w:after="60"/>
        <w:ind w:left="397"/>
      </w:pPr>
      <w:r>
        <w:rPr>
          <w:rFonts w:ascii="Cambria" w:hAnsi="Cambria"/>
          <w:b w:val="0"/>
          <w:i w:val="0"/>
        </w:rPr>
        <w:t>Collection, review and quality control of every Client-provided item in Schedule A</w:t>
      </w:r>
    </w:p>
    <w:p>
      <w:pPr>
        <w:pStyle w:val="ListBullet"/>
        <w:spacing w:after="60"/>
        <w:ind w:left="397"/>
      </w:pPr>
      <w:r>
        <w:rPr>
          <w:rFonts w:ascii="Cambria" w:hAnsi="Cambria"/>
          <w:b w:val="0"/>
          <w:i w:val="0"/>
        </w:rPr>
        <w:t>Gap analysis and a remediation list for anything missing, weak or inconsistent</w:t>
      </w:r>
    </w:p>
    <w:p>
      <w:pPr>
        <w:pStyle w:val="ListBullet"/>
        <w:spacing w:after="60"/>
        <w:ind w:left="397"/>
      </w:pPr>
      <w:r>
        <w:rPr>
          <w:rFonts w:ascii="Cambria" w:hAnsi="Cambria"/>
          <w:b w:val="0"/>
          <w:i w:val="0"/>
        </w:rPr>
        <w:t>Diligence Q&amp;A bank — the questions investors will ask, with prepared answers</w:t>
      </w:r>
    </w:p>
    <w:p>
      <w:pPr>
        <w:pStyle w:val="ListBullet"/>
        <w:spacing w:after="60"/>
        <w:ind w:left="397"/>
      </w:pPr>
      <w:r>
        <w:rPr>
          <w:rFonts w:ascii="Cambria" w:hAnsi="Cambria"/>
          <w:b w:val="0"/>
          <w:i w:val="0"/>
        </w:rPr>
        <w:t>Access control, permissioning and version discipline</w:t>
      </w:r>
    </w:p>
    <w:p>
      <w:pPr>
        <w:pStyle w:val="ListBullet"/>
        <w:spacing w:after="60"/>
        <w:ind w:left="397"/>
      </w:pPr>
      <w:r>
        <w:rPr>
          <w:rFonts w:ascii="Cambria" w:hAnsi="Cambria"/>
          <w:b w:val="0"/>
          <w:i w:val="0"/>
        </w:rPr>
        <w:t>Final diligence readiness review and sign-off</w:t>
      </w:r>
    </w:p>
    <w:p>
      <w:pPr>
        <w:keepNext/>
        <w:spacing w:before="200" w:after="60"/>
      </w:pPr>
      <w:r>
        <w:rPr>
          <w:rFonts w:ascii="Calibri" w:hAnsi="Calibri"/>
          <w:b/>
          <w:i w:val="0"/>
          <w:color w:val="1C4A73"/>
          <w:sz w:val="21"/>
        </w:rPr>
        <w:t>Workstream D — Investor Document Set</w:t>
      </w:r>
    </w:p>
    <w:p>
      <w:pPr>
        <w:pStyle w:val="ListBullet"/>
        <w:spacing w:after="60"/>
        <w:ind w:left="397"/>
      </w:pPr>
      <w:r>
        <w:rPr>
          <w:rFonts w:ascii="Cambria" w:hAnsi="Cambria"/>
          <w:b/>
          <w:i w:val="0"/>
        </w:rPr>
        <w:t>Pitch deck</w:t>
      </w:r>
      <w:r>
        <w:rPr>
          <w:rFonts w:ascii="Cambria" w:hAnsi="Cambria"/>
          <w:b w:val="0"/>
          <w:i w:val="0"/>
        </w:rPr>
        <w:t xml:space="preserve"> — 10–15 slides: problem, solution, market, product, traction, business model, competition, team, financials, the ask</w:t>
      </w:r>
    </w:p>
    <w:p>
      <w:pPr>
        <w:pStyle w:val="ListBullet"/>
        <w:spacing w:after="60"/>
        <w:ind w:left="397"/>
      </w:pPr>
      <w:r>
        <w:rPr>
          <w:rFonts w:ascii="Cambria" w:hAnsi="Cambria"/>
          <w:b/>
          <w:i w:val="0"/>
        </w:rPr>
        <w:t>Teaser</w:t>
      </w:r>
      <w:r>
        <w:rPr>
          <w:rFonts w:ascii="Cambria" w:hAnsi="Cambria"/>
          <w:b w:val="0"/>
          <w:i w:val="0"/>
        </w:rPr>
        <w:t xml:space="preserve"> — one-page designed summary for first-touch outreach</w:t>
      </w:r>
    </w:p>
    <w:p>
      <w:pPr>
        <w:pStyle w:val="ListBullet"/>
        <w:spacing w:after="60"/>
        <w:ind w:left="397"/>
      </w:pPr>
      <w:r>
        <w:rPr>
          <w:rFonts w:ascii="Cambria" w:hAnsi="Cambria"/>
          <w:b/>
          <w:i w:val="0"/>
        </w:rPr>
        <w:t>Business plan</w:t>
      </w:r>
      <w:r>
        <w:rPr>
          <w:rFonts w:ascii="Cambria" w:hAnsi="Cambria"/>
          <w:b w:val="0"/>
          <w:i w:val="0"/>
        </w:rPr>
        <w:t xml:space="preserve"> — full narrative document, all parts</w:t>
      </w:r>
    </w:p>
    <w:p>
      <w:pPr>
        <w:pStyle w:val="ListBullet"/>
        <w:spacing w:after="60"/>
        <w:ind w:left="397"/>
      </w:pPr>
      <w:r>
        <w:rPr>
          <w:rFonts w:ascii="Cambria" w:hAnsi="Cambria"/>
          <w:b/>
          <w:i w:val="0"/>
        </w:rPr>
        <w:t>Term sheet template</w:t>
      </w:r>
      <w:r>
        <w:rPr>
          <w:rFonts w:ascii="Cambria" w:hAnsi="Cambria"/>
          <w:b w:val="0"/>
          <w:i w:val="0"/>
        </w:rPr>
        <w:t xml:space="preserve"> — proposed investment terms reflecting Btakka's valuation expectations</w:t>
      </w:r>
    </w:p>
    <w:p>
      <w:pPr>
        <w:pStyle w:val="ListBullet"/>
        <w:spacing w:after="60"/>
        <w:ind w:left="397"/>
      </w:pPr>
      <w:r>
        <w:rPr>
          <w:rFonts w:ascii="Cambria" w:hAnsi="Cambria"/>
          <w:b/>
          <w:i w:val="0"/>
        </w:rPr>
        <w:t>Valuation document</w:t>
      </w:r>
      <w:r>
        <w:rPr>
          <w:rFonts w:ascii="Cambria" w:hAnsi="Cambria"/>
          <w:b w:val="0"/>
          <w:i w:val="0"/>
        </w:rPr>
        <w:t xml:space="preserve"> — method, assumptions, comparables and conclusion</w:t>
      </w:r>
    </w:p>
    <w:p>
      <w:pPr>
        <w:pStyle w:val="ListBullet"/>
        <w:spacing w:after="60"/>
        <w:ind w:left="397"/>
      </w:pPr>
      <w:r>
        <w:rPr>
          <w:rFonts w:ascii="Cambria" w:hAnsi="Cambria"/>
          <w:b w:val="0"/>
          <w:i w:val="0"/>
        </w:rPr>
        <w:t>Founder bios written to investor standard, from the CVs provided</w:t>
      </w:r>
    </w:p>
    <w:p>
      <w:pPr>
        <w:pStyle w:val="ListBullet"/>
        <w:spacing w:after="60"/>
        <w:ind w:left="397"/>
      </w:pPr>
      <w:r>
        <w:rPr>
          <w:rFonts w:ascii="Cambria" w:hAnsi="Cambria"/>
          <w:b w:val="0"/>
          <w:i w:val="0"/>
        </w:rPr>
        <w:t>Product demo script and walkthrough structure built around the app screenshots provided</w:t>
      </w:r>
    </w:p>
    <w:p>
      <w:pPr>
        <w:keepNext/>
        <w:spacing w:before="240" w:after="80"/>
      </w:pPr>
      <w:r>
        <w:rPr>
          <w:rFonts w:ascii="Calibri" w:hAnsi="Calibri"/>
          <w:b/>
          <w:i w:val="0"/>
          <w:color w:val="1C4A73"/>
          <w:sz w:val="23"/>
        </w:rPr>
        <w:t xml:space="preserve">Phase 2 — Investment Round Management </w:t>
      </w:r>
      <w:r>
        <w:rPr>
          <w:rFonts w:ascii="Calibri" w:hAnsi="Calibri"/>
          <w:b/>
          <w:i/>
          <w:color w:val="1C4A73"/>
          <w:sz w:val="23"/>
        </w:rPr>
        <w:t>(Months 2–4)</w:t>
      </w:r>
    </w:p>
    <w:p>
      <w:pPr>
        <w:keepNext/>
        <w:spacing w:before="200" w:after="60"/>
      </w:pPr>
      <w:r>
        <w:rPr>
          <w:rFonts w:ascii="Calibri" w:hAnsi="Calibri"/>
          <w:b/>
          <w:i w:val="0"/>
          <w:color w:val="1C4A73"/>
          <w:sz w:val="21"/>
        </w:rPr>
        <w:t xml:space="preserve">Stage 1 — Fundraising Strategy </w:t>
      </w:r>
      <w:r>
        <w:rPr>
          <w:rFonts w:ascii="Calibri" w:hAnsi="Calibri"/>
          <w:b/>
          <w:i/>
          <w:color w:val="1C4A73"/>
          <w:sz w:val="21"/>
        </w:rPr>
        <w:t>(Weeks 5–6)</w:t>
      </w:r>
    </w:p>
    <w:p>
      <w:pPr>
        <w:pStyle w:val="ListBullet"/>
        <w:spacing w:after="60"/>
        <w:ind w:left="397"/>
      </w:pPr>
      <w:r>
        <w:rPr>
          <w:rFonts w:ascii="Cambria" w:hAnsi="Cambria"/>
          <w:b w:val="0"/>
          <w:i w:val="0"/>
        </w:rPr>
        <w:t>Round architecture: size, instrument (equity / SAFE / convertible note), valuation and terms</w:t>
      </w:r>
    </w:p>
    <w:p>
      <w:pPr>
        <w:pStyle w:val="ListBullet"/>
        <w:spacing w:after="60"/>
        <w:ind w:left="397"/>
      </w:pPr>
      <w:r>
        <w:rPr>
          <w:rFonts w:ascii="Cambria" w:hAnsi="Cambria"/>
          <w:b w:val="0"/>
          <w:i w:val="0"/>
        </w:rPr>
        <w:t>Investor segmentation: angels, syndicates, pre-seed funds, family offices, strategic and corporate investors, accelerators and relevant Egyptian and regional programmes</w:t>
      </w:r>
    </w:p>
    <w:p>
      <w:pPr>
        <w:pStyle w:val="ListBullet"/>
        <w:spacing w:after="60"/>
        <w:ind w:left="397"/>
      </w:pPr>
      <w:r>
        <w:rPr>
          <w:rFonts w:ascii="Cambria" w:hAnsi="Cambria"/>
          <w:b w:val="0"/>
          <w:i w:val="0"/>
        </w:rPr>
        <w:t>Target Investor Map with prioritised tiers, thesis fit and warm-path mapping</w:t>
      </w:r>
    </w:p>
    <w:p>
      <w:pPr>
        <w:pStyle w:val="ListBullet"/>
        <w:spacing w:after="60"/>
        <w:ind w:left="397"/>
      </w:pPr>
      <w:r>
        <w:rPr>
          <w:rFonts w:ascii="Cambria" w:hAnsi="Cambria"/>
          <w:b w:val="0"/>
          <w:i w:val="0"/>
        </w:rPr>
        <w:t>Outreach infrastructure: sequencing, messaging, channel plan and tracking</w:t>
      </w:r>
    </w:p>
    <w:p>
      <w:pPr>
        <w:pStyle w:val="ListBullet"/>
        <w:spacing w:after="60"/>
        <w:ind w:left="397"/>
      </w:pPr>
      <w:r>
        <w:rPr>
          <w:rFonts w:ascii="Cambria" w:hAnsi="Cambria"/>
          <w:b w:val="0"/>
          <w:i w:val="0"/>
        </w:rPr>
        <w:t>Pitch rehearsal and objection handling with the founding team</w:t>
      </w:r>
    </w:p>
    <w:p>
      <w:pPr>
        <w:pStyle w:val="ListBullet"/>
        <w:spacing w:after="60"/>
        <w:ind w:left="397"/>
      </w:pPr>
      <w:r>
        <w:rPr>
          <w:rFonts w:ascii="Cambria" w:hAnsi="Cambria"/>
          <w:b w:val="0"/>
          <w:i w:val="0"/>
        </w:rPr>
        <w:t>Round timeline with weekly milestones and a defined close target</w:t>
      </w:r>
    </w:p>
    <w:p>
      <w:pPr>
        <w:keepNext/>
        <w:spacing w:before="200" w:after="60"/>
      </w:pPr>
      <w:r>
        <w:rPr>
          <w:rFonts w:ascii="Calibri" w:hAnsi="Calibri"/>
          <w:b/>
          <w:i w:val="0"/>
          <w:color w:val="1C4A73"/>
          <w:sz w:val="21"/>
        </w:rPr>
        <w:t xml:space="preserve">Stage 2 — Outreach &amp; Investor Engagement </w:t>
      </w:r>
      <w:r>
        <w:rPr>
          <w:rFonts w:ascii="Calibri" w:hAnsi="Calibri"/>
          <w:b/>
          <w:i/>
          <w:color w:val="1C4A73"/>
          <w:sz w:val="21"/>
        </w:rPr>
        <w:t>(Weeks 7–12)</w:t>
      </w:r>
    </w:p>
    <w:p>
      <w:pPr>
        <w:pStyle w:val="ListBullet"/>
        <w:spacing w:after="60"/>
        <w:ind w:left="397"/>
      </w:pPr>
      <w:r>
        <w:rPr>
          <w:rFonts w:ascii="Cambria" w:hAnsi="Cambria"/>
          <w:b w:val="0"/>
          <w:i w:val="0"/>
        </w:rPr>
        <w:t>Structured outreach waves against the Target Investor Map</w:t>
      </w:r>
    </w:p>
    <w:p>
      <w:pPr>
        <w:pStyle w:val="ListBullet"/>
        <w:spacing w:after="60"/>
        <w:ind w:left="397"/>
      </w:pPr>
      <w:r>
        <w:rPr>
          <w:rFonts w:ascii="Cambria" w:hAnsi="Cambria"/>
          <w:b w:val="0"/>
          <w:i w:val="0"/>
        </w:rPr>
        <w:t>Warm introductions through the Consultant's network where available</w:t>
      </w:r>
    </w:p>
    <w:p>
      <w:pPr>
        <w:pStyle w:val="ListBullet"/>
        <w:spacing w:after="60"/>
        <w:ind w:left="397"/>
      </w:pPr>
      <w:r>
        <w:rPr>
          <w:rFonts w:ascii="Cambria" w:hAnsi="Cambria"/>
          <w:b w:val="0"/>
          <w:i w:val="0"/>
        </w:rPr>
        <w:t>Teaser and deck distribution under version and access control</w:t>
      </w:r>
    </w:p>
    <w:p>
      <w:pPr>
        <w:pStyle w:val="ListBullet"/>
        <w:spacing w:after="60"/>
        <w:ind w:left="397"/>
      </w:pPr>
      <w:r>
        <w:rPr>
          <w:rFonts w:ascii="Cambria" w:hAnsi="Cambria"/>
          <w:b w:val="0"/>
          <w:i w:val="0"/>
        </w:rPr>
        <w:t>Meeting scheduling, preparation briefs and post-meeting debriefs</w:t>
      </w:r>
    </w:p>
    <w:p>
      <w:pPr>
        <w:pStyle w:val="ListBullet"/>
        <w:spacing w:after="60"/>
        <w:ind w:left="397"/>
      </w:pPr>
      <w:r>
        <w:rPr>
          <w:rFonts w:ascii="Cambria" w:hAnsi="Cambria"/>
          <w:b w:val="0"/>
          <w:i w:val="0"/>
        </w:rPr>
        <w:t>Investor feedback captured, analysed and fed back into the materials</w:t>
      </w:r>
    </w:p>
    <w:p>
      <w:pPr>
        <w:pStyle w:val="ListBullet"/>
        <w:spacing w:after="60"/>
        <w:ind w:left="397"/>
      </w:pPr>
      <w:r>
        <w:rPr>
          <w:rFonts w:ascii="Cambria" w:hAnsi="Cambria"/>
          <w:b w:val="0"/>
          <w:i w:val="0"/>
        </w:rPr>
        <w:t>Weekly pipeline reporting: contacted, engaged, in diligence, term sheet, closed</w:t>
      </w:r>
    </w:p>
    <w:p>
      <w:pPr>
        <w:pStyle w:val="ListBullet"/>
        <w:spacing w:after="60"/>
        <w:ind w:left="397"/>
      </w:pPr>
      <w:r>
        <w:rPr>
          <w:rFonts w:ascii="Cambria" w:hAnsi="Cambria"/>
          <w:b w:val="0"/>
          <w:i w:val="0"/>
        </w:rPr>
        <w:t>Iteration of deck, model and data room in response to real investor objections</w:t>
      </w:r>
    </w:p>
    <w:p>
      <w:pPr>
        <w:keepNext/>
        <w:spacing w:before="200" w:after="60"/>
      </w:pPr>
      <w:r>
        <w:rPr>
          <w:rFonts w:ascii="Calibri" w:hAnsi="Calibri"/>
          <w:b/>
          <w:i w:val="0"/>
          <w:color w:val="1C4A73"/>
          <w:sz w:val="21"/>
        </w:rPr>
        <w:t xml:space="preserve">Stage 3 — Diligence, Negotiation &amp; Close </w:t>
      </w:r>
      <w:r>
        <w:rPr>
          <w:rFonts w:ascii="Calibri" w:hAnsi="Calibri"/>
          <w:b/>
          <w:i/>
          <w:color w:val="1C4A73"/>
          <w:sz w:val="21"/>
        </w:rPr>
        <w:t>(Weeks 13–16)</w:t>
      </w:r>
    </w:p>
    <w:p>
      <w:pPr>
        <w:pStyle w:val="ListBullet"/>
        <w:spacing w:after="60"/>
        <w:ind w:left="397"/>
      </w:pPr>
      <w:r>
        <w:rPr>
          <w:rFonts w:ascii="Cambria" w:hAnsi="Cambria"/>
          <w:b w:val="0"/>
          <w:i w:val="0"/>
        </w:rPr>
        <w:t>Diligence management: request coordination, response drafting, data room administration</w:t>
      </w:r>
    </w:p>
    <w:p>
      <w:pPr>
        <w:pStyle w:val="ListBullet"/>
        <w:spacing w:after="60"/>
        <w:ind w:left="397"/>
      </w:pPr>
      <w:r>
        <w:rPr>
          <w:rFonts w:ascii="Cambria" w:hAnsi="Cambria"/>
          <w:b w:val="0"/>
          <w:i w:val="0"/>
        </w:rPr>
        <w:t>Investor question handling and escalation</w:t>
      </w:r>
    </w:p>
    <w:p>
      <w:pPr>
        <w:pStyle w:val="ListBullet"/>
        <w:spacing w:after="60"/>
        <w:ind w:left="397"/>
      </w:pPr>
      <w:r>
        <w:rPr>
          <w:rFonts w:ascii="Cambria" w:hAnsi="Cambria"/>
          <w:b w:val="0"/>
          <w:i w:val="0"/>
        </w:rPr>
        <w:t>Term sheet review, commercial commentary and negotiation support</w:t>
      </w:r>
    </w:p>
    <w:p>
      <w:pPr>
        <w:pStyle w:val="ListBullet"/>
        <w:spacing w:after="60"/>
        <w:ind w:left="397"/>
      </w:pPr>
      <w:r>
        <w:rPr>
          <w:rFonts w:ascii="Cambria" w:hAnsi="Cambria"/>
          <w:b w:val="0"/>
          <w:i w:val="0"/>
        </w:rPr>
        <w:t>Valuation and dilution modelling across competing offers</w:t>
      </w:r>
    </w:p>
    <w:p>
      <w:pPr>
        <w:pStyle w:val="ListBullet"/>
        <w:spacing w:after="60"/>
        <w:ind w:left="397"/>
      </w:pPr>
      <w:r>
        <w:rPr>
          <w:rFonts w:ascii="Cambria" w:hAnsi="Cambria"/>
          <w:b w:val="0"/>
          <w:i w:val="0"/>
        </w:rPr>
        <w:t>Syndicate construction where multiple investors participate</w:t>
      </w:r>
    </w:p>
    <w:p>
      <w:pPr>
        <w:pStyle w:val="ListBullet"/>
        <w:spacing w:after="60"/>
        <w:ind w:left="397"/>
      </w:pPr>
      <w:r>
        <w:rPr>
          <w:rFonts w:ascii="Cambria" w:hAnsi="Cambria"/>
          <w:b w:val="0"/>
          <w:i w:val="0"/>
        </w:rPr>
        <w:t>Coordination with Btakka's legal counsel through to signing and funding</w:t>
      </w:r>
    </w:p>
    <w:p>
      <w:pPr>
        <w:pStyle w:val="ListBullet"/>
        <w:spacing w:after="60"/>
        <w:ind w:left="397"/>
      </w:pPr>
      <w:r>
        <w:rPr>
          <w:rFonts w:ascii="Cambria" w:hAnsi="Cambria"/>
          <w:b w:val="0"/>
          <w:i w:val="0"/>
        </w:rPr>
        <w:t>Post-close investor reporting structure and investor update template</w:t>
      </w:r>
    </w:p>
    <w:p>
      <w:pPr>
        <w:spacing w:before="120" w:after="120"/>
        <w:pBdr>
          <w:bottom w:val="single" w:sz="6" w:space="1" w:color="C2CCD6"/>
        </w:pBdr>
      </w:pPr>
    </w:p>
    <w:p>
      <w:pPr>
        <w:keepNext/>
        <w:spacing w:before="320" w:after="100"/>
      </w:pPr>
      <w:r>
        <w:rPr>
          <w:rFonts w:ascii="Calibri" w:hAnsi="Calibri"/>
          <w:b/>
          <w:i w:val="0"/>
          <w:color w:val="0F2C4A"/>
          <w:sz w:val="27"/>
        </w:rPr>
        <w:t>6. Workshop Programme</w:t>
      </w:r>
    </w:p>
    <w:p>
      <w:pPr>
        <w:spacing w:after="120"/>
      </w:pPr>
      <w:r>
        <w:rPr>
          <w:rFonts w:ascii="Cambria" w:hAnsi="Cambria"/>
          <w:b w:val="0"/>
          <w:i w:val="0"/>
        </w:rPr>
        <w:t>Workshops are the mechanism by which the reasoning behind every deliverable is transferred to the founding team. A founder who cannot defend their own model in a meeting does not get funded, regardless of how good the model is.</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F2C4A"/>
          </w:tcPr>
          <w:p>
            <w:pPr>
              <w:spacing w:after="40" w:before="40"/>
            </w:pPr>
            <w:r/>
            <w:r>
              <w:rPr>
                <w:rFonts w:ascii="Calibri" w:hAnsi="Calibri"/>
                <w:b/>
                <w:i w:val="0"/>
                <w:color w:val="FFFFFF"/>
                <w:sz w:val="17"/>
              </w:rPr>
              <w:t>#</w:t>
            </w:r>
          </w:p>
        </w:tc>
        <w:tc>
          <w:tcPr>
            <w:tcW w:type="dxa" w:w="1606"/>
            <w:shd w:val="clear" w:color="auto" w:fill="0F2C4A"/>
          </w:tcPr>
          <w:p>
            <w:pPr>
              <w:spacing w:after="40" w:before="40"/>
            </w:pPr>
            <w:r/>
            <w:r>
              <w:rPr>
                <w:rFonts w:ascii="Calibri" w:hAnsi="Calibri"/>
                <w:b/>
                <w:i w:val="0"/>
                <w:color w:val="FFFFFF"/>
                <w:sz w:val="17"/>
              </w:rPr>
              <w:t>Workshop</w:t>
            </w:r>
          </w:p>
        </w:tc>
        <w:tc>
          <w:tcPr>
            <w:tcW w:type="dxa" w:w="1606"/>
            <w:shd w:val="clear" w:color="auto" w:fill="0F2C4A"/>
          </w:tcPr>
          <w:p>
            <w:pPr>
              <w:spacing w:after="40" w:before="40"/>
            </w:pPr>
            <w:r/>
            <w:r>
              <w:rPr>
                <w:rFonts w:ascii="Calibri" w:hAnsi="Calibri"/>
                <w:b/>
                <w:i w:val="0"/>
                <w:color w:val="FFFFFF"/>
                <w:sz w:val="17"/>
              </w:rPr>
              <w:t>Timing</w:t>
            </w:r>
          </w:p>
        </w:tc>
        <w:tc>
          <w:tcPr>
            <w:tcW w:type="dxa" w:w="1606"/>
            <w:shd w:val="clear" w:color="auto" w:fill="0F2C4A"/>
          </w:tcPr>
          <w:p>
            <w:pPr>
              <w:spacing w:after="40" w:before="40"/>
            </w:pPr>
            <w:r/>
            <w:r>
              <w:rPr>
                <w:rFonts w:ascii="Calibri" w:hAnsi="Calibri"/>
                <w:b/>
                <w:i w:val="0"/>
                <w:color w:val="FFFFFF"/>
                <w:sz w:val="17"/>
              </w:rPr>
              <w:t>Duration</w:t>
            </w:r>
          </w:p>
        </w:tc>
        <w:tc>
          <w:tcPr>
            <w:tcW w:type="dxa" w:w="1606"/>
            <w:shd w:val="clear" w:color="auto" w:fill="0F2C4A"/>
          </w:tcPr>
          <w:p>
            <w:pPr>
              <w:spacing w:after="40" w:before="40"/>
            </w:pPr>
            <w:r/>
            <w:r>
              <w:rPr>
                <w:rFonts w:ascii="Calibri" w:hAnsi="Calibri"/>
                <w:b/>
                <w:i w:val="0"/>
                <w:color w:val="FFFFFF"/>
                <w:sz w:val="17"/>
              </w:rPr>
              <w:t>Required attendees</w:t>
            </w:r>
          </w:p>
        </w:tc>
        <w:tc>
          <w:tcPr>
            <w:tcW w:type="dxa" w:w="1606"/>
            <w:shd w:val="clear" w:color="auto" w:fill="0F2C4A"/>
          </w:tcPr>
          <w:p>
            <w:pPr>
              <w:spacing w:after="40" w:before="40"/>
            </w:pPr>
            <w:r/>
            <w:r>
              <w:rPr>
                <w:rFonts w:ascii="Calibri" w:hAnsi="Calibri"/>
                <w:b/>
                <w:i w:val="0"/>
                <w:color w:val="FFFFFF"/>
                <w:sz w:val="17"/>
              </w:rPr>
              <w:t>Output</w:t>
            </w:r>
          </w:p>
        </w:tc>
      </w:tr>
      <w:tr>
        <w:tc>
          <w:tcPr>
            <w:tcW w:type="dxa" w:w="1606"/>
          </w:tcPr>
          <w:p>
            <w:pPr>
              <w:spacing w:after="40" w:before="40"/>
            </w:pPr>
            <w:r/>
            <w:r>
              <w:rPr>
                <w:rFonts w:ascii="Cambria" w:hAnsi="Cambria"/>
                <w:b/>
                <w:i w:val="0"/>
                <w:sz w:val="17"/>
              </w:rPr>
              <w:t>W1</w:t>
            </w:r>
          </w:p>
        </w:tc>
        <w:tc>
          <w:tcPr>
            <w:tcW w:type="dxa" w:w="1606"/>
          </w:tcPr>
          <w:p>
            <w:pPr>
              <w:spacing w:after="40" w:before="40"/>
            </w:pPr>
            <w:r/>
            <w:r>
              <w:rPr>
                <w:rFonts w:ascii="Cambria" w:hAnsi="Cambria"/>
                <w:b/>
                <w:i w:val="0"/>
                <w:sz w:val="17"/>
              </w:rPr>
              <w:t>Discovery &amp; Story Session</w:t>
            </w:r>
            <w:r>
              <w:rPr>
                <w:rFonts w:ascii="Cambria" w:hAnsi="Cambria"/>
                <w:b w:val="0"/>
                <w:i w:val="0"/>
                <w:sz w:val="17"/>
              </w:rPr>
              <w:t xml:space="preserve"> — initial meeting to understand the story</w:t>
            </w:r>
          </w:p>
        </w:tc>
        <w:tc>
          <w:tcPr>
            <w:tcW w:type="dxa" w:w="1606"/>
          </w:tcPr>
          <w:p>
            <w:pPr>
              <w:spacing w:after="40" w:before="40"/>
            </w:pPr>
            <w:r/>
            <w:r>
              <w:rPr>
                <w:rFonts w:ascii="Cambria" w:hAnsi="Cambria"/>
                <w:b w:val="0"/>
                <w:i w:val="0"/>
                <w:sz w:val="17"/>
              </w:rPr>
              <w:t>Week 1</w:t>
            </w:r>
          </w:p>
        </w:tc>
        <w:tc>
          <w:tcPr>
            <w:tcW w:type="dxa" w:w="1606"/>
          </w:tcPr>
          <w:p>
            <w:pPr>
              <w:spacing w:after="40" w:before="40"/>
            </w:pPr>
            <w:r/>
            <w:r>
              <w:rPr>
                <w:rFonts w:ascii="Cambria" w:hAnsi="Cambria"/>
                <w:b w:val="0"/>
                <w:i w:val="0"/>
                <w:sz w:val="17"/>
              </w:rPr>
              <w:t>3 hours</w:t>
            </w:r>
          </w:p>
        </w:tc>
        <w:tc>
          <w:tcPr>
            <w:tcW w:type="dxa" w:w="1606"/>
          </w:tcPr>
          <w:p>
            <w:pPr>
              <w:spacing w:after="40" w:before="40"/>
            </w:pPr>
            <w:r/>
            <w:r>
              <w:rPr>
                <w:rFonts w:ascii="Cambria" w:hAnsi="Cambria"/>
                <w:b w:val="0"/>
                <w:i w:val="0"/>
                <w:sz w:val="17"/>
              </w:rPr>
              <w:t>All founders</w:t>
            </w:r>
          </w:p>
        </w:tc>
        <w:tc>
          <w:tcPr>
            <w:tcW w:type="dxa" w:w="1606"/>
          </w:tcPr>
          <w:p>
            <w:pPr>
              <w:spacing w:after="40" w:before="40"/>
            </w:pPr>
            <w:r/>
            <w:r>
              <w:rPr>
                <w:rFonts w:ascii="Cambria" w:hAnsi="Cambria"/>
                <w:b w:val="0"/>
                <w:i w:val="0"/>
                <w:sz w:val="17"/>
              </w:rPr>
              <w:t>Confirmed business understanding, investment thesis draft, full information request list</w:t>
            </w:r>
          </w:p>
        </w:tc>
      </w:tr>
      <w:tr>
        <w:tc>
          <w:tcPr>
            <w:tcW w:type="dxa" w:w="1606"/>
            <w:shd w:val="clear" w:color="auto" w:fill="F2F5F8"/>
          </w:tcPr>
          <w:p>
            <w:pPr>
              <w:spacing w:after="40" w:before="40"/>
            </w:pPr>
            <w:r/>
            <w:r>
              <w:rPr>
                <w:rFonts w:ascii="Cambria" w:hAnsi="Cambria"/>
                <w:b/>
                <w:i w:val="0"/>
                <w:sz w:val="17"/>
              </w:rPr>
              <w:t>W2</w:t>
            </w:r>
          </w:p>
        </w:tc>
        <w:tc>
          <w:tcPr>
            <w:tcW w:type="dxa" w:w="1606"/>
            <w:shd w:val="clear" w:color="auto" w:fill="F2F5F8"/>
          </w:tcPr>
          <w:p>
            <w:pPr>
              <w:spacing w:after="40" w:before="40"/>
            </w:pPr>
            <w:r/>
            <w:r>
              <w:rPr>
                <w:rFonts w:ascii="Cambria" w:hAnsi="Cambria"/>
                <w:b/>
                <w:i w:val="0"/>
                <w:sz w:val="17"/>
              </w:rPr>
              <w:t>Financial Modelling Workshop — Session 1</w:t>
            </w:r>
          </w:p>
        </w:tc>
        <w:tc>
          <w:tcPr>
            <w:tcW w:type="dxa" w:w="1606"/>
            <w:shd w:val="clear" w:color="auto" w:fill="F2F5F8"/>
          </w:tcPr>
          <w:p>
            <w:pPr>
              <w:spacing w:after="40" w:before="40"/>
            </w:pPr>
            <w:r/>
            <w:r>
              <w:rPr>
                <w:rFonts w:ascii="Cambria" w:hAnsi="Cambria"/>
                <w:b w:val="0"/>
                <w:i w:val="0"/>
                <w:sz w:val="17"/>
              </w:rPr>
              <w:t>Week 2</w:t>
            </w:r>
          </w:p>
        </w:tc>
        <w:tc>
          <w:tcPr>
            <w:tcW w:type="dxa" w:w="1606"/>
            <w:shd w:val="clear" w:color="auto" w:fill="F2F5F8"/>
          </w:tcPr>
          <w:p>
            <w:pPr>
              <w:spacing w:after="40" w:before="40"/>
            </w:pPr>
            <w:r/>
            <w:r>
              <w:rPr>
                <w:rFonts w:ascii="Cambria" w:hAnsi="Cambria"/>
                <w:b w:val="0"/>
                <w:i w:val="0"/>
                <w:sz w:val="17"/>
              </w:rPr>
              <w:t>3 hours</w:t>
            </w:r>
          </w:p>
        </w:tc>
        <w:tc>
          <w:tcPr>
            <w:tcW w:type="dxa" w:w="1606"/>
            <w:shd w:val="clear" w:color="auto" w:fill="F2F5F8"/>
          </w:tcPr>
          <w:p>
            <w:pPr>
              <w:spacing w:after="40" w:before="40"/>
            </w:pPr>
            <w:r/>
            <w:r>
              <w:rPr>
                <w:rFonts w:ascii="Cambria" w:hAnsi="Cambria"/>
                <w:b w:val="0"/>
                <w:i w:val="0"/>
                <w:sz w:val="17"/>
              </w:rPr>
              <w:t>Founders + finance lead</w:t>
            </w:r>
          </w:p>
        </w:tc>
        <w:tc>
          <w:tcPr>
            <w:tcW w:type="dxa" w:w="1606"/>
            <w:shd w:val="clear" w:color="auto" w:fill="F2F5F8"/>
          </w:tcPr>
          <w:p>
            <w:pPr>
              <w:spacing w:after="40" w:before="40"/>
            </w:pPr>
            <w:r/>
            <w:r>
              <w:rPr>
                <w:rFonts w:ascii="Cambria" w:hAnsi="Cambria"/>
                <w:b w:val="0"/>
                <w:i w:val="0"/>
                <w:sz w:val="17"/>
              </w:rPr>
              <w:t>Driver tree, unit economics, assumption book v1</w:t>
            </w:r>
          </w:p>
        </w:tc>
      </w:tr>
      <w:tr>
        <w:tc>
          <w:tcPr>
            <w:tcW w:type="dxa" w:w="1606"/>
          </w:tcPr>
          <w:p>
            <w:pPr>
              <w:spacing w:after="40" w:before="40"/>
            </w:pPr>
            <w:r/>
            <w:r>
              <w:rPr>
                <w:rFonts w:ascii="Cambria" w:hAnsi="Cambria"/>
                <w:b/>
                <w:i w:val="0"/>
                <w:sz w:val="17"/>
              </w:rPr>
              <w:t>W3</w:t>
            </w:r>
          </w:p>
        </w:tc>
        <w:tc>
          <w:tcPr>
            <w:tcW w:type="dxa" w:w="1606"/>
          </w:tcPr>
          <w:p>
            <w:pPr>
              <w:spacing w:after="40" w:before="40"/>
            </w:pPr>
            <w:r/>
            <w:r>
              <w:rPr>
                <w:rFonts w:ascii="Cambria" w:hAnsi="Cambria"/>
                <w:b/>
                <w:i w:val="0"/>
                <w:sz w:val="17"/>
              </w:rPr>
              <w:t>Financial Modelling Workshop — Session 2</w:t>
            </w:r>
          </w:p>
        </w:tc>
        <w:tc>
          <w:tcPr>
            <w:tcW w:type="dxa" w:w="1606"/>
          </w:tcPr>
          <w:p>
            <w:pPr>
              <w:spacing w:after="40" w:before="40"/>
            </w:pPr>
            <w:r/>
            <w:r>
              <w:rPr>
                <w:rFonts w:ascii="Cambria" w:hAnsi="Cambria"/>
                <w:b w:val="0"/>
                <w:i w:val="0"/>
                <w:sz w:val="17"/>
              </w:rPr>
              <w:t>Week 3</w:t>
            </w:r>
          </w:p>
        </w:tc>
        <w:tc>
          <w:tcPr>
            <w:tcW w:type="dxa" w:w="1606"/>
          </w:tcPr>
          <w:p>
            <w:pPr>
              <w:spacing w:after="40" w:before="40"/>
            </w:pPr>
            <w:r/>
            <w:r>
              <w:rPr>
                <w:rFonts w:ascii="Cambria" w:hAnsi="Cambria"/>
                <w:b w:val="0"/>
                <w:i w:val="0"/>
                <w:sz w:val="17"/>
              </w:rPr>
              <w:t>3 hours</w:t>
            </w:r>
          </w:p>
        </w:tc>
        <w:tc>
          <w:tcPr>
            <w:tcW w:type="dxa" w:w="1606"/>
          </w:tcPr>
          <w:p>
            <w:pPr>
              <w:spacing w:after="40" w:before="40"/>
            </w:pPr>
            <w:r/>
            <w:r>
              <w:rPr>
                <w:rFonts w:ascii="Cambria" w:hAnsi="Cambria"/>
                <w:b w:val="0"/>
                <w:i w:val="0"/>
                <w:sz w:val="17"/>
              </w:rPr>
              <w:t>Founders + finance lead</w:t>
            </w:r>
          </w:p>
        </w:tc>
        <w:tc>
          <w:tcPr>
            <w:tcW w:type="dxa" w:w="1606"/>
          </w:tcPr>
          <w:p>
            <w:pPr>
              <w:spacing w:after="40" w:before="40"/>
            </w:pPr>
            <w:r/>
            <w:r>
              <w:rPr>
                <w:rFonts w:ascii="Cambria" w:hAnsi="Cambria"/>
                <w:b w:val="0"/>
                <w:i w:val="0"/>
                <w:sz w:val="17"/>
              </w:rPr>
              <w:t>Model review and challenge, scenarios, use of funds, valuation range</w:t>
            </w:r>
          </w:p>
        </w:tc>
      </w:tr>
      <w:tr>
        <w:tc>
          <w:tcPr>
            <w:tcW w:type="dxa" w:w="1606"/>
            <w:shd w:val="clear" w:color="auto" w:fill="F2F5F8"/>
          </w:tcPr>
          <w:p>
            <w:pPr>
              <w:spacing w:after="40" w:before="40"/>
            </w:pPr>
            <w:r/>
            <w:r>
              <w:rPr>
                <w:rFonts w:ascii="Cambria" w:hAnsi="Cambria"/>
                <w:b/>
                <w:i w:val="0"/>
                <w:sz w:val="17"/>
              </w:rPr>
              <w:t>W4</w:t>
            </w:r>
          </w:p>
        </w:tc>
        <w:tc>
          <w:tcPr>
            <w:tcW w:type="dxa" w:w="1606"/>
            <w:shd w:val="clear" w:color="auto" w:fill="F2F5F8"/>
          </w:tcPr>
          <w:p>
            <w:pPr>
              <w:spacing w:after="40" w:before="40"/>
            </w:pPr>
            <w:r/>
            <w:r>
              <w:rPr>
                <w:rFonts w:ascii="Cambria" w:hAnsi="Cambria"/>
                <w:b/>
                <w:i w:val="0"/>
                <w:sz w:val="17"/>
              </w:rPr>
              <w:t>Full Data Room Workshop</w:t>
            </w:r>
          </w:p>
        </w:tc>
        <w:tc>
          <w:tcPr>
            <w:tcW w:type="dxa" w:w="1606"/>
            <w:shd w:val="clear" w:color="auto" w:fill="F2F5F8"/>
          </w:tcPr>
          <w:p>
            <w:pPr>
              <w:spacing w:after="40" w:before="40"/>
            </w:pPr>
            <w:r/>
            <w:r>
              <w:rPr>
                <w:rFonts w:ascii="Cambria" w:hAnsi="Cambria"/>
                <w:b w:val="0"/>
                <w:i w:val="0"/>
                <w:sz w:val="17"/>
              </w:rPr>
              <w:t>Week 4</w:t>
            </w:r>
          </w:p>
        </w:tc>
        <w:tc>
          <w:tcPr>
            <w:tcW w:type="dxa" w:w="1606"/>
            <w:shd w:val="clear" w:color="auto" w:fill="F2F5F8"/>
          </w:tcPr>
          <w:p>
            <w:pPr>
              <w:spacing w:after="40" w:before="40"/>
            </w:pPr>
            <w:r/>
            <w:r>
              <w:rPr>
                <w:rFonts w:ascii="Cambria" w:hAnsi="Cambria"/>
                <w:b w:val="0"/>
                <w:i w:val="0"/>
                <w:sz w:val="17"/>
              </w:rPr>
              <w:t>4 hours</w:t>
            </w:r>
          </w:p>
        </w:tc>
        <w:tc>
          <w:tcPr>
            <w:tcW w:type="dxa" w:w="1606"/>
            <w:shd w:val="clear" w:color="auto" w:fill="F2F5F8"/>
          </w:tcPr>
          <w:p>
            <w:pPr>
              <w:spacing w:after="40" w:before="40"/>
            </w:pPr>
            <w:r/>
            <w:r>
              <w:rPr>
                <w:rFonts w:ascii="Cambria" w:hAnsi="Cambria"/>
                <w:b w:val="0"/>
                <w:i w:val="0"/>
                <w:sz w:val="17"/>
              </w:rPr>
              <w:t>Full leadership team</w:t>
            </w:r>
          </w:p>
        </w:tc>
        <w:tc>
          <w:tcPr>
            <w:tcW w:type="dxa" w:w="1606"/>
            <w:shd w:val="clear" w:color="auto" w:fill="F2F5F8"/>
          </w:tcPr>
          <w:p>
            <w:pPr>
              <w:spacing w:after="40" w:before="40"/>
            </w:pPr>
            <w:r/>
            <w:r>
              <w:rPr>
                <w:rFonts w:ascii="Cambria" w:hAnsi="Cambria"/>
                <w:b w:val="0"/>
                <w:i w:val="0"/>
                <w:sz w:val="17"/>
              </w:rPr>
              <w:t>Complete data room walkthrough, diligence Q&amp;A drill, readiness sign-off</w:t>
            </w:r>
          </w:p>
        </w:tc>
      </w:tr>
      <w:tr>
        <w:tc>
          <w:tcPr>
            <w:tcW w:type="dxa" w:w="1606"/>
          </w:tcPr>
          <w:p>
            <w:pPr>
              <w:spacing w:after="40" w:before="40"/>
            </w:pPr>
            <w:r/>
            <w:r>
              <w:rPr>
                <w:rFonts w:ascii="Cambria" w:hAnsi="Cambria"/>
                <w:b/>
                <w:i w:val="0"/>
                <w:sz w:val="17"/>
              </w:rPr>
              <w:t>W5</w:t>
            </w:r>
          </w:p>
        </w:tc>
        <w:tc>
          <w:tcPr>
            <w:tcW w:type="dxa" w:w="1606"/>
          </w:tcPr>
          <w:p>
            <w:pPr>
              <w:spacing w:after="40" w:before="40"/>
            </w:pPr>
            <w:r/>
            <w:r>
              <w:rPr>
                <w:rFonts w:ascii="Cambria" w:hAnsi="Cambria"/>
                <w:b/>
                <w:i w:val="0"/>
                <w:sz w:val="17"/>
              </w:rPr>
              <w:t>Investor Pitch Rehearsal</w:t>
            </w:r>
          </w:p>
        </w:tc>
        <w:tc>
          <w:tcPr>
            <w:tcW w:type="dxa" w:w="1606"/>
          </w:tcPr>
          <w:p>
            <w:pPr>
              <w:spacing w:after="40" w:before="40"/>
            </w:pPr>
            <w:r/>
            <w:r>
              <w:rPr>
                <w:rFonts w:ascii="Cambria" w:hAnsi="Cambria"/>
                <w:b w:val="0"/>
                <w:i w:val="0"/>
                <w:sz w:val="17"/>
              </w:rPr>
              <w:t>Week 5</w:t>
            </w:r>
          </w:p>
        </w:tc>
        <w:tc>
          <w:tcPr>
            <w:tcW w:type="dxa" w:w="1606"/>
          </w:tcPr>
          <w:p>
            <w:pPr>
              <w:spacing w:after="40" w:before="40"/>
            </w:pPr>
            <w:r/>
            <w:r>
              <w:rPr>
                <w:rFonts w:ascii="Cambria" w:hAnsi="Cambria"/>
                <w:b w:val="0"/>
                <w:i w:val="0"/>
                <w:sz w:val="17"/>
              </w:rPr>
              <w:t>2 hours</w:t>
            </w:r>
          </w:p>
        </w:tc>
        <w:tc>
          <w:tcPr>
            <w:tcW w:type="dxa" w:w="1606"/>
          </w:tcPr>
          <w:p>
            <w:pPr>
              <w:spacing w:after="40" w:before="40"/>
            </w:pPr>
            <w:r/>
            <w:r>
              <w:rPr>
                <w:rFonts w:ascii="Cambria" w:hAnsi="Cambria"/>
                <w:b w:val="0"/>
                <w:i w:val="0"/>
                <w:sz w:val="17"/>
              </w:rPr>
              <w:t>Pitching founders</w:t>
            </w:r>
          </w:p>
        </w:tc>
        <w:tc>
          <w:tcPr>
            <w:tcW w:type="dxa" w:w="1606"/>
          </w:tcPr>
          <w:p>
            <w:pPr>
              <w:spacing w:after="40" w:before="40"/>
            </w:pPr>
            <w:r/>
            <w:r>
              <w:rPr>
                <w:rFonts w:ascii="Cambria" w:hAnsi="Cambria"/>
                <w:b w:val="0"/>
                <w:i w:val="0"/>
                <w:sz w:val="17"/>
              </w:rPr>
              <w:t>Pitch calibration, objection handling, go-live sign-off</w:t>
            </w:r>
          </w:p>
        </w:tc>
      </w:tr>
    </w:tbl>
    <w:p>
      <w:pPr>
        <w:spacing w:after="40"/>
      </w:pPr>
    </w:p>
    <w:p>
      <w:pPr>
        <w:spacing w:after="120"/>
      </w:pPr>
      <w:r>
        <w:rPr>
          <w:rFonts w:ascii="Cambria" w:hAnsi="Cambria"/>
          <w:b w:val="0"/>
          <w:i w:val="0"/>
        </w:rPr>
        <w:t xml:space="preserve">All workshops may be held in person in Cairo or remotely by video, at Btakka's preference. Sessions are recorded and a written summary with action items is issued within two business days. Full detail is at </w:t>
      </w:r>
      <w:r>
        <w:rPr>
          <w:rFonts w:ascii="Cambria" w:hAnsi="Cambria"/>
          <w:b/>
          <w:i w:val="0"/>
        </w:rPr>
        <w:t>Schedule B</w:t>
      </w:r>
      <w:r>
        <w:rPr>
          <w:rFonts w:ascii="Cambria" w:hAnsi="Cambria"/>
          <w:b w:val="0"/>
          <w:i w:val="0"/>
        </w:rPr>
        <w:t>.</w:t>
      </w:r>
    </w:p>
    <w:p>
      <w:pPr>
        <w:spacing w:before="120" w:after="120"/>
        <w:pBdr>
          <w:bottom w:val="single" w:sz="6" w:space="1" w:color="C2CCD6"/>
        </w:pBdr>
      </w:pPr>
    </w:p>
    <w:p>
      <w:pPr>
        <w:keepNext/>
        <w:spacing w:before="320" w:after="100"/>
      </w:pPr>
      <w:r>
        <w:rPr>
          <w:rFonts w:ascii="Calibri" w:hAnsi="Calibri"/>
          <w:b/>
          <w:i w:val="0"/>
          <w:color w:val="0F2C4A"/>
          <w:sz w:val="27"/>
        </w:rPr>
        <w:t>7. Deliverables</w:t>
      </w:r>
    </w:p>
    <w:p>
      <w:pPr>
        <w:spacing w:after="120"/>
      </w:pPr>
      <w:r>
        <w:rPr>
          <w:rFonts w:ascii="Cambria" w:hAnsi="Cambria"/>
          <w:b w:val="0"/>
          <w:i w:val="0"/>
        </w:rPr>
        <w:t>Every deliverable below is produced by the Consultant and handed over in both editable source format and a final PDF, except where noted.</w:t>
      </w:r>
    </w:p>
    <w:p>
      <w:pPr>
        <w:keepNext/>
        <w:spacing w:before="240" w:after="80"/>
      </w:pPr>
      <w:r>
        <w:rPr>
          <w:rFonts w:ascii="Calibri" w:hAnsi="Calibri"/>
          <w:b/>
          <w:i w:val="0"/>
          <w:color w:val="1C4A73"/>
          <w:sz w:val="23"/>
        </w:rPr>
        <w:t>Phase 1 deliverables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Deliverable</w:t>
            </w:r>
          </w:p>
        </w:tc>
        <w:tc>
          <w:tcPr>
            <w:tcW w:type="dxa" w:w="2409"/>
            <w:shd w:val="clear" w:color="auto" w:fill="0F2C4A"/>
          </w:tcPr>
          <w:p>
            <w:pPr>
              <w:spacing w:after="40" w:before="40"/>
            </w:pPr>
            <w:r/>
            <w:r>
              <w:rPr>
                <w:rFonts w:ascii="Calibri" w:hAnsi="Calibri"/>
                <w:b/>
                <w:i w:val="0"/>
                <w:color w:val="FFFFFF"/>
                <w:sz w:val="17"/>
              </w:rPr>
              <w:t>Format</w:t>
            </w:r>
          </w:p>
        </w:tc>
        <w:tc>
          <w:tcPr>
            <w:tcW w:type="dxa" w:w="2409"/>
            <w:shd w:val="clear" w:color="auto" w:fill="0F2C4A"/>
          </w:tcPr>
          <w:p>
            <w:pPr>
              <w:spacing w:after="40" w:before="40"/>
            </w:pPr>
            <w:r/>
            <w:r>
              <w:rPr>
                <w:rFonts w:ascii="Calibri" w:hAnsi="Calibri"/>
                <w:b/>
                <w:i w:val="0"/>
                <w:color w:val="FFFFFF"/>
                <w:sz w:val="17"/>
              </w:rPr>
              <w:t>Due by</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val="0"/>
                <w:i w:val="0"/>
                <w:sz w:val="17"/>
              </w:rPr>
              <w:t>Data room architecture and index</w:t>
            </w:r>
          </w:p>
        </w:tc>
        <w:tc>
          <w:tcPr>
            <w:tcW w:type="dxa" w:w="2409"/>
          </w:tcPr>
          <w:p>
            <w:pPr>
              <w:spacing w:after="40" w:before="40"/>
            </w:pPr>
            <w:r/>
            <w:r>
              <w:rPr>
                <w:rFonts w:ascii="Cambria" w:hAnsi="Cambria"/>
                <w:b w:val="0"/>
                <w:i w:val="0"/>
                <w:sz w:val="17"/>
              </w:rPr>
              <w:t>Folder structure + index sheet</w:t>
            </w:r>
          </w:p>
        </w:tc>
        <w:tc>
          <w:tcPr>
            <w:tcW w:type="dxa" w:w="2409"/>
          </w:tcPr>
          <w:p>
            <w:pPr>
              <w:spacing w:after="40" w:before="40"/>
            </w:pPr>
            <w:r/>
            <w:r>
              <w:rPr>
                <w:rFonts w:ascii="Cambria" w:hAnsi="Cambria"/>
                <w:b w:val="0"/>
                <w:i w:val="0"/>
                <w:sz w:val="17"/>
              </w:rPr>
              <w:t>Week 1</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val="0"/>
                <w:i w:val="0"/>
                <w:sz w:val="17"/>
              </w:rPr>
              <w:t>Information request list and gap analysis</w:t>
            </w:r>
          </w:p>
        </w:tc>
        <w:tc>
          <w:tcPr>
            <w:tcW w:type="dxa" w:w="2409"/>
            <w:shd w:val="clear" w:color="auto" w:fill="F2F5F8"/>
          </w:tcPr>
          <w:p>
            <w:pPr>
              <w:spacing w:after="40" w:before="40"/>
            </w:pPr>
            <w:r/>
            <w:r>
              <w:rPr>
                <w:rFonts w:ascii="Cambria" w:hAnsi="Cambria"/>
                <w:b w:val="0"/>
                <w:i w:val="0"/>
                <w:sz w:val="17"/>
              </w:rPr>
              <w:t>Tracker</w:t>
            </w:r>
          </w:p>
        </w:tc>
        <w:tc>
          <w:tcPr>
            <w:tcW w:type="dxa" w:w="2409"/>
            <w:shd w:val="clear" w:color="auto" w:fill="F2F5F8"/>
          </w:tcPr>
          <w:p>
            <w:pPr>
              <w:spacing w:after="40" w:before="40"/>
            </w:pPr>
            <w:r/>
            <w:r>
              <w:rPr>
                <w:rFonts w:ascii="Cambria" w:hAnsi="Cambria"/>
                <w:b w:val="0"/>
                <w:i w:val="0"/>
                <w:sz w:val="17"/>
              </w:rPr>
              <w:t>Week 1</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val="0"/>
                <w:i w:val="0"/>
                <w:sz w:val="17"/>
              </w:rPr>
              <w:t>Investment thesis and narrative spine</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2</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val="0"/>
                <w:i w:val="0"/>
                <w:sz w:val="17"/>
              </w:rPr>
              <w:t>Market sizing — TAM / SAM / SOM</w:t>
            </w:r>
          </w:p>
        </w:tc>
        <w:tc>
          <w:tcPr>
            <w:tcW w:type="dxa" w:w="2409"/>
            <w:shd w:val="clear" w:color="auto" w:fill="F2F5F8"/>
          </w:tcPr>
          <w:p>
            <w:pPr>
              <w:spacing w:after="40" w:before="40"/>
            </w:pPr>
            <w:r/>
            <w:r>
              <w:rPr>
                <w:rFonts w:ascii="Cambria" w:hAnsi="Cambria"/>
                <w:b w:val="0"/>
                <w:i w:val="0"/>
                <w:sz w:val="17"/>
              </w:rPr>
              <w:t>Document + model</w:t>
            </w:r>
          </w:p>
        </w:tc>
        <w:tc>
          <w:tcPr>
            <w:tcW w:type="dxa" w:w="2409"/>
            <w:shd w:val="clear" w:color="auto" w:fill="F2F5F8"/>
          </w:tcPr>
          <w:p>
            <w:pPr>
              <w:spacing w:after="40" w:before="40"/>
            </w:pPr>
            <w:r/>
            <w:r>
              <w:rPr>
                <w:rFonts w:ascii="Cambria" w:hAnsi="Cambria"/>
                <w:b w:val="0"/>
                <w:i w:val="0"/>
                <w:sz w:val="17"/>
              </w:rPr>
              <w:t>Week 2</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val="0"/>
                <w:i w:val="0"/>
                <w:sz w:val="17"/>
              </w:rPr>
              <w:t>Competitive analysis</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2</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val="0"/>
                <w:i w:val="0"/>
                <w:sz w:val="17"/>
              </w:rPr>
              <w:t>Financial model (driver-based, 3–5 years)</w:t>
            </w:r>
          </w:p>
        </w:tc>
        <w:tc>
          <w:tcPr>
            <w:tcW w:type="dxa" w:w="2409"/>
            <w:shd w:val="clear" w:color="auto" w:fill="F2F5F8"/>
          </w:tcPr>
          <w:p>
            <w:pPr>
              <w:spacing w:after="40" w:before="40"/>
            </w:pPr>
            <w:r/>
            <w:r>
              <w:rPr>
                <w:rFonts w:ascii="Cambria" w:hAnsi="Cambria"/>
                <w:b w:val="0"/>
                <w:i w:val="0"/>
                <w:sz w:val="17"/>
              </w:rPr>
              <w:t>Excel</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val="0"/>
                <w:i w:val="0"/>
                <w:sz w:val="17"/>
              </w:rPr>
              <w:t>Financial expectations pack</w:t>
            </w:r>
          </w:p>
        </w:tc>
        <w:tc>
          <w:tcPr>
            <w:tcW w:type="dxa" w:w="2409"/>
          </w:tcPr>
          <w:p>
            <w:pPr>
              <w:spacing w:after="40" w:before="40"/>
            </w:pPr>
            <w:r/>
            <w:r>
              <w:rPr>
                <w:rFonts w:ascii="Cambria" w:hAnsi="Cambria"/>
                <w:b w:val="0"/>
                <w:i w:val="0"/>
                <w:sz w:val="17"/>
              </w:rPr>
              <w:t>Excel + document</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8</w:t>
            </w:r>
          </w:p>
        </w:tc>
        <w:tc>
          <w:tcPr>
            <w:tcW w:type="dxa" w:w="2409"/>
            <w:shd w:val="clear" w:color="auto" w:fill="F2F5F8"/>
          </w:tcPr>
          <w:p>
            <w:pPr>
              <w:spacing w:after="40" w:before="40"/>
            </w:pPr>
            <w:r/>
            <w:r>
              <w:rPr>
                <w:rFonts w:ascii="Cambria" w:hAnsi="Cambria"/>
                <w:b w:val="0"/>
                <w:i w:val="0"/>
                <w:sz w:val="17"/>
              </w:rPr>
              <w:t>Revenue model overview</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9</w:t>
            </w:r>
          </w:p>
        </w:tc>
        <w:tc>
          <w:tcPr>
            <w:tcW w:type="dxa" w:w="2409"/>
          </w:tcPr>
          <w:p>
            <w:pPr>
              <w:spacing w:after="40" w:before="40"/>
            </w:pPr>
            <w:r/>
            <w:r>
              <w:rPr>
                <w:rFonts w:ascii="Cambria" w:hAnsi="Cambria"/>
                <w:b w:val="0"/>
                <w:i w:val="0"/>
                <w:sz w:val="17"/>
              </w:rPr>
              <w:t>Scenario and sensitivity analysis</w:t>
            </w:r>
          </w:p>
        </w:tc>
        <w:tc>
          <w:tcPr>
            <w:tcW w:type="dxa" w:w="2409"/>
          </w:tcPr>
          <w:p>
            <w:pPr>
              <w:spacing w:after="40" w:before="40"/>
            </w:pPr>
            <w:r/>
            <w:r>
              <w:rPr>
                <w:rFonts w:ascii="Cambria" w:hAnsi="Cambria"/>
                <w:b w:val="0"/>
                <w:i w:val="0"/>
                <w:sz w:val="17"/>
              </w:rPr>
              <w:t>Excel</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10</w:t>
            </w:r>
          </w:p>
        </w:tc>
        <w:tc>
          <w:tcPr>
            <w:tcW w:type="dxa" w:w="2409"/>
            <w:shd w:val="clear" w:color="auto" w:fill="F2F5F8"/>
          </w:tcPr>
          <w:p>
            <w:pPr>
              <w:spacing w:after="40" w:before="40"/>
            </w:pPr>
            <w:r/>
            <w:r>
              <w:rPr>
                <w:rFonts w:ascii="Cambria" w:hAnsi="Cambria"/>
                <w:b w:val="0"/>
                <w:i w:val="0"/>
                <w:sz w:val="17"/>
              </w:rPr>
              <w:t>Use of Funds statement</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11</w:t>
            </w:r>
          </w:p>
        </w:tc>
        <w:tc>
          <w:tcPr>
            <w:tcW w:type="dxa" w:w="2409"/>
          </w:tcPr>
          <w:p>
            <w:pPr>
              <w:spacing w:after="40" w:before="40"/>
            </w:pPr>
            <w:r/>
            <w:r>
              <w:rPr>
                <w:rFonts w:ascii="Cambria" w:hAnsi="Cambria"/>
                <w:b w:val="0"/>
                <w:i w:val="0"/>
                <w:sz w:val="17"/>
              </w:rPr>
              <w:t>Cap table (current and post-money)</w:t>
            </w:r>
          </w:p>
        </w:tc>
        <w:tc>
          <w:tcPr>
            <w:tcW w:type="dxa" w:w="2409"/>
          </w:tcPr>
          <w:p>
            <w:pPr>
              <w:spacing w:after="40" w:before="40"/>
            </w:pPr>
            <w:r/>
            <w:r>
              <w:rPr>
                <w:rFonts w:ascii="Cambria" w:hAnsi="Cambria"/>
                <w:b w:val="0"/>
                <w:i w:val="0"/>
                <w:sz w:val="17"/>
              </w:rPr>
              <w:t>Excel</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12</w:t>
            </w:r>
          </w:p>
        </w:tc>
        <w:tc>
          <w:tcPr>
            <w:tcW w:type="dxa" w:w="2409"/>
            <w:shd w:val="clear" w:color="auto" w:fill="F2F5F8"/>
          </w:tcPr>
          <w:p>
            <w:pPr>
              <w:spacing w:after="40" w:before="40"/>
            </w:pPr>
            <w:r/>
            <w:r>
              <w:rPr>
                <w:rFonts w:ascii="Cambria" w:hAnsi="Cambria"/>
                <w:b w:val="0"/>
                <w:i w:val="0"/>
                <w:sz w:val="17"/>
              </w:rPr>
              <w:t>Valuation document</w:t>
            </w:r>
          </w:p>
        </w:tc>
        <w:tc>
          <w:tcPr>
            <w:tcW w:type="dxa" w:w="2409"/>
            <w:shd w:val="clear" w:color="auto" w:fill="F2F5F8"/>
          </w:tcPr>
          <w:p>
            <w:pPr>
              <w:spacing w:after="40" w:before="40"/>
            </w:pPr>
            <w:r/>
            <w:r>
              <w:rPr>
                <w:rFonts w:ascii="Cambria" w:hAnsi="Cambria"/>
                <w:b w:val="0"/>
                <w:i w:val="0"/>
                <w:sz w:val="17"/>
              </w:rPr>
              <w:t>Document + model</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13</w:t>
            </w:r>
          </w:p>
        </w:tc>
        <w:tc>
          <w:tcPr>
            <w:tcW w:type="dxa" w:w="2409"/>
          </w:tcPr>
          <w:p>
            <w:pPr>
              <w:spacing w:after="40" w:before="40"/>
            </w:pPr>
            <w:r/>
            <w:r>
              <w:rPr>
                <w:rFonts w:ascii="Cambria" w:hAnsi="Cambria"/>
                <w:b w:val="0"/>
                <w:i w:val="0"/>
                <w:sz w:val="17"/>
              </w:rPr>
              <w:t>Key metrics dashboard</w:t>
            </w:r>
          </w:p>
        </w:tc>
        <w:tc>
          <w:tcPr>
            <w:tcW w:type="dxa" w:w="2409"/>
          </w:tcPr>
          <w:p>
            <w:pPr>
              <w:spacing w:after="40" w:before="40"/>
            </w:pPr>
            <w:r/>
            <w:r>
              <w:rPr>
                <w:rFonts w:ascii="Cambria" w:hAnsi="Cambria"/>
                <w:b w:val="0"/>
                <w:i w:val="0"/>
                <w:sz w:val="17"/>
              </w:rPr>
              <w:t>Excel</w:t>
            </w:r>
          </w:p>
        </w:tc>
        <w:tc>
          <w:tcPr>
            <w:tcW w:type="dxa" w:w="2409"/>
          </w:tcPr>
          <w:p>
            <w:pPr>
              <w:spacing w:after="40" w:before="40"/>
            </w:pPr>
            <w:r/>
            <w:r>
              <w:rPr>
                <w:rFonts w:ascii="Cambria" w:hAnsi="Cambria"/>
                <w:b w:val="0"/>
                <w:i w:val="0"/>
                <w:sz w:val="17"/>
              </w:rPr>
              <w:t>Week 3</w:t>
            </w:r>
          </w:p>
        </w:tc>
      </w:tr>
      <w:tr>
        <w:tc>
          <w:tcPr>
            <w:tcW w:type="dxa" w:w="2409"/>
            <w:shd w:val="clear" w:color="auto" w:fill="F2F5F8"/>
          </w:tcPr>
          <w:p>
            <w:pPr>
              <w:spacing w:after="40" w:before="40"/>
            </w:pPr>
            <w:r/>
            <w:r>
              <w:rPr>
                <w:rFonts w:ascii="Cambria" w:hAnsi="Cambria"/>
                <w:b w:val="0"/>
                <w:i w:val="0"/>
                <w:sz w:val="17"/>
              </w:rPr>
              <w:t>14</w:t>
            </w:r>
          </w:p>
        </w:tc>
        <w:tc>
          <w:tcPr>
            <w:tcW w:type="dxa" w:w="2409"/>
            <w:shd w:val="clear" w:color="auto" w:fill="F2F5F8"/>
          </w:tcPr>
          <w:p>
            <w:pPr>
              <w:spacing w:after="40" w:before="40"/>
            </w:pPr>
            <w:r/>
            <w:r>
              <w:rPr>
                <w:rFonts w:ascii="Cambria" w:hAnsi="Cambria"/>
                <w:b w:val="0"/>
                <w:i w:val="0"/>
                <w:sz w:val="17"/>
              </w:rPr>
              <w:t>Go-to-market strategy</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3</w:t>
            </w:r>
          </w:p>
        </w:tc>
      </w:tr>
      <w:tr>
        <w:tc>
          <w:tcPr>
            <w:tcW w:type="dxa" w:w="2409"/>
          </w:tcPr>
          <w:p>
            <w:pPr>
              <w:spacing w:after="40" w:before="40"/>
            </w:pPr>
            <w:r/>
            <w:r>
              <w:rPr>
                <w:rFonts w:ascii="Cambria" w:hAnsi="Cambria"/>
                <w:b w:val="0"/>
                <w:i w:val="0"/>
                <w:sz w:val="17"/>
              </w:rPr>
              <w:t>15</w:t>
            </w:r>
          </w:p>
        </w:tc>
        <w:tc>
          <w:tcPr>
            <w:tcW w:type="dxa" w:w="2409"/>
          </w:tcPr>
          <w:p>
            <w:pPr>
              <w:spacing w:after="40" w:before="40"/>
            </w:pPr>
            <w:r/>
            <w:r>
              <w:rPr>
                <w:rFonts w:ascii="Cambria" w:hAnsi="Cambria"/>
                <w:b w:val="0"/>
                <w:i w:val="0"/>
                <w:sz w:val="17"/>
              </w:rPr>
              <w:t>Pitch deck (10–15 slides)</w:t>
            </w:r>
          </w:p>
        </w:tc>
        <w:tc>
          <w:tcPr>
            <w:tcW w:type="dxa" w:w="2409"/>
          </w:tcPr>
          <w:p>
            <w:pPr>
              <w:spacing w:after="40" w:before="40"/>
            </w:pPr>
            <w:r/>
            <w:r>
              <w:rPr>
                <w:rFonts w:ascii="Cambria" w:hAnsi="Cambria"/>
                <w:b w:val="0"/>
                <w:i w:val="0"/>
                <w:sz w:val="17"/>
              </w:rPr>
              <w:t>Designed deck + source</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16</w:t>
            </w:r>
          </w:p>
        </w:tc>
        <w:tc>
          <w:tcPr>
            <w:tcW w:type="dxa" w:w="2409"/>
            <w:shd w:val="clear" w:color="auto" w:fill="F2F5F8"/>
          </w:tcPr>
          <w:p>
            <w:pPr>
              <w:spacing w:after="40" w:before="40"/>
            </w:pPr>
            <w:r/>
            <w:r>
              <w:rPr>
                <w:rFonts w:ascii="Cambria" w:hAnsi="Cambria"/>
                <w:b w:val="0"/>
                <w:i w:val="0"/>
                <w:sz w:val="17"/>
              </w:rPr>
              <w:t>Teaser (one page, designed)</w:t>
            </w:r>
          </w:p>
        </w:tc>
        <w:tc>
          <w:tcPr>
            <w:tcW w:type="dxa" w:w="2409"/>
            <w:shd w:val="clear" w:color="auto" w:fill="F2F5F8"/>
          </w:tcPr>
          <w:p>
            <w:pPr>
              <w:spacing w:after="40" w:before="40"/>
            </w:pPr>
            <w:r/>
            <w:r>
              <w:rPr>
                <w:rFonts w:ascii="Cambria" w:hAnsi="Cambria"/>
                <w:b w:val="0"/>
                <w:i w:val="0"/>
                <w:sz w:val="17"/>
              </w:rPr>
              <w:t>Designed PDF + source</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17</w:t>
            </w:r>
          </w:p>
        </w:tc>
        <w:tc>
          <w:tcPr>
            <w:tcW w:type="dxa" w:w="2409"/>
          </w:tcPr>
          <w:p>
            <w:pPr>
              <w:spacing w:after="40" w:before="40"/>
            </w:pPr>
            <w:r/>
            <w:r>
              <w:rPr>
                <w:rFonts w:ascii="Cambria" w:hAnsi="Cambria"/>
                <w:b w:val="0"/>
                <w:i w:val="0"/>
                <w:sz w:val="17"/>
              </w:rPr>
              <w:t>Business plan (all parts)</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18</w:t>
            </w:r>
          </w:p>
        </w:tc>
        <w:tc>
          <w:tcPr>
            <w:tcW w:type="dxa" w:w="2409"/>
            <w:shd w:val="clear" w:color="auto" w:fill="F2F5F8"/>
          </w:tcPr>
          <w:p>
            <w:pPr>
              <w:spacing w:after="40" w:before="40"/>
            </w:pPr>
            <w:r/>
            <w:r>
              <w:rPr>
                <w:rFonts w:ascii="Cambria" w:hAnsi="Cambria"/>
                <w:b w:val="0"/>
                <w:i w:val="0"/>
                <w:sz w:val="17"/>
              </w:rPr>
              <w:t>Term sheet template</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19</w:t>
            </w:r>
          </w:p>
        </w:tc>
        <w:tc>
          <w:tcPr>
            <w:tcW w:type="dxa" w:w="2409"/>
          </w:tcPr>
          <w:p>
            <w:pPr>
              <w:spacing w:after="40" w:before="40"/>
            </w:pPr>
            <w:r/>
            <w:r>
              <w:rPr>
                <w:rFonts w:ascii="Cambria" w:hAnsi="Cambria"/>
                <w:b w:val="0"/>
                <w:i w:val="0"/>
                <w:sz w:val="17"/>
              </w:rPr>
              <w:t>Founder bios (investor standard)</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20</w:t>
            </w:r>
          </w:p>
        </w:tc>
        <w:tc>
          <w:tcPr>
            <w:tcW w:type="dxa" w:w="2409"/>
            <w:shd w:val="clear" w:color="auto" w:fill="F2F5F8"/>
          </w:tcPr>
          <w:p>
            <w:pPr>
              <w:spacing w:after="40" w:before="40"/>
            </w:pPr>
            <w:r/>
            <w:r>
              <w:rPr>
                <w:rFonts w:ascii="Cambria" w:hAnsi="Cambria"/>
                <w:b w:val="0"/>
                <w:i w:val="0"/>
                <w:sz w:val="17"/>
              </w:rPr>
              <w:t>Product demo script and walkthrough</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21</w:t>
            </w:r>
          </w:p>
        </w:tc>
        <w:tc>
          <w:tcPr>
            <w:tcW w:type="dxa" w:w="2409"/>
          </w:tcPr>
          <w:p>
            <w:pPr>
              <w:spacing w:after="40" w:before="40"/>
            </w:pPr>
            <w:r/>
            <w:r>
              <w:rPr>
                <w:rFonts w:ascii="Cambria" w:hAnsi="Cambria"/>
                <w:b w:val="0"/>
                <w:i w:val="0"/>
                <w:sz w:val="17"/>
              </w:rPr>
              <w:t>Technical overview</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22</w:t>
            </w:r>
          </w:p>
        </w:tc>
        <w:tc>
          <w:tcPr>
            <w:tcW w:type="dxa" w:w="2409"/>
            <w:shd w:val="clear" w:color="auto" w:fill="F2F5F8"/>
          </w:tcPr>
          <w:p>
            <w:pPr>
              <w:spacing w:after="40" w:before="40"/>
            </w:pPr>
            <w:r/>
            <w:r>
              <w:rPr>
                <w:rFonts w:ascii="Cambria" w:hAnsi="Cambria"/>
                <w:b w:val="0"/>
                <w:i w:val="0"/>
                <w:sz w:val="17"/>
              </w:rPr>
              <w:t>Organisational chart and key hire plan</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23</w:t>
            </w:r>
          </w:p>
        </w:tc>
        <w:tc>
          <w:tcPr>
            <w:tcW w:type="dxa" w:w="2409"/>
          </w:tcPr>
          <w:p>
            <w:pPr>
              <w:spacing w:after="40" w:before="40"/>
            </w:pPr>
            <w:r/>
            <w:r>
              <w:rPr>
                <w:rFonts w:ascii="Cambria" w:hAnsi="Cambria"/>
                <w:b w:val="0"/>
                <w:i w:val="0"/>
                <w:sz w:val="17"/>
              </w:rPr>
              <w:t>Diligence Q&amp;A bank</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4</w:t>
            </w:r>
          </w:p>
        </w:tc>
      </w:tr>
      <w:tr>
        <w:tc>
          <w:tcPr>
            <w:tcW w:type="dxa" w:w="2409"/>
            <w:shd w:val="clear" w:color="auto" w:fill="F2F5F8"/>
          </w:tcPr>
          <w:p>
            <w:pPr>
              <w:spacing w:after="40" w:before="40"/>
            </w:pPr>
            <w:r/>
            <w:r>
              <w:rPr>
                <w:rFonts w:ascii="Cambria" w:hAnsi="Cambria"/>
                <w:b w:val="0"/>
                <w:i w:val="0"/>
                <w:sz w:val="17"/>
              </w:rPr>
              <w:t>24</w:t>
            </w:r>
          </w:p>
        </w:tc>
        <w:tc>
          <w:tcPr>
            <w:tcW w:type="dxa" w:w="2409"/>
            <w:shd w:val="clear" w:color="auto" w:fill="F2F5F8"/>
          </w:tcPr>
          <w:p>
            <w:pPr>
              <w:spacing w:after="40" w:before="40"/>
            </w:pPr>
            <w:r/>
            <w:r>
              <w:rPr>
                <w:rFonts w:ascii="Cambria" w:hAnsi="Cambria"/>
                <w:b w:val="0"/>
                <w:i w:val="0"/>
                <w:sz w:val="17"/>
              </w:rPr>
              <w:t>Complete, indexed, populated data room</w:t>
            </w:r>
          </w:p>
        </w:tc>
        <w:tc>
          <w:tcPr>
            <w:tcW w:type="dxa" w:w="2409"/>
            <w:shd w:val="clear" w:color="auto" w:fill="F2F5F8"/>
          </w:tcPr>
          <w:p>
            <w:pPr>
              <w:spacing w:after="40" w:before="40"/>
            </w:pPr>
            <w:r/>
            <w:r>
              <w:rPr>
                <w:rFonts w:ascii="Cambria" w:hAnsi="Cambria"/>
                <w:b w:val="0"/>
                <w:i w:val="0"/>
                <w:sz w:val="17"/>
              </w:rPr>
              <w:t>Live data room</w:t>
            </w:r>
          </w:p>
        </w:tc>
        <w:tc>
          <w:tcPr>
            <w:tcW w:type="dxa" w:w="2409"/>
            <w:shd w:val="clear" w:color="auto" w:fill="F2F5F8"/>
          </w:tcPr>
          <w:p>
            <w:pPr>
              <w:spacing w:after="40" w:before="40"/>
            </w:pPr>
            <w:r/>
            <w:r>
              <w:rPr>
                <w:rFonts w:ascii="Cambria" w:hAnsi="Cambria"/>
                <w:b w:val="0"/>
                <w:i w:val="0"/>
                <w:sz w:val="17"/>
              </w:rPr>
              <w:t>Week 4</w:t>
            </w:r>
          </w:p>
        </w:tc>
      </w:tr>
      <w:tr>
        <w:tc>
          <w:tcPr>
            <w:tcW w:type="dxa" w:w="2409"/>
          </w:tcPr>
          <w:p>
            <w:pPr>
              <w:spacing w:after="40" w:before="40"/>
            </w:pPr>
            <w:r/>
            <w:r>
              <w:rPr>
                <w:rFonts w:ascii="Cambria" w:hAnsi="Cambria"/>
                <w:b w:val="0"/>
                <w:i w:val="0"/>
                <w:sz w:val="17"/>
              </w:rPr>
              <w:t>25</w:t>
            </w:r>
          </w:p>
        </w:tc>
        <w:tc>
          <w:tcPr>
            <w:tcW w:type="dxa" w:w="2409"/>
          </w:tcPr>
          <w:p>
            <w:pPr>
              <w:spacing w:after="40" w:before="40"/>
            </w:pPr>
            <w:r/>
            <w:r>
              <w:rPr>
                <w:rFonts w:ascii="Cambria" w:hAnsi="Cambria"/>
                <w:b w:val="0"/>
                <w:i w:val="0"/>
                <w:sz w:val="17"/>
              </w:rPr>
              <w:t>Diligence readiness review and sign-off</w:t>
            </w:r>
          </w:p>
        </w:tc>
        <w:tc>
          <w:tcPr>
            <w:tcW w:type="dxa" w:w="2409"/>
          </w:tcPr>
          <w:p>
            <w:pPr>
              <w:spacing w:after="40" w:before="40"/>
            </w:pPr>
            <w:r/>
            <w:r>
              <w:rPr>
                <w:rFonts w:ascii="Cambria" w:hAnsi="Cambria"/>
                <w:b w:val="0"/>
                <w:i w:val="0"/>
                <w:sz w:val="17"/>
              </w:rPr>
              <w:t>Report</w:t>
            </w:r>
          </w:p>
        </w:tc>
        <w:tc>
          <w:tcPr>
            <w:tcW w:type="dxa" w:w="2409"/>
          </w:tcPr>
          <w:p>
            <w:pPr>
              <w:spacing w:after="40" w:before="40"/>
            </w:pPr>
            <w:r/>
            <w:r>
              <w:rPr>
                <w:rFonts w:ascii="Cambria" w:hAnsi="Cambria"/>
                <w:b w:val="0"/>
                <w:i w:val="0"/>
                <w:sz w:val="17"/>
              </w:rPr>
              <w:t>Week 4</w:t>
            </w:r>
          </w:p>
        </w:tc>
      </w:tr>
    </w:tbl>
    <w:p>
      <w:pPr>
        <w:spacing w:after="40"/>
      </w:pPr>
    </w:p>
    <w:p>
      <w:pPr>
        <w:keepNext/>
        <w:spacing w:before="240" w:after="80"/>
      </w:pPr>
      <w:r>
        <w:rPr>
          <w:rFonts w:ascii="Calibri" w:hAnsi="Calibri"/>
          <w:b/>
          <w:i w:val="0"/>
          <w:color w:val="1C4A73"/>
          <w:sz w:val="23"/>
        </w:rPr>
        <w:t>Phase 2 deliverables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Deliverable</w:t>
            </w:r>
          </w:p>
        </w:tc>
        <w:tc>
          <w:tcPr>
            <w:tcW w:type="dxa" w:w="2409"/>
            <w:shd w:val="clear" w:color="auto" w:fill="0F2C4A"/>
          </w:tcPr>
          <w:p>
            <w:pPr>
              <w:spacing w:after="40" w:before="40"/>
            </w:pPr>
            <w:r/>
            <w:r>
              <w:rPr>
                <w:rFonts w:ascii="Calibri" w:hAnsi="Calibri"/>
                <w:b/>
                <w:i w:val="0"/>
                <w:color w:val="FFFFFF"/>
                <w:sz w:val="17"/>
              </w:rPr>
              <w:t>Format</w:t>
            </w:r>
          </w:p>
        </w:tc>
        <w:tc>
          <w:tcPr>
            <w:tcW w:type="dxa" w:w="2409"/>
            <w:shd w:val="clear" w:color="auto" w:fill="0F2C4A"/>
          </w:tcPr>
          <w:p>
            <w:pPr>
              <w:spacing w:after="40" w:before="40"/>
            </w:pPr>
            <w:r/>
            <w:r>
              <w:rPr>
                <w:rFonts w:ascii="Calibri" w:hAnsi="Calibri"/>
                <w:b/>
                <w:i w:val="0"/>
                <w:color w:val="FFFFFF"/>
                <w:sz w:val="17"/>
              </w:rPr>
              <w:t>Due by</w:t>
            </w:r>
          </w:p>
        </w:tc>
      </w:tr>
      <w:tr>
        <w:tc>
          <w:tcPr>
            <w:tcW w:type="dxa" w:w="2409"/>
          </w:tcPr>
          <w:p>
            <w:pPr>
              <w:spacing w:after="40" w:before="40"/>
            </w:pPr>
            <w:r/>
            <w:r>
              <w:rPr>
                <w:rFonts w:ascii="Cambria" w:hAnsi="Cambria"/>
                <w:b w:val="0"/>
                <w:i w:val="0"/>
                <w:sz w:val="17"/>
              </w:rPr>
              <w:t>26</w:t>
            </w:r>
          </w:p>
        </w:tc>
        <w:tc>
          <w:tcPr>
            <w:tcW w:type="dxa" w:w="2409"/>
          </w:tcPr>
          <w:p>
            <w:pPr>
              <w:spacing w:after="40" w:before="40"/>
            </w:pPr>
            <w:r/>
            <w:r>
              <w:rPr>
                <w:rFonts w:ascii="Cambria" w:hAnsi="Cambria"/>
                <w:b w:val="0"/>
                <w:i w:val="0"/>
                <w:sz w:val="17"/>
              </w:rPr>
              <w:t>Fundraising strategy document</w:t>
            </w:r>
          </w:p>
        </w:tc>
        <w:tc>
          <w:tcPr>
            <w:tcW w:type="dxa" w:w="2409"/>
          </w:tcPr>
          <w:p>
            <w:pPr>
              <w:spacing w:after="40" w:before="40"/>
            </w:pPr>
            <w:r/>
            <w:r>
              <w:rPr>
                <w:rFonts w:ascii="Cambria" w:hAnsi="Cambria"/>
                <w:b w:val="0"/>
                <w:i w:val="0"/>
                <w:sz w:val="17"/>
              </w:rPr>
              <w:t>Document</w:t>
            </w:r>
          </w:p>
        </w:tc>
        <w:tc>
          <w:tcPr>
            <w:tcW w:type="dxa" w:w="2409"/>
          </w:tcPr>
          <w:p>
            <w:pPr>
              <w:spacing w:after="40" w:before="40"/>
            </w:pPr>
            <w:r/>
            <w:r>
              <w:rPr>
                <w:rFonts w:ascii="Cambria" w:hAnsi="Cambria"/>
                <w:b w:val="0"/>
                <w:i w:val="0"/>
                <w:sz w:val="17"/>
              </w:rPr>
              <w:t>Week 6</w:t>
            </w:r>
          </w:p>
        </w:tc>
      </w:tr>
      <w:tr>
        <w:tc>
          <w:tcPr>
            <w:tcW w:type="dxa" w:w="2409"/>
            <w:shd w:val="clear" w:color="auto" w:fill="F2F5F8"/>
          </w:tcPr>
          <w:p>
            <w:pPr>
              <w:spacing w:after="40" w:before="40"/>
            </w:pPr>
            <w:r/>
            <w:r>
              <w:rPr>
                <w:rFonts w:ascii="Cambria" w:hAnsi="Cambria"/>
                <w:b w:val="0"/>
                <w:i w:val="0"/>
                <w:sz w:val="17"/>
              </w:rPr>
              <w:t>27</w:t>
            </w:r>
          </w:p>
        </w:tc>
        <w:tc>
          <w:tcPr>
            <w:tcW w:type="dxa" w:w="2409"/>
            <w:shd w:val="clear" w:color="auto" w:fill="F2F5F8"/>
          </w:tcPr>
          <w:p>
            <w:pPr>
              <w:spacing w:after="40" w:before="40"/>
            </w:pPr>
            <w:r/>
            <w:r>
              <w:rPr>
                <w:rFonts w:ascii="Cambria" w:hAnsi="Cambria"/>
                <w:b w:val="0"/>
                <w:i w:val="0"/>
                <w:sz w:val="17"/>
              </w:rPr>
              <w:t>Round architecture and terms recommendation</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6</w:t>
            </w:r>
          </w:p>
        </w:tc>
      </w:tr>
      <w:tr>
        <w:tc>
          <w:tcPr>
            <w:tcW w:type="dxa" w:w="2409"/>
          </w:tcPr>
          <w:p>
            <w:pPr>
              <w:spacing w:after="40" w:before="40"/>
            </w:pPr>
            <w:r/>
            <w:r>
              <w:rPr>
                <w:rFonts w:ascii="Cambria" w:hAnsi="Cambria"/>
                <w:b w:val="0"/>
                <w:i w:val="0"/>
                <w:sz w:val="17"/>
              </w:rPr>
              <w:t>28</w:t>
            </w:r>
          </w:p>
        </w:tc>
        <w:tc>
          <w:tcPr>
            <w:tcW w:type="dxa" w:w="2409"/>
          </w:tcPr>
          <w:p>
            <w:pPr>
              <w:spacing w:after="40" w:before="40"/>
            </w:pPr>
            <w:r/>
            <w:r>
              <w:rPr>
                <w:rFonts w:ascii="Cambria" w:hAnsi="Cambria"/>
                <w:b w:val="0"/>
                <w:i w:val="0"/>
                <w:sz w:val="17"/>
              </w:rPr>
              <w:t>Target Investor Map (tiered, with warm paths)</w:t>
            </w:r>
          </w:p>
        </w:tc>
        <w:tc>
          <w:tcPr>
            <w:tcW w:type="dxa" w:w="2409"/>
          </w:tcPr>
          <w:p>
            <w:pPr>
              <w:spacing w:after="40" w:before="40"/>
            </w:pPr>
            <w:r/>
            <w:r>
              <w:rPr>
                <w:rFonts w:ascii="Cambria" w:hAnsi="Cambria"/>
                <w:b w:val="0"/>
                <w:i w:val="0"/>
                <w:sz w:val="17"/>
              </w:rPr>
              <w:t>Tracker</w:t>
            </w:r>
          </w:p>
        </w:tc>
        <w:tc>
          <w:tcPr>
            <w:tcW w:type="dxa" w:w="2409"/>
          </w:tcPr>
          <w:p>
            <w:pPr>
              <w:spacing w:after="40" w:before="40"/>
            </w:pPr>
            <w:r/>
            <w:r>
              <w:rPr>
                <w:rFonts w:ascii="Cambria" w:hAnsi="Cambria"/>
                <w:b w:val="0"/>
                <w:i w:val="0"/>
                <w:sz w:val="17"/>
              </w:rPr>
              <w:t>Week 6</w:t>
            </w:r>
          </w:p>
        </w:tc>
      </w:tr>
      <w:tr>
        <w:tc>
          <w:tcPr>
            <w:tcW w:type="dxa" w:w="2409"/>
            <w:shd w:val="clear" w:color="auto" w:fill="F2F5F8"/>
          </w:tcPr>
          <w:p>
            <w:pPr>
              <w:spacing w:after="40" w:before="40"/>
            </w:pPr>
            <w:r/>
            <w:r>
              <w:rPr>
                <w:rFonts w:ascii="Cambria" w:hAnsi="Cambria"/>
                <w:b w:val="0"/>
                <w:i w:val="0"/>
                <w:sz w:val="17"/>
              </w:rPr>
              <w:t>29</w:t>
            </w:r>
          </w:p>
        </w:tc>
        <w:tc>
          <w:tcPr>
            <w:tcW w:type="dxa" w:w="2409"/>
            <w:shd w:val="clear" w:color="auto" w:fill="F2F5F8"/>
          </w:tcPr>
          <w:p>
            <w:pPr>
              <w:spacing w:after="40" w:before="40"/>
            </w:pPr>
            <w:r/>
            <w:r>
              <w:rPr>
                <w:rFonts w:ascii="Cambria" w:hAnsi="Cambria"/>
                <w:b w:val="0"/>
                <w:i w:val="0"/>
                <w:sz w:val="17"/>
              </w:rPr>
              <w:t>Outreach plan, sequences and messaging</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Week 6</w:t>
            </w:r>
          </w:p>
        </w:tc>
      </w:tr>
      <w:tr>
        <w:tc>
          <w:tcPr>
            <w:tcW w:type="dxa" w:w="2409"/>
          </w:tcPr>
          <w:p>
            <w:pPr>
              <w:spacing w:after="40" w:before="40"/>
            </w:pPr>
            <w:r/>
            <w:r>
              <w:rPr>
                <w:rFonts w:ascii="Cambria" w:hAnsi="Cambria"/>
                <w:b w:val="0"/>
                <w:i w:val="0"/>
                <w:sz w:val="17"/>
              </w:rPr>
              <w:t>30</w:t>
            </w:r>
          </w:p>
        </w:tc>
        <w:tc>
          <w:tcPr>
            <w:tcW w:type="dxa" w:w="2409"/>
          </w:tcPr>
          <w:p>
            <w:pPr>
              <w:spacing w:after="40" w:before="40"/>
            </w:pPr>
            <w:r/>
            <w:r>
              <w:rPr>
                <w:rFonts w:ascii="Cambria" w:hAnsi="Cambria"/>
                <w:b w:val="0"/>
                <w:i w:val="0"/>
                <w:sz w:val="17"/>
              </w:rPr>
              <w:t>Investor Log (maintained live)</w:t>
            </w:r>
          </w:p>
        </w:tc>
        <w:tc>
          <w:tcPr>
            <w:tcW w:type="dxa" w:w="2409"/>
          </w:tcPr>
          <w:p>
            <w:pPr>
              <w:spacing w:after="40" w:before="40"/>
            </w:pPr>
            <w:r/>
            <w:r>
              <w:rPr>
                <w:rFonts w:ascii="Cambria" w:hAnsi="Cambria"/>
                <w:b w:val="0"/>
                <w:i w:val="0"/>
                <w:sz w:val="17"/>
              </w:rPr>
              <w:t>Tracker</w:t>
            </w:r>
          </w:p>
        </w:tc>
        <w:tc>
          <w:tcPr>
            <w:tcW w:type="dxa" w:w="2409"/>
          </w:tcPr>
          <w:p>
            <w:pPr>
              <w:spacing w:after="40" w:before="40"/>
            </w:pPr>
            <w:r/>
            <w:r>
              <w:rPr>
                <w:rFonts w:ascii="Cambria" w:hAnsi="Cambria"/>
                <w:b w:val="0"/>
                <w:i w:val="0"/>
                <w:sz w:val="17"/>
              </w:rPr>
              <w:t>Weekly from Week 7</w:t>
            </w:r>
          </w:p>
        </w:tc>
      </w:tr>
      <w:tr>
        <w:tc>
          <w:tcPr>
            <w:tcW w:type="dxa" w:w="2409"/>
            <w:shd w:val="clear" w:color="auto" w:fill="F2F5F8"/>
          </w:tcPr>
          <w:p>
            <w:pPr>
              <w:spacing w:after="40" w:before="40"/>
            </w:pPr>
            <w:r/>
            <w:r>
              <w:rPr>
                <w:rFonts w:ascii="Cambria" w:hAnsi="Cambria"/>
                <w:b w:val="0"/>
                <w:i w:val="0"/>
                <w:sz w:val="17"/>
              </w:rPr>
              <w:t>31</w:t>
            </w:r>
          </w:p>
        </w:tc>
        <w:tc>
          <w:tcPr>
            <w:tcW w:type="dxa" w:w="2409"/>
            <w:shd w:val="clear" w:color="auto" w:fill="F2F5F8"/>
          </w:tcPr>
          <w:p>
            <w:pPr>
              <w:spacing w:after="40" w:before="40"/>
            </w:pPr>
            <w:r/>
            <w:r>
              <w:rPr>
                <w:rFonts w:ascii="Cambria" w:hAnsi="Cambria"/>
                <w:b w:val="0"/>
                <w:i w:val="0"/>
                <w:sz w:val="17"/>
              </w:rPr>
              <w:t>Weekly pipeline report</w:t>
            </w:r>
          </w:p>
        </w:tc>
        <w:tc>
          <w:tcPr>
            <w:tcW w:type="dxa" w:w="2409"/>
            <w:shd w:val="clear" w:color="auto" w:fill="F2F5F8"/>
          </w:tcPr>
          <w:p>
            <w:pPr>
              <w:spacing w:after="40" w:before="40"/>
            </w:pPr>
            <w:r/>
            <w:r>
              <w:rPr>
                <w:rFonts w:ascii="Cambria" w:hAnsi="Cambria"/>
                <w:b w:val="0"/>
                <w:i w:val="0"/>
                <w:sz w:val="17"/>
              </w:rPr>
              <w:t>Report</w:t>
            </w:r>
          </w:p>
        </w:tc>
        <w:tc>
          <w:tcPr>
            <w:tcW w:type="dxa" w:w="2409"/>
            <w:shd w:val="clear" w:color="auto" w:fill="F2F5F8"/>
          </w:tcPr>
          <w:p>
            <w:pPr>
              <w:spacing w:after="40" w:before="40"/>
            </w:pPr>
            <w:r/>
            <w:r>
              <w:rPr>
                <w:rFonts w:ascii="Cambria" w:hAnsi="Cambria"/>
                <w:b w:val="0"/>
                <w:i w:val="0"/>
                <w:sz w:val="17"/>
              </w:rPr>
              <w:t>Every week, Weeks 7–16</w:t>
            </w:r>
          </w:p>
        </w:tc>
      </w:tr>
      <w:tr>
        <w:tc>
          <w:tcPr>
            <w:tcW w:type="dxa" w:w="2409"/>
          </w:tcPr>
          <w:p>
            <w:pPr>
              <w:spacing w:after="40" w:before="40"/>
            </w:pPr>
            <w:r/>
            <w:r>
              <w:rPr>
                <w:rFonts w:ascii="Cambria" w:hAnsi="Cambria"/>
                <w:b w:val="0"/>
                <w:i w:val="0"/>
                <w:sz w:val="17"/>
              </w:rPr>
              <w:t>32</w:t>
            </w:r>
          </w:p>
        </w:tc>
        <w:tc>
          <w:tcPr>
            <w:tcW w:type="dxa" w:w="2409"/>
          </w:tcPr>
          <w:p>
            <w:pPr>
              <w:spacing w:after="40" w:before="40"/>
            </w:pPr>
            <w:r/>
            <w:r>
              <w:rPr>
                <w:rFonts w:ascii="Cambria" w:hAnsi="Cambria"/>
                <w:b w:val="0"/>
                <w:i w:val="0"/>
                <w:sz w:val="17"/>
              </w:rPr>
              <w:t>Meeting preparation briefs and debriefs</w:t>
            </w:r>
          </w:p>
        </w:tc>
        <w:tc>
          <w:tcPr>
            <w:tcW w:type="dxa" w:w="2409"/>
          </w:tcPr>
          <w:p>
            <w:pPr>
              <w:spacing w:after="40" w:before="40"/>
            </w:pPr>
            <w:r/>
            <w:r>
              <w:rPr>
                <w:rFonts w:ascii="Cambria" w:hAnsi="Cambria"/>
                <w:b w:val="0"/>
                <w:i w:val="0"/>
                <w:sz w:val="17"/>
              </w:rPr>
              <w:t>Documents</w:t>
            </w:r>
          </w:p>
        </w:tc>
        <w:tc>
          <w:tcPr>
            <w:tcW w:type="dxa" w:w="2409"/>
          </w:tcPr>
          <w:p>
            <w:pPr>
              <w:spacing w:after="40" w:before="40"/>
            </w:pPr>
            <w:r/>
            <w:r>
              <w:rPr>
                <w:rFonts w:ascii="Cambria" w:hAnsi="Cambria"/>
                <w:b w:val="0"/>
                <w:i w:val="0"/>
                <w:sz w:val="17"/>
              </w:rPr>
              <w:t>Per meeting</w:t>
            </w:r>
          </w:p>
        </w:tc>
      </w:tr>
      <w:tr>
        <w:tc>
          <w:tcPr>
            <w:tcW w:type="dxa" w:w="2409"/>
            <w:shd w:val="clear" w:color="auto" w:fill="F2F5F8"/>
          </w:tcPr>
          <w:p>
            <w:pPr>
              <w:spacing w:after="40" w:before="40"/>
            </w:pPr>
            <w:r/>
            <w:r>
              <w:rPr>
                <w:rFonts w:ascii="Cambria" w:hAnsi="Cambria"/>
                <w:b w:val="0"/>
                <w:i w:val="0"/>
                <w:sz w:val="17"/>
              </w:rPr>
              <w:t>33</w:t>
            </w:r>
          </w:p>
        </w:tc>
        <w:tc>
          <w:tcPr>
            <w:tcW w:type="dxa" w:w="2409"/>
            <w:shd w:val="clear" w:color="auto" w:fill="F2F5F8"/>
          </w:tcPr>
          <w:p>
            <w:pPr>
              <w:spacing w:after="40" w:before="40"/>
            </w:pPr>
            <w:r/>
            <w:r>
              <w:rPr>
                <w:rFonts w:ascii="Cambria" w:hAnsi="Cambria"/>
                <w:b w:val="0"/>
                <w:i w:val="0"/>
                <w:sz w:val="17"/>
              </w:rPr>
              <w:t>Investor feedback analysis and materials iteration</w:t>
            </w:r>
          </w:p>
        </w:tc>
        <w:tc>
          <w:tcPr>
            <w:tcW w:type="dxa" w:w="2409"/>
            <w:shd w:val="clear" w:color="auto" w:fill="F2F5F8"/>
          </w:tcPr>
          <w:p>
            <w:pPr>
              <w:spacing w:after="40" w:before="40"/>
            </w:pPr>
            <w:r/>
            <w:r>
              <w:rPr>
                <w:rFonts w:ascii="Cambria" w:hAnsi="Cambria"/>
                <w:b w:val="0"/>
                <w:i w:val="0"/>
                <w:sz w:val="17"/>
              </w:rPr>
              <w:t>Report + updated materials</w:t>
            </w:r>
          </w:p>
        </w:tc>
        <w:tc>
          <w:tcPr>
            <w:tcW w:type="dxa" w:w="2409"/>
            <w:shd w:val="clear" w:color="auto" w:fill="F2F5F8"/>
          </w:tcPr>
          <w:p>
            <w:pPr>
              <w:spacing w:after="40" w:before="40"/>
            </w:pPr>
            <w:r/>
            <w:r>
              <w:rPr>
                <w:rFonts w:ascii="Cambria" w:hAnsi="Cambria"/>
                <w:b w:val="0"/>
                <w:i w:val="0"/>
                <w:sz w:val="17"/>
              </w:rPr>
              <w:t>Rolling</w:t>
            </w:r>
          </w:p>
        </w:tc>
      </w:tr>
      <w:tr>
        <w:tc>
          <w:tcPr>
            <w:tcW w:type="dxa" w:w="2409"/>
          </w:tcPr>
          <w:p>
            <w:pPr>
              <w:spacing w:after="40" w:before="40"/>
            </w:pPr>
            <w:r/>
            <w:r>
              <w:rPr>
                <w:rFonts w:ascii="Cambria" w:hAnsi="Cambria"/>
                <w:b w:val="0"/>
                <w:i w:val="0"/>
                <w:sz w:val="17"/>
              </w:rPr>
              <w:t>34</w:t>
            </w:r>
          </w:p>
        </w:tc>
        <w:tc>
          <w:tcPr>
            <w:tcW w:type="dxa" w:w="2409"/>
          </w:tcPr>
          <w:p>
            <w:pPr>
              <w:spacing w:after="40" w:before="40"/>
            </w:pPr>
            <w:r/>
            <w:r>
              <w:rPr>
                <w:rFonts w:ascii="Cambria" w:hAnsi="Cambria"/>
                <w:b w:val="0"/>
                <w:i w:val="0"/>
                <w:sz w:val="17"/>
              </w:rPr>
              <w:t>Diligence response coordination pack</w:t>
            </w:r>
          </w:p>
        </w:tc>
        <w:tc>
          <w:tcPr>
            <w:tcW w:type="dxa" w:w="2409"/>
          </w:tcPr>
          <w:p>
            <w:pPr>
              <w:spacing w:after="40" w:before="40"/>
            </w:pPr>
            <w:r/>
            <w:r>
              <w:rPr>
                <w:rFonts w:ascii="Cambria" w:hAnsi="Cambria"/>
                <w:b w:val="0"/>
                <w:i w:val="0"/>
                <w:sz w:val="17"/>
              </w:rPr>
              <w:t>Documents</w:t>
            </w:r>
          </w:p>
        </w:tc>
        <w:tc>
          <w:tcPr>
            <w:tcW w:type="dxa" w:w="2409"/>
          </w:tcPr>
          <w:p>
            <w:pPr>
              <w:spacing w:after="40" w:before="40"/>
            </w:pPr>
            <w:r/>
            <w:r>
              <w:rPr>
                <w:rFonts w:ascii="Cambria" w:hAnsi="Cambria"/>
                <w:b w:val="0"/>
                <w:i w:val="0"/>
                <w:sz w:val="17"/>
              </w:rPr>
              <w:t>As required</w:t>
            </w:r>
          </w:p>
        </w:tc>
      </w:tr>
      <w:tr>
        <w:tc>
          <w:tcPr>
            <w:tcW w:type="dxa" w:w="2409"/>
            <w:shd w:val="clear" w:color="auto" w:fill="F2F5F8"/>
          </w:tcPr>
          <w:p>
            <w:pPr>
              <w:spacing w:after="40" w:before="40"/>
            </w:pPr>
            <w:r/>
            <w:r>
              <w:rPr>
                <w:rFonts w:ascii="Cambria" w:hAnsi="Cambria"/>
                <w:b w:val="0"/>
                <w:i w:val="0"/>
                <w:sz w:val="17"/>
              </w:rPr>
              <w:t>35</w:t>
            </w:r>
          </w:p>
        </w:tc>
        <w:tc>
          <w:tcPr>
            <w:tcW w:type="dxa" w:w="2409"/>
            <w:shd w:val="clear" w:color="auto" w:fill="F2F5F8"/>
          </w:tcPr>
          <w:p>
            <w:pPr>
              <w:spacing w:after="40" w:before="40"/>
            </w:pPr>
            <w:r/>
            <w:r>
              <w:rPr>
                <w:rFonts w:ascii="Cambria" w:hAnsi="Cambria"/>
                <w:b w:val="0"/>
                <w:i w:val="0"/>
                <w:sz w:val="17"/>
              </w:rPr>
              <w:t>Term sheet review and negotiation commentary</w:t>
            </w:r>
          </w:p>
        </w:tc>
        <w:tc>
          <w:tcPr>
            <w:tcW w:type="dxa" w:w="2409"/>
            <w:shd w:val="clear" w:color="auto" w:fill="F2F5F8"/>
          </w:tcPr>
          <w:p>
            <w:pPr>
              <w:spacing w:after="40" w:before="40"/>
            </w:pPr>
            <w:r/>
            <w:r>
              <w:rPr>
                <w:rFonts w:ascii="Cambria" w:hAnsi="Cambria"/>
                <w:b w:val="0"/>
                <w:i w:val="0"/>
                <w:sz w:val="17"/>
              </w:rPr>
              <w:t>Document</w:t>
            </w:r>
          </w:p>
        </w:tc>
        <w:tc>
          <w:tcPr>
            <w:tcW w:type="dxa" w:w="2409"/>
            <w:shd w:val="clear" w:color="auto" w:fill="F2F5F8"/>
          </w:tcPr>
          <w:p>
            <w:pPr>
              <w:spacing w:after="40" w:before="40"/>
            </w:pPr>
            <w:r/>
            <w:r>
              <w:rPr>
                <w:rFonts w:ascii="Cambria" w:hAnsi="Cambria"/>
                <w:b w:val="0"/>
                <w:i w:val="0"/>
                <w:sz w:val="17"/>
              </w:rPr>
              <w:t>On receipt</w:t>
            </w:r>
          </w:p>
        </w:tc>
      </w:tr>
      <w:tr>
        <w:tc>
          <w:tcPr>
            <w:tcW w:type="dxa" w:w="2409"/>
          </w:tcPr>
          <w:p>
            <w:pPr>
              <w:spacing w:after="40" w:before="40"/>
            </w:pPr>
            <w:r/>
            <w:r>
              <w:rPr>
                <w:rFonts w:ascii="Cambria" w:hAnsi="Cambria"/>
                <w:b w:val="0"/>
                <w:i w:val="0"/>
                <w:sz w:val="17"/>
              </w:rPr>
              <w:t>36</w:t>
            </w:r>
          </w:p>
        </w:tc>
        <w:tc>
          <w:tcPr>
            <w:tcW w:type="dxa" w:w="2409"/>
          </w:tcPr>
          <w:p>
            <w:pPr>
              <w:spacing w:after="40" w:before="40"/>
            </w:pPr>
            <w:r/>
            <w:r>
              <w:rPr>
                <w:rFonts w:ascii="Cambria" w:hAnsi="Cambria"/>
                <w:b w:val="0"/>
                <w:i w:val="0"/>
                <w:sz w:val="17"/>
              </w:rPr>
              <w:t>Dilution and offer comparison model</w:t>
            </w:r>
          </w:p>
        </w:tc>
        <w:tc>
          <w:tcPr>
            <w:tcW w:type="dxa" w:w="2409"/>
          </w:tcPr>
          <w:p>
            <w:pPr>
              <w:spacing w:after="40" w:before="40"/>
            </w:pPr>
            <w:r/>
            <w:r>
              <w:rPr>
                <w:rFonts w:ascii="Cambria" w:hAnsi="Cambria"/>
                <w:b w:val="0"/>
                <w:i w:val="0"/>
                <w:sz w:val="17"/>
              </w:rPr>
              <w:t>Excel</w:t>
            </w:r>
          </w:p>
        </w:tc>
        <w:tc>
          <w:tcPr>
            <w:tcW w:type="dxa" w:w="2409"/>
          </w:tcPr>
          <w:p>
            <w:pPr>
              <w:spacing w:after="40" w:before="40"/>
            </w:pPr>
            <w:r/>
            <w:r>
              <w:rPr>
                <w:rFonts w:ascii="Cambria" w:hAnsi="Cambria"/>
                <w:b w:val="0"/>
                <w:i w:val="0"/>
                <w:sz w:val="17"/>
              </w:rPr>
              <w:t>On receipt</w:t>
            </w:r>
          </w:p>
        </w:tc>
      </w:tr>
      <w:tr>
        <w:tc>
          <w:tcPr>
            <w:tcW w:type="dxa" w:w="2409"/>
            <w:shd w:val="clear" w:color="auto" w:fill="F2F5F8"/>
          </w:tcPr>
          <w:p>
            <w:pPr>
              <w:spacing w:after="40" w:before="40"/>
            </w:pPr>
            <w:r/>
            <w:r>
              <w:rPr>
                <w:rFonts w:ascii="Cambria" w:hAnsi="Cambria"/>
                <w:b w:val="0"/>
                <w:i w:val="0"/>
                <w:sz w:val="17"/>
              </w:rPr>
              <w:t>37</w:t>
            </w:r>
          </w:p>
        </w:tc>
        <w:tc>
          <w:tcPr>
            <w:tcW w:type="dxa" w:w="2409"/>
            <w:shd w:val="clear" w:color="auto" w:fill="F2F5F8"/>
          </w:tcPr>
          <w:p>
            <w:pPr>
              <w:spacing w:after="40" w:before="40"/>
            </w:pPr>
            <w:r/>
            <w:r>
              <w:rPr>
                <w:rFonts w:ascii="Cambria" w:hAnsi="Cambria"/>
                <w:b w:val="0"/>
                <w:i w:val="0"/>
                <w:sz w:val="17"/>
              </w:rPr>
              <w:t>Investor update template and reporting structure</w:t>
            </w:r>
          </w:p>
        </w:tc>
        <w:tc>
          <w:tcPr>
            <w:tcW w:type="dxa" w:w="2409"/>
            <w:shd w:val="clear" w:color="auto" w:fill="F2F5F8"/>
          </w:tcPr>
          <w:p>
            <w:pPr>
              <w:spacing w:after="40" w:before="40"/>
            </w:pPr>
            <w:r/>
            <w:r>
              <w:rPr>
                <w:rFonts w:ascii="Cambria" w:hAnsi="Cambria"/>
                <w:b w:val="0"/>
                <w:i w:val="0"/>
                <w:sz w:val="17"/>
              </w:rPr>
              <w:t>Template</w:t>
            </w:r>
          </w:p>
        </w:tc>
        <w:tc>
          <w:tcPr>
            <w:tcW w:type="dxa" w:w="2409"/>
            <w:shd w:val="clear" w:color="auto" w:fill="F2F5F8"/>
          </w:tcPr>
          <w:p>
            <w:pPr>
              <w:spacing w:after="40" w:before="40"/>
            </w:pPr>
            <w:r/>
            <w:r>
              <w:rPr>
                <w:rFonts w:ascii="Cambria" w:hAnsi="Cambria"/>
                <w:b w:val="0"/>
                <w:i w:val="0"/>
                <w:sz w:val="17"/>
              </w:rPr>
              <w:t>At close</w:t>
            </w:r>
          </w:p>
        </w:tc>
      </w:tr>
      <w:tr>
        <w:tc>
          <w:tcPr>
            <w:tcW w:type="dxa" w:w="2409"/>
          </w:tcPr>
          <w:p>
            <w:pPr>
              <w:spacing w:after="40" w:before="40"/>
            </w:pPr>
            <w:r/>
            <w:r>
              <w:rPr>
                <w:rFonts w:ascii="Cambria" w:hAnsi="Cambria"/>
                <w:b w:val="0"/>
                <w:i w:val="0"/>
                <w:sz w:val="17"/>
              </w:rPr>
              <w:t>38</w:t>
            </w:r>
          </w:p>
        </w:tc>
        <w:tc>
          <w:tcPr>
            <w:tcW w:type="dxa" w:w="2409"/>
          </w:tcPr>
          <w:p>
            <w:pPr>
              <w:spacing w:after="40" w:before="40"/>
            </w:pPr>
            <w:r/>
            <w:r>
              <w:rPr>
                <w:rFonts w:ascii="Cambria" w:hAnsi="Cambria"/>
                <w:b w:val="0"/>
                <w:i w:val="0"/>
                <w:sz w:val="17"/>
              </w:rPr>
              <w:t>Engagement closing report and handover</w:t>
            </w:r>
          </w:p>
        </w:tc>
        <w:tc>
          <w:tcPr>
            <w:tcW w:type="dxa" w:w="2409"/>
          </w:tcPr>
          <w:p>
            <w:pPr>
              <w:spacing w:after="40" w:before="40"/>
            </w:pPr>
            <w:r/>
            <w:r>
              <w:rPr>
                <w:rFonts w:ascii="Cambria" w:hAnsi="Cambria"/>
                <w:b w:val="0"/>
                <w:i w:val="0"/>
                <w:sz w:val="17"/>
              </w:rPr>
              <w:t>Report</w:t>
            </w:r>
          </w:p>
        </w:tc>
        <w:tc>
          <w:tcPr>
            <w:tcW w:type="dxa" w:w="2409"/>
          </w:tcPr>
          <w:p>
            <w:pPr>
              <w:spacing w:after="40" w:before="40"/>
            </w:pPr>
            <w:r/>
            <w:r>
              <w:rPr>
                <w:rFonts w:ascii="Cambria" w:hAnsi="Cambria"/>
                <w:b w:val="0"/>
                <w:i w:val="0"/>
                <w:sz w:val="17"/>
              </w:rPr>
              <w:t>At close</w:t>
            </w:r>
          </w:p>
        </w:tc>
      </w:tr>
    </w:tbl>
    <w:p>
      <w:pPr>
        <w:spacing w:after="40"/>
      </w:pPr>
    </w:p>
    <w:p>
      <w:pPr>
        <w:spacing w:before="120" w:after="120"/>
        <w:pBdr>
          <w:bottom w:val="single" w:sz="6" w:space="1" w:color="C2CCD6"/>
        </w:pBdr>
      </w:pPr>
    </w:p>
    <w:p>
      <w:pPr>
        <w:keepNext/>
        <w:spacing w:before="320" w:after="100"/>
      </w:pPr>
      <w:r>
        <w:rPr>
          <w:rFonts w:ascii="Calibri" w:hAnsi="Calibri"/>
          <w:b/>
          <w:i w:val="0"/>
          <w:color w:val="0F2C4A"/>
          <w:sz w:val="27"/>
        </w:rPr>
        <w:t>8. What Btakka Must Provide</w:t>
      </w:r>
    </w:p>
    <w:p>
      <w:pPr>
        <w:spacing w:after="120"/>
      </w:pPr>
      <w:r>
        <w:rPr>
          <w:rFonts w:ascii="Cambria" w:hAnsi="Cambria"/>
          <w:b w:val="0"/>
          <w:i w:val="0"/>
        </w:rPr>
        <w:t xml:space="preserve">The engagement cannot start without the Client Input Pack. These seven items are required within </w:t>
      </w:r>
      <w:r>
        <w:rPr>
          <w:rFonts w:ascii="Cambria" w:hAnsi="Cambria"/>
          <w:b/>
          <w:i w:val="0"/>
        </w:rPr>
        <w:t>five business days of signature</w:t>
      </w:r>
      <w:r>
        <w:rPr>
          <w:rFonts w:ascii="Cambria" w:hAnsi="Cambria"/>
          <w:b w:val="0"/>
          <w:i w:val="0"/>
        </w:rPr>
        <w:t>, and the Phase 1 clock starts on the date the last of them is received.</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Item</w:t>
            </w:r>
          </w:p>
        </w:tc>
        <w:tc>
          <w:tcPr>
            <w:tcW w:type="dxa" w:w="2409"/>
            <w:shd w:val="clear" w:color="auto" w:fill="0F2C4A"/>
          </w:tcPr>
          <w:p>
            <w:pPr>
              <w:spacing w:after="40" w:before="40"/>
            </w:pPr>
            <w:r/>
            <w:r>
              <w:rPr>
                <w:rFonts w:ascii="Calibri" w:hAnsi="Calibri"/>
                <w:b/>
                <w:i w:val="0"/>
                <w:color w:val="FFFFFF"/>
                <w:sz w:val="17"/>
              </w:rPr>
              <w:t>What is needed</w:t>
            </w:r>
          </w:p>
        </w:tc>
        <w:tc>
          <w:tcPr>
            <w:tcW w:type="dxa" w:w="2409"/>
            <w:shd w:val="clear" w:color="auto" w:fill="0F2C4A"/>
          </w:tcPr>
          <w:p>
            <w:pPr>
              <w:spacing w:after="40" w:before="40"/>
            </w:pPr>
            <w:r/>
            <w:r>
              <w:rPr>
                <w:rFonts w:ascii="Calibri" w:hAnsi="Calibri"/>
                <w:b/>
                <w:i w:val="0"/>
                <w:color w:val="FFFFFF"/>
                <w:sz w:val="17"/>
              </w:rPr>
              <w:t>Format</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i w:val="0"/>
                <w:sz w:val="17"/>
              </w:rPr>
              <w:t>Company profile</w:t>
            </w:r>
          </w:p>
        </w:tc>
        <w:tc>
          <w:tcPr>
            <w:tcW w:type="dxa" w:w="2409"/>
          </w:tcPr>
          <w:p>
            <w:pPr>
              <w:spacing w:after="40" w:before="40"/>
            </w:pPr>
            <w:r/>
            <w:r>
              <w:rPr>
                <w:rFonts w:ascii="Cambria" w:hAnsi="Cambria"/>
                <w:b w:val="0"/>
                <w:i w:val="0"/>
                <w:sz w:val="17"/>
              </w:rPr>
              <w:t>Company overview, history, milestones, legal structure, what Btakka does in the founders' own words</w:t>
            </w:r>
          </w:p>
        </w:tc>
        <w:tc>
          <w:tcPr>
            <w:tcW w:type="dxa" w:w="2409"/>
          </w:tcPr>
          <w:p>
            <w:pPr>
              <w:spacing w:after="40" w:before="40"/>
            </w:pPr>
            <w:r/>
            <w:r>
              <w:rPr>
                <w:rFonts w:ascii="Cambria" w:hAnsi="Cambria"/>
                <w:b w:val="0"/>
                <w:i w:val="0"/>
                <w:sz w:val="17"/>
              </w:rPr>
              <w:t>Document</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i w:val="0"/>
                <w:sz w:val="17"/>
              </w:rPr>
              <w:t>HR plan</w:t>
            </w:r>
          </w:p>
        </w:tc>
        <w:tc>
          <w:tcPr>
            <w:tcW w:type="dxa" w:w="2409"/>
            <w:shd w:val="clear" w:color="auto" w:fill="F2F5F8"/>
          </w:tcPr>
          <w:p>
            <w:pPr>
              <w:spacing w:after="40" w:before="40"/>
            </w:pPr>
            <w:r/>
            <w:r>
              <w:rPr>
                <w:rFonts w:ascii="Cambria" w:hAnsi="Cambria"/>
                <w:b w:val="0"/>
                <w:i w:val="0"/>
                <w:sz w:val="17"/>
              </w:rPr>
              <w:t>Current headcount by role, current salary cost, planned hires with roles, timing and cost</w:t>
            </w:r>
          </w:p>
        </w:tc>
        <w:tc>
          <w:tcPr>
            <w:tcW w:type="dxa" w:w="2409"/>
            <w:shd w:val="clear" w:color="auto" w:fill="F2F5F8"/>
          </w:tcPr>
          <w:p>
            <w:pPr>
              <w:spacing w:after="40" w:before="40"/>
            </w:pPr>
            <w:r/>
            <w:r>
              <w:rPr>
                <w:rFonts w:ascii="Cambria" w:hAnsi="Cambria"/>
                <w:b w:val="0"/>
                <w:i w:val="0"/>
                <w:sz w:val="17"/>
              </w:rPr>
              <w:t>Excel or document</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i w:val="0"/>
                <w:sz w:val="17"/>
              </w:rPr>
              <w:t>Product roadmap</w:t>
            </w:r>
          </w:p>
        </w:tc>
        <w:tc>
          <w:tcPr>
            <w:tcW w:type="dxa" w:w="2409"/>
          </w:tcPr>
          <w:p>
            <w:pPr>
              <w:spacing w:after="40" w:before="40"/>
            </w:pPr>
            <w:r/>
            <w:r>
              <w:rPr>
                <w:rFonts w:ascii="Cambria" w:hAnsi="Cambria"/>
                <w:b w:val="0"/>
                <w:i w:val="0"/>
                <w:sz w:val="17"/>
              </w:rPr>
              <w:t>6–12 month development plan with milestones for both applications</w:t>
            </w:r>
          </w:p>
        </w:tc>
        <w:tc>
          <w:tcPr>
            <w:tcW w:type="dxa" w:w="2409"/>
          </w:tcPr>
          <w:p>
            <w:pPr>
              <w:spacing w:after="40" w:before="40"/>
            </w:pPr>
            <w:r/>
            <w:r>
              <w:rPr>
                <w:rFonts w:ascii="Cambria" w:hAnsi="Cambria"/>
                <w:b w:val="0"/>
                <w:i w:val="0"/>
                <w:sz w:val="17"/>
              </w:rPr>
              <w:t>Document or board export</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i w:val="0"/>
                <w:sz w:val="17"/>
              </w:rPr>
              <w:t>App screenshots</w:t>
            </w:r>
          </w:p>
        </w:tc>
        <w:tc>
          <w:tcPr>
            <w:tcW w:type="dxa" w:w="2409"/>
            <w:shd w:val="clear" w:color="auto" w:fill="F2F5F8"/>
          </w:tcPr>
          <w:p>
            <w:pPr>
              <w:spacing w:after="40" w:before="40"/>
            </w:pPr>
            <w:r/>
            <w:r>
              <w:rPr>
                <w:rFonts w:ascii="Cambria" w:hAnsi="Cambria"/>
                <w:b w:val="0"/>
                <w:i w:val="0"/>
                <w:sz w:val="17"/>
              </w:rPr>
              <w:t>High-resolution screenshots of both applications covering the core user journeys</w:t>
            </w:r>
          </w:p>
        </w:tc>
        <w:tc>
          <w:tcPr>
            <w:tcW w:type="dxa" w:w="2409"/>
            <w:shd w:val="clear" w:color="auto" w:fill="F2F5F8"/>
          </w:tcPr>
          <w:p>
            <w:pPr>
              <w:spacing w:after="40" w:before="40"/>
            </w:pPr>
            <w:r/>
            <w:r>
              <w:rPr>
                <w:rFonts w:ascii="Cambria" w:hAnsi="Cambria"/>
                <w:b w:val="0"/>
                <w:i w:val="0"/>
                <w:sz w:val="17"/>
              </w:rPr>
              <w:t>PNG or JPG, high resolution</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i w:val="0"/>
                <w:sz w:val="17"/>
              </w:rPr>
              <w:t>Founding team CVs and photos</w:t>
            </w:r>
          </w:p>
        </w:tc>
        <w:tc>
          <w:tcPr>
            <w:tcW w:type="dxa" w:w="2409"/>
          </w:tcPr>
          <w:p>
            <w:pPr>
              <w:spacing w:after="40" w:before="40"/>
            </w:pPr>
            <w:r/>
            <w:r>
              <w:rPr>
                <w:rFonts w:ascii="Cambria" w:hAnsi="Cambria"/>
                <w:b w:val="0"/>
                <w:i w:val="0"/>
                <w:sz w:val="17"/>
              </w:rPr>
              <w:t>Full CV for each founder and key team member, plus a professional photograph of each</w:t>
            </w:r>
          </w:p>
        </w:tc>
        <w:tc>
          <w:tcPr>
            <w:tcW w:type="dxa" w:w="2409"/>
          </w:tcPr>
          <w:p>
            <w:pPr>
              <w:spacing w:after="40" w:before="40"/>
            </w:pPr>
            <w:r/>
            <w:r>
              <w:rPr>
                <w:rFonts w:ascii="Cambria" w:hAnsi="Cambria"/>
                <w:b w:val="0"/>
                <w:i w:val="0"/>
                <w:sz w:val="17"/>
              </w:rPr>
              <w:t>PDF + image files</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i w:val="0"/>
                <w:sz w:val="17"/>
              </w:rPr>
              <w:t>Brand guidelines</w:t>
            </w:r>
          </w:p>
        </w:tc>
        <w:tc>
          <w:tcPr>
            <w:tcW w:type="dxa" w:w="2409"/>
            <w:shd w:val="clear" w:color="auto" w:fill="F2F5F8"/>
          </w:tcPr>
          <w:p>
            <w:pPr>
              <w:spacing w:after="40" w:before="40"/>
            </w:pPr>
            <w:r/>
            <w:r>
              <w:rPr>
                <w:rFonts w:ascii="Cambria" w:hAnsi="Cambria"/>
                <w:b w:val="0"/>
                <w:i w:val="0"/>
                <w:sz w:val="17"/>
              </w:rPr>
              <w:t>Logo files, colour palette, typography, and any existing brand or design system</w:t>
            </w:r>
          </w:p>
        </w:tc>
        <w:tc>
          <w:tcPr>
            <w:tcW w:type="dxa" w:w="2409"/>
            <w:shd w:val="clear" w:color="auto" w:fill="F2F5F8"/>
          </w:tcPr>
          <w:p>
            <w:pPr>
              <w:spacing w:after="40" w:before="40"/>
            </w:pPr>
            <w:r/>
            <w:r>
              <w:rPr>
                <w:rFonts w:ascii="Cambria" w:hAnsi="Cambria"/>
                <w:b w:val="0"/>
                <w:i w:val="0"/>
                <w:sz w:val="17"/>
              </w:rPr>
              <w:t>Brand book + vector logo files</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i w:val="0"/>
                <w:sz w:val="17"/>
              </w:rPr>
              <w:t>Business model</w:t>
            </w:r>
          </w:p>
        </w:tc>
        <w:tc>
          <w:tcPr>
            <w:tcW w:type="dxa" w:w="2409"/>
          </w:tcPr>
          <w:p>
            <w:pPr>
              <w:spacing w:after="40" w:before="40"/>
            </w:pPr>
            <w:r/>
            <w:r>
              <w:rPr>
                <w:rFonts w:ascii="Cambria" w:hAnsi="Cambria"/>
                <w:b w:val="0"/>
                <w:i w:val="0"/>
                <w:sz w:val="17"/>
              </w:rPr>
              <w:t>How Btakka makes money today and intends to, across both product lines, with pricing</w:t>
            </w:r>
          </w:p>
        </w:tc>
        <w:tc>
          <w:tcPr>
            <w:tcW w:type="dxa" w:w="2409"/>
          </w:tcPr>
          <w:p>
            <w:pPr>
              <w:spacing w:after="40" w:before="40"/>
            </w:pPr>
            <w:r/>
            <w:r>
              <w:rPr>
                <w:rFonts w:ascii="Cambria" w:hAnsi="Cambria"/>
                <w:b w:val="0"/>
                <w:i w:val="0"/>
                <w:sz w:val="17"/>
              </w:rPr>
              <w:t>Document</w:t>
            </w:r>
          </w:p>
        </w:tc>
      </w:tr>
    </w:tbl>
    <w:p>
      <w:pPr>
        <w:spacing w:after="40"/>
      </w:pPr>
    </w:p>
    <w:p>
      <w:pPr>
        <w:spacing w:after="120"/>
      </w:pPr>
      <w:r>
        <w:rPr>
          <w:rFonts w:ascii="Cambria" w:hAnsi="Cambria"/>
          <w:b w:val="0"/>
          <w:i w:val="0"/>
        </w:rPr>
        <w:t xml:space="preserve">In addition, the items marked </w:t>
      </w:r>
      <w:r>
        <w:rPr>
          <w:rFonts w:ascii="Cambria" w:hAnsi="Cambria"/>
          <w:b/>
          <w:i w:val="0"/>
        </w:rPr>
        <w:t>Client</w:t>
      </w:r>
      <w:r>
        <w:rPr>
          <w:rFonts w:ascii="Cambria" w:hAnsi="Cambria"/>
          <w:b w:val="0"/>
          <w:i w:val="0"/>
        </w:rPr>
        <w:t xml:space="preserve"> in Schedule A are required — principally the legal and corporate documents, historic financial statements, bank balances, traction data and customer evidence. The Consultant will issue a single consolidated request list at Workshop W1 so that nothing is requested twice.</w:t>
      </w:r>
    </w:p>
    <w:p>
      <w:pPr>
        <w:spacing w:after="120"/>
      </w:pPr>
      <w:r>
        <w:rPr>
          <w:rFonts w:ascii="Cambria" w:hAnsi="Cambria"/>
          <w:b/>
          <w:i w:val="0"/>
        </w:rPr>
        <w:t>Btakka must also provide:</w:t>
      </w:r>
      <w:r>
        <w:rPr>
          <w:rFonts w:ascii="Cambria" w:hAnsi="Cambria"/>
          <w:b w:val="0"/>
          <w:i w:val="0"/>
        </w:rPr>
        <w:t xml:space="preserve"> a single named point of contact empowered to make decisions; founder availability for the five workshops; responses to information requests within five business days; and responses to introduced investors within three business days (Clause 5).</w:t>
      </w:r>
    </w:p>
    <w:p>
      <w:pPr>
        <w:spacing w:before="120" w:after="120"/>
        <w:pBdr>
          <w:bottom w:val="single" w:sz="6" w:space="1" w:color="C2CCD6"/>
        </w:pBdr>
      </w:pPr>
    </w:p>
    <w:p>
      <w:pPr>
        <w:keepNext/>
        <w:spacing w:before="320" w:after="100"/>
      </w:pPr>
      <w:r>
        <w:rPr>
          <w:rFonts w:ascii="Calibri" w:hAnsi="Calibri"/>
          <w:b/>
          <w:i w:val="0"/>
          <w:color w:val="0F2C4A"/>
          <w:sz w:val="27"/>
        </w:rPr>
        <w:t>9. Timeline</w:t>
      </w:r>
    </w:p>
    <w:p>
      <w:pPr>
        <w:keepNext/>
        <w:spacing w:before="240" w:after="80"/>
      </w:pPr>
      <w:r>
        <w:rPr>
          <w:rFonts w:ascii="Calibri" w:hAnsi="Calibri"/>
          <w:b/>
          <w:i w:val="0"/>
          <w:color w:val="1C4A73"/>
          <w:sz w:val="23"/>
        </w:rPr>
        <w:t>Phase 1 — Investment Readiness: 4 weeks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Week</w:t>
            </w:r>
          </w:p>
        </w:tc>
        <w:tc>
          <w:tcPr>
            <w:tcW w:type="dxa" w:w="2409"/>
            <w:shd w:val="clear" w:color="auto" w:fill="0F2C4A"/>
          </w:tcPr>
          <w:p>
            <w:pPr>
              <w:spacing w:after="40" w:before="40"/>
            </w:pPr>
            <w:r/>
            <w:r>
              <w:rPr>
                <w:rFonts w:ascii="Calibri" w:hAnsi="Calibri"/>
                <w:b/>
                <w:i w:val="0"/>
                <w:color w:val="FFFFFF"/>
                <w:sz w:val="17"/>
              </w:rPr>
              <w:t>Focus</w:t>
            </w:r>
          </w:p>
        </w:tc>
        <w:tc>
          <w:tcPr>
            <w:tcW w:type="dxa" w:w="2409"/>
            <w:shd w:val="clear" w:color="auto" w:fill="0F2C4A"/>
          </w:tcPr>
          <w:p>
            <w:pPr>
              <w:spacing w:after="40" w:before="40"/>
            </w:pPr>
            <w:r/>
            <w:r>
              <w:rPr>
                <w:rFonts w:ascii="Calibri" w:hAnsi="Calibri"/>
                <w:b/>
                <w:i w:val="0"/>
                <w:color w:val="FFFFFF"/>
                <w:sz w:val="17"/>
              </w:rPr>
              <w:t>Workshop</w:t>
            </w:r>
          </w:p>
        </w:tc>
        <w:tc>
          <w:tcPr>
            <w:tcW w:type="dxa" w:w="2409"/>
            <w:shd w:val="clear" w:color="auto" w:fill="0F2C4A"/>
          </w:tcPr>
          <w:p>
            <w:pPr>
              <w:spacing w:after="40" w:before="40"/>
            </w:pPr>
            <w:r/>
            <w:r>
              <w:rPr>
                <w:rFonts w:ascii="Calibri" w:hAnsi="Calibri"/>
                <w:b/>
                <w:i w:val="0"/>
                <w:color w:val="FFFFFF"/>
                <w:sz w:val="17"/>
              </w:rPr>
              <w:t>Milestone</w:t>
            </w:r>
          </w:p>
        </w:tc>
      </w:tr>
      <w:tr>
        <w:tc>
          <w:tcPr>
            <w:tcW w:type="dxa" w:w="2409"/>
          </w:tcPr>
          <w:p>
            <w:pPr>
              <w:spacing w:after="40" w:before="40"/>
            </w:pPr>
            <w:r/>
            <w:r>
              <w:rPr>
                <w:rFonts w:ascii="Cambria" w:hAnsi="Cambria"/>
                <w:b/>
                <w:i w:val="0"/>
                <w:sz w:val="17"/>
              </w:rPr>
              <w:t>Week 0</w:t>
            </w:r>
          </w:p>
        </w:tc>
        <w:tc>
          <w:tcPr>
            <w:tcW w:type="dxa" w:w="2409"/>
          </w:tcPr>
          <w:p>
            <w:pPr>
              <w:spacing w:after="40" w:before="40"/>
            </w:pPr>
            <w:r/>
            <w:r>
              <w:rPr>
                <w:rFonts w:ascii="Cambria" w:hAnsi="Cambria"/>
                <w:b w:val="0"/>
                <w:i w:val="0"/>
                <w:sz w:val="17"/>
              </w:rPr>
              <w:t>Signature, deposit, NDA, Client Input Pack request, data room provisioning</w:t>
            </w:r>
          </w:p>
        </w:tc>
        <w:tc>
          <w:tcPr>
            <w:tcW w:type="dxa" w:w="2409"/>
          </w:tcPr>
          <w:p>
            <w:pPr>
              <w:spacing w:after="40" w:before="40"/>
            </w:pPr>
            <w:r/>
            <w:r>
              <w:rPr>
                <w:rFonts w:ascii="Cambria" w:hAnsi="Cambria"/>
                <w:b w:val="0"/>
                <w:i w:val="0"/>
                <w:sz w:val="17"/>
              </w:rPr>
              <w:t>—</w:t>
            </w:r>
          </w:p>
        </w:tc>
        <w:tc>
          <w:tcPr>
            <w:tcW w:type="dxa" w:w="2409"/>
          </w:tcPr>
          <w:p>
            <w:pPr>
              <w:spacing w:after="40" w:before="40"/>
            </w:pPr>
            <w:r/>
            <w:r>
              <w:rPr>
                <w:rFonts w:ascii="Cambria" w:hAnsi="Cambria"/>
                <w:b w:val="0"/>
                <w:i w:val="0"/>
                <w:sz w:val="17"/>
              </w:rPr>
              <w:t>Engagement mobilised</w:t>
            </w:r>
          </w:p>
        </w:tc>
      </w:tr>
      <w:tr>
        <w:tc>
          <w:tcPr>
            <w:tcW w:type="dxa" w:w="2409"/>
            <w:shd w:val="clear" w:color="auto" w:fill="F2F5F8"/>
          </w:tcPr>
          <w:p>
            <w:pPr>
              <w:spacing w:after="40" w:before="40"/>
            </w:pPr>
            <w:r/>
            <w:r>
              <w:rPr>
                <w:rFonts w:ascii="Cambria" w:hAnsi="Cambria"/>
                <w:b/>
                <w:i w:val="0"/>
                <w:sz w:val="17"/>
              </w:rPr>
              <w:t>Week 1</w:t>
            </w:r>
          </w:p>
        </w:tc>
        <w:tc>
          <w:tcPr>
            <w:tcW w:type="dxa" w:w="2409"/>
            <w:shd w:val="clear" w:color="auto" w:fill="F2F5F8"/>
          </w:tcPr>
          <w:p>
            <w:pPr>
              <w:spacing w:after="40" w:before="40"/>
            </w:pPr>
            <w:r/>
            <w:r>
              <w:rPr>
                <w:rFonts w:ascii="Cambria" w:hAnsi="Cambria"/>
                <w:b w:val="0"/>
                <w:i w:val="0"/>
                <w:sz w:val="17"/>
              </w:rPr>
              <w:t>Discovery, business deep dive, information collection, data room architecture</w:t>
            </w:r>
          </w:p>
        </w:tc>
        <w:tc>
          <w:tcPr>
            <w:tcW w:type="dxa" w:w="2409"/>
            <w:shd w:val="clear" w:color="auto" w:fill="F2F5F8"/>
          </w:tcPr>
          <w:p>
            <w:pPr>
              <w:spacing w:after="40" w:before="40"/>
            </w:pPr>
            <w:r/>
            <w:r>
              <w:rPr>
                <w:rFonts w:ascii="Cambria" w:hAnsi="Cambria"/>
                <w:b/>
                <w:i w:val="0"/>
                <w:sz w:val="17"/>
              </w:rPr>
              <w:t>W1</w:t>
            </w:r>
          </w:p>
        </w:tc>
        <w:tc>
          <w:tcPr>
            <w:tcW w:type="dxa" w:w="2409"/>
            <w:shd w:val="clear" w:color="auto" w:fill="F2F5F8"/>
          </w:tcPr>
          <w:p>
            <w:pPr>
              <w:spacing w:after="40" w:before="40"/>
            </w:pPr>
            <w:r/>
            <w:r>
              <w:rPr>
                <w:rFonts w:ascii="Cambria" w:hAnsi="Cambria"/>
                <w:b w:val="0"/>
                <w:i w:val="0"/>
                <w:sz w:val="17"/>
              </w:rPr>
              <w:t>Information request issued; data room structure live</w:t>
            </w:r>
          </w:p>
        </w:tc>
      </w:tr>
      <w:tr>
        <w:tc>
          <w:tcPr>
            <w:tcW w:type="dxa" w:w="2409"/>
          </w:tcPr>
          <w:p>
            <w:pPr>
              <w:spacing w:after="40" w:before="40"/>
            </w:pPr>
            <w:r/>
            <w:r>
              <w:rPr>
                <w:rFonts w:ascii="Cambria" w:hAnsi="Cambria"/>
                <w:b/>
                <w:i w:val="0"/>
                <w:sz w:val="17"/>
              </w:rPr>
              <w:t>Week 2</w:t>
            </w:r>
          </w:p>
        </w:tc>
        <w:tc>
          <w:tcPr>
            <w:tcW w:type="dxa" w:w="2409"/>
          </w:tcPr>
          <w:p>
            <w:pPr>
              <w:spacing w:after="40" w:before="40"/>
            </w:pPr>
            <w:r/>
            <w:r>
              <w:rPr>
                <w:rFonts w:ascii="Cambria" w:hAnsi="Cambria"/>
                <w:b w:val="0"/>
                <w:i w:val="0"/>
                <w:sz w:val="17"/>
              </w:rPr>
              <w:t>Market sizing, competitive analysis, thesis, model build begins</w:t>
            </w:r>
          </w:p>
        </w:tc>
        <w:tc>
          <w:tcPr>
            <w:tcW w:type="dxa" w:w="2409"/>
          </w:tcPr>
          <w:p>
            <w:pPr>
              <w:spacing w:after="40" w:before="40"/>
            </w:pPr>
            <w:r/>
            <w:r>
              <w:rPr>
                <w:rFonts w:ascii="Cambria" w:hAnsi="Cambria"/>
                <w:b/>
                <w:i w:val="0"/>
                <w:sz w:val="17"/>
              </w:rPr>
              <w:t>W2</w:t>
            </w:r>
          </w:p>
        </w:tc>
        <w:tc>
          <w:tcPr>
            <w:tcW w:type="dxa" w:w="2409"/>
          </w:tcPr>
          <w:p>
            <w:pPr>
              <w:spacing w:after="40" w:before="40"/>
            </w:pPr>
            <w:r/>
            <w:r>
              <w:rPr>
                <w:rFonts w:ascii="Cambria" w:hAnsi="Cambria"/>
                <w:b w:val="0"/>
                <w:i w:val="0"/>
                <w:sz w:val="17"/>
              </w:rPr>
              <w:t>Assumption book agreed; market pack delivered</w:t>
            </w:r>
          </w:p>
        </w:tc>
      </w:tr>
      <w:tr>
        <w:tc>
          <w:tcPr>
            <w:tcW w:type="dxa" w:w="2409"/>
            <w:shd w:val="clear" w:color="auto" w:fill="F2F5F8"/>
          </w:tcPr>
          <w:p>
            <w:pPr>
              <w:spacing w:after="40" w:before="40"/>
            </w:pPr>
            <w:r/>
            <w:r>
              <w:rPr>
                <w:rFonts w:ascii="Cambria" w:hAnsi="Cambria"/>
                <w:b/>
                <w:i w:val="0"/>
                <w:sz w:val="17"/>
              </w:rPr>
              <w:t>Week 3</w:t>
            </w:r>
          </w:p>
        </w:tc>
        <w:tc>
          <w:tcPr>
            <w:tcW w:type="dxa" w:w="2409"/>
            <w:shd w:val="clear" w:color="auto" w:fill="F2F5F8"/>
          </w:tcPr>
          <w:p>
            <w:pPr>
              <w:spacing w:after="40" w:before="40"/>
            </w:pPr>
            <w:r/>
            <w:r>
              <w:rPr>
                <w:rFonts w:ascii="Cambria" w:hAnsi="Cambria"/>
                <w:b w:val="0"/>
                <w:i w:val="0"/>
                <w:sz w:val="17"/>
              </w:rPr>
              <w:t>Model completion, scenarios, use of funds, valuation, cap table</w:t>
            </w:r>
          </w:p>
        </w:tc>
        <w:tc>
          <w:tcPr>
            <w:tcW w:type="dxa" w:w="2409"/>
            <w:shd w:val="clear" w:color="auto" w:fill="F2F5F8"/>
          </w:tcPr>
          <w:p>
            <w:pPr>
              <w:spacing w:after="40" w:before="40"/>
            </w:pPr>
            <w:r/>
            <w:r>
              <w:rPr>
                <w:rFonts w:ascii="Cambria" w:hAnsi="Cambria"/>
                <w:b/>
                <w:i w:val="0"/>
                <w:sz w:val="17"/>
              </w:rPr>
              <w:t>W3</w:t>
            </w:r>
          </w:p>
        </w:tc>
        <w:tc>
          <w:tcPr>
            <w:tcW w:type="dxa" w:w="2409"/>
            <w:shd w:val="clear" w:color="auto" w:fill="F2F5F8"/>
          </w:tcPr>
          <w:p>
            <w:pPr>
              <w:spacing w:after="40" w:before="40"/>
            </w:pPr>
            <w:r/>
            <w:r>
              <w:rPr>
                <w:rFonts w:ascii="Cambria" w:hAnsi="Cambria"/>
                <w:b w:val="0"/>
                <w:i w:val="0"/>
                <w:sz w:val="17"/>
              </w:rPr>
              <w:t>Financial model, expectations and valuation delivered</w:t>
            </w:r>
          </w:p>
        </w:tc>
      </w:tr>
      <w:tr>
        <w:tc>
          <w:tcPr>
            <w:tcW w:type="dxa" w:w="2409"/>
          </w:tcPr>
          <w:p>
            <w:pPr>
              <w:spacing w:after="40" w:before="40"/>
            </w:pPr>
            <w:r/>
            <w:r>
              <w:rPr>
                <w:rFonts w:ascii="Cambria" w:hAnsi="Cambria"/>
                <w:b/>
                <w:i w:val="0"/>
                <w:sz w:val="17"/>
              </w:rPr>
              <w:t>Week 4</w:t>
            </w:r>
          </w:p>
        </w:tc>
        <w:tc>
          <w:tcPr>
            <w:tcW w:type="dxa" w:w="2409"/>
          </w:tcPr>
          <w:p>
            <w:pPr>
              <w:spacing w:after="40" w:before="40"/>
            </w:pPr>
            <w:r/>
            <w:r>
              <w:rPr>
                <w:rFonts w:ascii="Cambria" w:hAnsi="Cambria"/>
                <w:b w:val="0"/>
                <w:i w:val="0"/>
                <w:sz w:val="17"/>
              </w:rPr>
              <w:t>Investor document set, data room population, readiness review</w:t>
            </w:r>
          </w:p>
        </w:tc>
        <w:tc>
          <w:tcPr>
            <w:tcW w:type="dxa" w:w="2409"/>
          </w:tcPr>
          <w:p>
            <w:pPr>
              <w:spacing w:after="40" w:before="40"/>
            </w:pPr>
            <w:r/>
            <w:r>
              <w:rPr>
                <w:rFonts w:ascii="Cambria" w:hAnsi="Cambria"/>
                <w:b/>
                <w:i w:val="0"/>
                <w:sz w:val="17"/>
              </w:rPr>
              <w:t>W4</w:t>
            </w:r>
          </w:p>
        </w:tc>
        <w:tc>
          <w:tcPr>
            <w:tcW w:type="dxa" w:w="2409"/>
          </w:tcPr>
          <w:p>
            <w:pPr>
              <w:spacing w:after="40" w:before="40"/>
            </w:pPr>
            <w:r/>
            <w:r>
              <w:rPr>
                <w:rFonts w:ascii="Cambria" w:hAnsi="Cambria"/>
                <w:b/>
                <w:i w:val="0"/>
                <w:sz w:val="17"/>
              </w:rPr>
              <w:t>Phase 1 complete — data room signed off</w:t>
            </w:r>
          </w:p>
        </w:tc>
      </w:tr>
    </w:tbl>
    <w:p>
      <w:pPr>
        <w:spacing w:after="40"/>
      </w:pPr>
    </w:p>
    <w:p>
      <w:pPr>
        <w:keepNext/>
        <w:spacing w:before="240" w:after="80"/>
      </w:pPr>
      <w:r>
        <w:rPr>
          <w:rFonts w:ascii="Calibri" w:hAnsi="Calibri"/>
          <w:b/>
          <w:i w:val="0"/>
          <w:color w:val="1C4A73"/>
          <w:sz w:val="23"/>
        </w:rPr>
        <w:t>Phase 2 — Investment Round Management: 3 months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r>
              <w:rPr>
                <w:rFonts w:ascii="Calibri" w:hAnsi="Calibri"/>
                <w:b/>
                <w:i w:val="0"/>
                <w:color w:val="FFFFFF"/>
                <w:sz w:val="17"/>
              </w:rPr>
              <w:t>Period</w:t>
            </w:r>
          </w:p>
        </w:tc>
        <w:tc>
          <w:tcPr>
            <w:tcW w:type="dxa" w:w="3213"/>
            <w:shd w:val="clear" w:color="auto" w:fill="0F2C4A"/>
          </w:tcPr>
          <w:p>
            <w:pPr>
              <w:spacing w:after="40" w:before="40"/>
            </w:pPr>
            <w:r/>
            <w:r>
              <w:rPr>
                <w:rFonts w:ascii="Calibri" w:hAnsi="Calibri"/>
                <w:b/>
                <w:i w:val="0"/>
                <w:color w:val="FFFFFF"/>
                <w:sz w:val="17"/>
              </w:rPr>
              <w:t>Focus</w:t>
            </w:r>
          </w:p>
        </w:tc>
        <w:tc>
          <w:tcPr>
            <w:tcW w:type="dxa" w:w="3213"/>
            <w:shd w:val="clear" w:color="auto" w:fill="0F2C4A"/>
          </w:tcPr>
          <w:p>
            <w:pPr>
              <w:spacing w:after="40" w:before="40"/>
            </w:pPr>
            <w:r/>
            <w:r>
              <w:rPr>
                <w:rFonts w:ascii="Calibri" w:hAnsi="Calibri"/>
                <w:b/>
                <w:i w:val="0"/>
                <w:color w:val="FFFFFF"/>
                <w:sz w:val="17"/>
              </w:rPr>
              <w:t>Milestone</w:t>
            </w:r>
          </w:p>
        </w:tc>
      </w:tr>
      <w:tr>
        <w:tc>
          <w:tcPr>
            <w:tcW w:type="dxa" w:w="3213"/>
          </w:tcPr>
          <w:p>
            <w:pPr>
              <w:spacing w:after="40" w:before="40"/>
            </w:pPr>
            <w:r/>
            <w:r>
              <w:rPr>
                <w:rFonts w:ascii="Cambria" w:hAnsi="Cambria"/>
                <w:b/>
                <w:i w:val="0"/>
                <w:sz w:val="17"/>
              </w:rPr>
              <w:t>Weeks 5–6</w:t>
            </w:r>
          </w:p>
        </w:tc>
        <w:tc>
          <w:tcPr>
            <w:tcW w:type="dxa" w:w="3213"/>
          </w:tcPr>
          <w:p>
            <w:pPr>
              <w:spacing w:after="40" w:before="40"/>
            </w:pPr>
            <w:r/>
            <w:r>
              <w:rPr>
                <w:rFonts w:ascii="Cambria" w:hAnsi="Cambria"/>
                <w:b w:val="0"/>
                <w:i w:val="0"/>
                <w:sz w:val="17"/>
              </w:rPr>
              <w:t>Fundraising strategy, round architecture, Target Investor Map, outreach build, pitch rehearsal (</w:t>
            </w:r>
            <w:r>
              <w:rPr>
                <w:rFonts w:ascii="Cambria" w:hAnsi="Cambria"/>
                <w:b/>
                <w:i w:val="0"/>
                <w:sz w:val="17"/>
              </w:rPr>
              <w:t>W5</w:t>
            </w:r>
            <w:r>
              <w:rPr>
                <w:rFonts w:ascii="Cambria" w:hAnsi="Cambria"/>
                <w:b w:val="0"/>
                <w:i w:val="0"/>
                <w:sz w:val="17"/>
              </w:rPr>
              <w:t>)</w:t>
            </w:r>
          </w:p>
        </w:tc>
        <w:tc>
          <w:tcPr>
            <w:tcW w:type="dxa" w:w="3213"/>
          </w:tcPr>
          <w:p>
            <w:pPr>
              <w:spacing w:after="40" w:before="40"/>
            </w:pPr>
            <w:r/>
            <w:r>
              <w:rPr>
                <w:rFonts w:ascii="Cambria" w:hAnsi="Cambria"/>
                <w:b w:val="0"/>
                <w:i w:val="0"/>
                <w:sz w:val="17"/>
              </w:rPr>
              <w:t>Strategy approved; outreach ready to launch</w:t>
            </w:r>
          </w:p>
        </w:tc>
      </w:tr>
      <w:tr>
        <w:tc>
          <w:tcPr>
            <w:tcW w:type="dxa" w:w="3213"/>
            <w:shd w:val="clear" w:color="auto" w:fill="F2F5F8"/>
          </w:tcPr>
          <w:p>
            <w:pPr>
              <w:spacing w:after="40" w:before="40"/>
            </w:pPr>
            <w:r/>
            <w:r>
              <w:rPr>
                <w:rFonts w:ascii="Cambria" w:hAnsi="Cambria"/>
                <w:b/>
                <w:i w:val="0"/>
                <w:sz w:val="17"/>
              </w:rPr>
              <w:t>Weeks 7–9</w:t>
            </w:r>
          </w:p>
        </w:tc>
        <w:tc>
          <w:tcPr>
            <w:tcW w:type="dxa" w:w="3213"/>
            <w:shd w:val="clear" w:color="auto" w:fill="F2F5F8"/>
          </w:tcPr>
          <w:p>
            <w:pPr>
              <w:spacing w:after="40" w:before="40"/>
            </w:pPr>
            <w:r/>
            <w:r>
              <w:rPr>
                <w:rFonts w:ascii="Cambria" w:hAnsi="Cambria"/>
                <w:b w:val="0"/>
                <w:i w:val="0"/>
                <w:sz w:val="17"/>
              </w:rPr>
              <w:t>Outreach Wave 1, first meetings, feedback loop, materials iteration</w:t>
            </w:r>
          </w:p>
        </w:tc>
        <w:tc>
          <w:tcPr>
            <w:tcW w:type="dxa" w:w="3213"/>
            <w:shd w:val="clear" w:color="auto" w:fill="F2F5F8"/>
          </w:tcPr>
          <w:p>
            <w:pPr>
              <w:spacing w:after="40" w:before="40"/>
            </w:pPr>
            <w:r/>
            <w:r>
              <w:rPr>
                <w:rFonts w:ascii="Cambria" w:hAnsi="Cambria"/>
                <w:b w:val="0"/>
                <w:i w:val="0"/>
                <w:sz w:val="17"/>
              </w:rPr>
              <w:t>Pipeline built; first investor meetings held</w:t>
            </w:r>
          </w:p>
        </w:tc>
      </w:tr>
      <w:tr>
        <w:tc>
          <w:tcPr>
            <w:tcW w:type="dxa" w:w="3213"/>
          </w:tcPr>
          <w:p>
            <w:pPr>
              <w:spacing w:after="40" w:before="40"/>
            </w:pPr>
            <w:r/>
            <w:r>
              <w:rPr>
                <w:rFonts w:ascii="Cambria" w:hAnsi="Cambria"/>
                <w:b/>
                <w:i w:val="0"/>
                <w:sz w:val="17"/>
              </w:rPr>
              <w:t>Weeks 10–12</w:t>
            </w:r>
          </w:p>
        </w:tc>
        <w:tc>
          <w:tcPr>
            <w:tcW w:type="dxa" w:w="3213"/>
          </w:tcPr>
          <w:p>
            <w:pPr>
              <w:spacing w:after="40" w:before="40"/>
            </w:pPr>
            <w:r/>
            <w:r>
              <w:rPr>
                <w:rFonts w:ascii="Cambria" w:hAnsi="Cambria"/>
                <w:b w:val="0"/>
                <w:i w:val="0"/>
                <w:sz w:val="17"/>
              </w:rPr>
              <w:t>Outreach Wave 2, second meetings, partner meetings, early diligence</w:t>
            </w:r>
          </w:p>
        </w:tc>
        <w:tc>
          <w:tcPr>
            <w:tcW w:type="dxa" w:w="3213"/>
          </w:tcPr>
          <w:p>
            <w:pPr>
              <w:spacing w:after="40" w:before="40"/>
            </w:pPr>
            <w:r/>
            <w:r>
              <w:rPr>
                <w:rFonts w:ascii="Cambria" w:hAnsi="Cambria"/>
                <w:b w:val="0"/>
                <w:i w:val="0"/>
                <w:sz w:val="17"/>
              </w:rPr>
              <w:t>Qualified investors in active diligence</w:t>
            </w:r>
          </w:p>
        </w:tc>
      </w:tr>
      <w:tr>
        <w:tc>
          <w:tcPr>
            <w:tcW w:type="dxa" w:w="3213"/>
            <w:shd w:val="clear" w:color="auto" w:fill="F2F5F8"/>
          </w:tcPr>
          <w:p>
            <w:pPr>
              <w:spacing w:after="40" w:before="40"/>
            </w:pPr>
            <w:r/>
            <w:r>
              <w:rPr>
                <w:rFonts w:ascii="Cambria" w:hAnsi="Cambria"/>
                <w:b/>
                <w:i w:val="0"/>
                <w:sz w:val="17"/>
              </w:rPr>
              <w:t>Weeks 13–14</w:t>
            </w:r>
          </w:p>
        </w:tc>
        <w:tc>
          <w:tcPr>
            <w:tcW w:type="dxa" w:w="3213"/>
            <w:shd w:val="clear" w:color="auto" w:fill="F2F5F8"/>
          </w:tcPr>
          <w:p>
            <w:pPr>
              <w:spacing w:after="40" w:before="40"/>
            </w:pPr>
            <w:r/>
            <w:r>
              <w:rPr>
                <w:rFonts w:ascii="Cambria" w:hAnsi="Cambria"/>
                <w:b w:val="0"/>
                <w:i w:val="0"/>
                <w:sz w:val="17"/>
              </w:rPr>
              <w:t>Diligence management, investor Q&amp;A, syndicate construction</w:t>
            </w:r>
          </w:p>
        </w:tc>
        <w:tc>
          <w:tcPr>
            <w:tcW w:type="dxa" w:w="3213"/>
            <w:shd w:val="clear" w:color="auto" w:fill="F2F5F8"/>
          </w:tcPr>
          <w:p>
            <w:pPr>
              <w:spacing w:after="40" w:before="40"/>
            </w:pPr>
            <w:r/>
            <w:r>
              <w:rPr>
                <w:rFonts w:ascii="Cambria" w:hAnsi="Cambria"/>
                <w:b w:val="0"/>
                <w:i w:val="0"/>
                <w:sz w:val="17"/>
              </w:rPr>
              <w:t>Diligence substantially complete</w:t>
            </w:r>
          </w:p>
        </w:tc>
      </w:tr>
      <w:tr>
        <w:tc>
          <w:tcPr>
            <w:tcW w:type="dxa" w:w="3213"/>
          </w:tcPr>
          <w:p>
            <w:pPr>
              <w:spacing w:after="40" w:before="40"/>
            </w:pPr>
            <w:r/>
            <w:r>
              <w:rPr>
                <w:rFonts w:ascii="Cambria" w:hAnsi="Cambria"/>
                <w:b/>
                <w:i w:val="0"/>
                <w:sz w:val="17"/>
              </w:rPr>
              <w:t>Weeks 15–16</w:t>
            </w:r>
          </w:p>
        </w:tc>
        <w:tc>
          <w:tcPr>
            <w:tcW w:type="dxa" w:w="3213"/>
          </w:tcPr>
          <w:p>
            <w:pPr>
              <w:spacing w:after="40" w:before="40"/>
            </w:pPr>
            <w:r/>
            <w:r>
              <w:rPr>
                <w:rFonts w:ascii="Cambria" w:hAnsi="Cambria"/>
                <w:b w:val="0"/>
                <w:i w:val="0"/>
                <w:sz w:val="17"/>
              </w:rPr>
              <w:t>Term sheet, negotiation, legal coordination, signing and funding</w:t>
            </w:r>
          </w:p>
        </w:tc>
        <w:tc>
          <w:tcPr>
            <w:tcW w:type="dxa" w:w="3213"/>
          </w:tcPr>
          <w:p>
            <w:pPr>
              <w:spacing w:after="40" w:before="40"/>
            </w:pPr>
            <w:r/>
            <w:r>
              <w:rPr>
                <w:rFonts w:ascii="Cambria" w:hAnsi="Cambria"/>
                <w:b/>
                <w:i w:val="0"/>
                <w:sz w:val="17"/>
              </w:rPr>
              <w:t>Round closed</w:t>
            </w:r>
          </w:p>
        </w:tc>
      </w:tr>
    </w:tbl>
    <w:p>
      <w:pPr>
        <w:spacing w:after="40"/>
      </w:pPr>
    </w:p>
    <w:p>
      <w:pPr>
        <w:keepNext/>
        <w:spacing w:before="240" w:after="80"/>
      </w:pPr>
      <w:r>
        <w:rPr>
          <w:rFonts w:ascii="Calibri" w:hAnsi="Calibri"/>
          <w:b/>
          <w:i w:val="0"/>
          <w:color w:val="1C4A73"/>
          <w:sz w:val="23"/>
        </w:rPr>
        <w:t>Conditions attached to this timeline</w:t>
      </w:r>
    </w:p>
    <w:p>
      <w:pPr>
        <w:spacing w:after="120"/>
      </w:pPr>
      <w:r>
        <w:rPr>
          <w:rFonts w:ascii="Cambria" w:hAnsi="Cambria"/>
          <w:b w:val="0"/>
          <w:i w:val="0"/>
        </w:rPr>
        <w:t>The dates above are targets, not guarantees, and they assume:</w:t>
      </w:r>
    </w:p>
    <w:p>
      <w:pPr>
        <w:pStyle w:val="ListNumber"/>
        <w:spacing w:after="60"/>
        <w:ind w:left="397"/>
      </w:pPr>
      <w:r>
        <w:rPr>
          <w:rFonts w:ascii="Cambria" w:hAnsi="Cambria"/>
          <w:b w:val="0"/>
          <w:i w:val="0"/>
        </w:rPr>
        <w:t>The Client Input Pack is delivered within five business days of signature.</w:t>
      </w:r>
    </w:p>
    <w:p>
      <w:pPr>
        <w:pStyle w:val="ListNumber"/>
        <w:spacing w:after="60"/>
        <w:ind w:left="397"/>
      </w:pPr>
      <w:r>
        <w:rPr>
          <w:rFonts w:ascii="Cambria" w:hAnsi="Cambria"/>
          <w:b w:val="0"/>
          <w:i w:val="0"/>
        </w:rPr>
        <w:t>Founders attend all five workshops, with no more than one rescheduling per workshop.</w:t>
      </w:r>
    </w:p>
    <w:p>
      <w:pPr>
        <w:pStyle w:val="ListNumber"/>
        <w:spacing w:after="60"/>
        <w:ind w:left="397"/>
      </w:pPr>
      <w:r>
        <w:rPr>
          <w:rFonts w:ascii="Cambria" w:hAnsi="Cambria"/>
          <w:b w:val="0"/>
          <w:i w:val="0"/>
        </w:rPr>
        <w:t>Information requests are answered within five business days.</w:t>
      </w:r>
    </w:p>
    <w:p>
      <w:pPr>
        <w:pStyle w:val="ListNumber"/>
        <w:spacing w:after="60"/>
        <w:ind w:left="397"/>
      </w:pPr>
      <w:r>
        <w:rPr>
          <w:rFonts w:ascii="Cambria" w:hAnsi="Cambria"/>
          <w:b w:val="0"/>
          <w:i w:val="0"/>
        </w:rPr>
        <w:t>Deliverable review and approval is returned within three business days.</w:t>
      </w:r>
    </w:p>
    <w:p>
      <w:pPr>
        <w:pStyle w:val="ListNumber"/>
        <w:spacing w:after="60"/>
        <w:ind w:left="397"/>
      </w:pPr>
      <w:r>
        <w:rPr>
          <w:rFonts w:ascii="Cambria" w:hAnsi="Cambria"/>
          <w:b w:val="0"/>
          <w:i w:val="0"/>
        </w:rPr>
        <w:t>Introduced investors are responded to within three business days.</w:t>
      </w:r>
    </w:p>
    <w:p>
      <w:pPr>
        <w:spacing w:after="120"/>
      </w:pPr>
      <w:r>
        <w:rPr>
          <w:rFonts w:ascii="Cambria" w:hAnsi="Cambria"/>
          <w:b w:val="0"/>
          <w:i w:val="0"/>
        </w:rPr>
        <w:t>Where Btakka does not meet these conditions, the timeline extends day-for-day (Clause 7.2). Fundraising timelines additionally depend on market conditions and investor behaviour, neither of which is within the Consultant's control.</w:t>
      </w:r>
    </w:p>
    <w:p>
      <w:pPr>
        <w:spacing w:before="120" w:after="120"/>
        <w:pBdr>
          <w:bottom w:val="single" w:sz="6" w:space="1" w:color="C2CCD6"/>
        </w:pBdr>
      </w:pPr>
    </w:p>
    <w:p>
      <w:pPr>
        <w:keepNext/>
        <w:spacing w:before="320" w:after="100"/>
      </w:pPr>
      <w:r>
        <w:rPr>
          <w:rFonts w:ascii="Calibri" w:hAnsi="Calibri"/>
          <w:b/>
          <w:i w:val="0"/>
          <w:color w:val="0F2C4A"/>
          <w:sz w:val="27"/>
        </w:rPr>
        <w:t>10. Fees</w:t>
      </w:r>
    </w:p>
    <w:p>
      <w:pPr>
        <w:keepNext/>
        <w:spacing w:before="240" w:after="80"/>
      </w:pPr>
      <w:r>
        <w:rPr>
          <w:rFonts w:ascii="Calibri" w:hAnsi="Calibri"/>
          <w:b/>
          <w:i w:val="0"/>
          <w:color w:val="1C4A73"/>
          <w:sz w:val="23"/>
        </w:rPr>
        <w:t>Fixed fee — EGP 150,000</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Milestone</w:t>
            </w:r>
          </w:p>
        </w:tc>
        <w:tc>
          <w:tcPr>
            <w:tcW w:type="dxa" w:w="2409"/>
            <w:shd w:val="clear" w:color="auto" w:fill="0F2C4A"/>
          </w:tcPr>
          <w:p>
            <w:pPr>
              <w:spacing w:after="40" w:before="40"/>
            </w:pPr>
            <w:r/>
            <w:r>
              <w:rPr>
                <w:rFonts w:ascii="Calibri" w:hAnsi="Calibri"/>
                <w:b/>
                <w:i w:val="0"/>
                <w:color w:val="FFFFFF"/>
                <w:sz w:val="17"/>
              </w:rPr>
              <w:t>Trigger</w:t>
            </w:r>
          </w:p>
        </w:tc>
        <w:tc>
          <w:tcPr>
            <w:tcW w:type="dxa" w:w="2409"/>
            <w:shd w:val="clear" w:color="auto" w:fill="0F2C4A"/>
          </w:tcPr>
          <w:p>
            <w:pPr>
              <w:spacing w:after="40" w:before="40"/>
            </w:pPr>
            <w:r/>
            <w:r>
              <w:rPr>
                <w:rFonts w:ascii="Calibri" w:hAnsi="Calibri"/>
                <w:b/>
                <w:i w:val="0"/>
                <w:color w:val="FFFFFF"/>
                <w:sz w:val="17"/>
              </w:rPr>
              <w:t>Amount</w:t>
            </w:r>
          </w:p>
        </w:tc>
        <w:tc>
          <w:tcPr>
            <w:tcW w:type="dxa" w:w="2409"/>
            <w:shd w:val="clear" w:color="auto" w:fill="0F2C4A"/>
          </w:tcPr>
          <w:p>
            <w:pPr>
              <w:spacing w:after="40" w:before="40"/>
            </w:pPr>
            <w:r/>
            <w:r>
              <w:rPr>
                <w:rFonts w:ascii="Calibri" w:hAnsi="Calibri"/>
                <w:b/>
                <w:i w:val="0"/>
                <w:color w:val="FFFFFF"/>
                <w:sz w:val="17"/>
              </w:rPr>
              <w:t>Cumulative</w:t>
            </w:r>
          </w:p>
        </w:tc>
      </w:tr>
      <w:tr>
        <w:tc>
          <w:tcPr>
            <w:tcW w:type="dxa" w:w="2409"/>
          </w:tcPr>
          <w:p>
            <w:pPr>
              <w:spacing w:after="40" w:before="40"/>
            </w:pPr>
            <w:r/>
            <w:r>
              <w:rPr>
                <w:rFonts w:ascii="Cambria" w:hAnsi="Cambria"/>
                <w:b/>
                <w:i w:val="0"/>
                <w:sz w:val="17"/>
              </w:rPr>
              <w:t>M1 — Deposit</w:t>
            </w:r>
          </w:p>
        </w:tc>
        <w:tc>
          <w:tcPr>
            <w:tcW w:type="dxa" w:w="2409"/>
          </w:tcPr>
          <w:p>
            <w:pPr>
              <w:spacing w:after="40" w:before="40"/>
            </w:pPr>
            <w:r/>
            <w:r>
              <w:rPr>
                <w:rFonts w:ascii="Cambria" w:hAnsi="Cambria"/>
                <w:b w:val="0"/>
                <w:i w:val="0"/>
                <w:sz w:val="17"/>
              </w:rPr>
              <w:t>On signature of this Agreement</w:t>
            </w:r>
          </w:p>
        </w:tc>
        <w:tc>
          <w:tcPr>
            <w:tcW w:type="dxa" w:w="2409"/>
          </w:tcPr>
          <w:p>
            <w:pPr>
              <w:spacing w:after="40" w:before="40"/>
            </w:pPr>
            <w:r/>
            <w:r>
              <w:rPr>
                <w:rFonts w:ascii="Cambria" w:hAnsi="Cambria"/>
                <w:b/>
                <w:i w:val="0"/>
                <w:sz w:val="17"/>
              </w:rPr>
              <w:t>EGP 30,000</w:t>
            </w:r>
          </w:p>
        </w:tc>
        <w:tc>
          <w:tcPr>
            <w:tcW w:type="dxa" w:w="2409"/>
          </w:tcPr>
          <w:p>
            <w:pPr>
              <w:spacing w:after="40" w:before="40"/>
            </w:pPr>
            <w:r/>
            <w:r>
              <w:rPr>
                <w:rFonts w:ascii="Cambria" w:hAnsi="Cambria"/>
                <w:b w:val="0"/>
                <w:i w:val="0"/>
                <w:sz w:val="17"/>
              </w:rPr>
              <w:t>EGP 30,000</w:t>
            </w:r>
          </w:p>
        </w:tc>
      </w:tr>
      <w:tr>
        <w:tc>
          <w:tcPr>
            <w:tcW w:type="dxa" w:w="2409"/>
            <w:shd w:val="clear" w:color="auto" w:fill="F2F5F8"/>
          </w:tcPr>
          <w:p>
            <w:pPr>
              <w:spacing w:after="40" w:before="40"/>
            </w:pPr>
            <w:r/>
            <w:r>
              <w:rPr>
                <w:rFonts w:ascii="Cambria" w:hAnsi="Cambria"/>
                <w:b/>
                <w:i w:val="0"/>
                <w:sz w:val="17"/>
              </w:rPr>
              <w:t>M2 — Readiness complete</w:t>
            </w:r>
          </w:p>
        </w:tc>
        <w:tc>
          <w:tcPr>
            <w:tcW w:type="dxa" w:w="2409"/>
            <w:shd w:val="clear" w:color="auto" w:fill="F2F5F8"/>
          </w:tcPr>
          <w:p>
            <w:pPr>
              <w:spacing w:after="40" w:before="40"/>
            </w:pPr>
            <w:r/>
            <w:r>
              <w:rPr>
                <w:rFonts w:ascii="Cambria" w:hAnsi="Cambria"/>
                <w:b w:val="0"/>
                <w:i w:val="0"/>
                <w:sz w:val="17"/>
              </w:rPr>
              <w:t>On sign-off of the Phase 1 data room readiness review</w:t>
            </w:r>
          </w:p>
        </w:tc>
        <w:tc>
          <w:tcPr>
            <w:tcW w:type="dxa" w:w="2409"/>
            <w:shd w:val="clear" w:color="auto" w:fill="F2F5F8"/>
          </w:tcPr>
          <w:p>
            <w:pPr>
              <w:spacing w:after="40" w:before="40"/>
            </w:pPr>
            <w:r/>
            <w:r>
              <w:rPr>
                <w:rFonts w:ascii="Cambria" w:hAnsi="Cambria"/>
                <w:b/>
                <w:i w:val="0"/>
                <w:sz w:val="17"/>
              </w:rPr>
              <w:t>EGP 30,000</w:t>
            </w:r>
          </w:p>
        </w:tc>
        <w:tc>
          <w:tcPr>
            <w:tcW w:type="dxa" w:w="2409"/>
            <w:shd w:val="clear" w:color="auto" w:fill="F2F5F8"/>
          </w:tcPr>
          <w:p>
            <w:pPr>
              <w:spacing w:after="40" w:before="40"/>
            </w:pPr>
            <w:r/>
            <w:r>
              <w:rPr>
                <w:rFonts w:ascii="Cambria" w:hAnsi="Cambria"/>
                <w:b w:val="0"/>
                <w:i w:val="0"/>
                <w:sz w:val="17"/>
              </w:rPr>
              <w:t>EGP 60,000</w:t>
            </w:r>
          </w:p>
        </w:tc>
      </w:tr>
      <w:tr>
        <w:tc>
          <w:tcPr>
            <w:tcW w:type="dxa" w:w="2409"/>
          </w:tcPr>
          <w:p>
            <w:pPr>
              <w:spacing w:after="40" w:before="40"/>
            </w:pPr>
            <w:r/>
            <w:r>
              <w:rPr>
                <w:rFonts w:ascii="Cambria" w:hAnsi="Cambria"/>
                <w:b/>
                <w:i w:val="0"/>
                <w:sz w:val="17"/>
              </w:rPr>
              <w:t>M3 — Closing</w:t>
            </w:r>
          </w:p>
        </w:tc>
        <w:tc>
          <w:tcPr>
            <w:tcW w:type="dxa" w:w="2409"/>
          </w:tcPr>
          <w:p>
            <w:pPr>
              <w:spacing w:after="40" w:before="40"/>
            </w:pPr>
            <w:r/>
            <w:r>
              <w:rPr>
                <w:rFonts w:ascii="Cambria" w:hAnsi="Cambria"/>
                <w:b w:val="0"/>
                <w:i w:val="0"/>
                <w:sz w:val="17"/>
              </w:rPr>
              <w:t>On First Close — first investment funds received in cleared funds</w:t>
            </w:r>
          </w:p>
        </w:tc>
        <w:tc>
          <w:tcPr>
            <w:tcW w:type="dxa" w:w="2409"/>
          </w:tcPr>
          <w:p>
            <w:pPr>
              <w:spacing w:after="40" w:before="40"/>
            </w:pPr>
            <w:r/>
            <w:r>
              <w:rPr>
                <w:rFonts w:ascii="Cambria" w:hAnsi="Cambria"/>
                <w:b/>
                <w:i w:val="0"/>
                <w:sz w:val="17"/>
              </w:rPr>
              <w:t>EGP 90,000</w:t>
            </w:r>
          </w:p>
        </w:tc>
        <w:tc>
          <w:tcPr>
            <w:tcW w:type="dxa" w:w="2409"/>
          </w:tcPr>
          <w:p>
            <w:pPr>
              <w:spacing w:after="40" w:before="40"/>
            </w:pPr>
            <w:r/>
            <w:r>
              <w:rPr>
                <w:rFonts w:ascii="Cambria" w:hAnsi="Cambria"/>
                <w:b/>
                <w:i w:val="0"/>
                <w:sz w:val="17"/>
              </w:rPr>
              <w:t>EGP 150,000</w:t>
            </w:r>
          </w:p>
        </w:tc>
      </w:tr>
    </w:tbl>
    <w:p>
      <w:pPr>
        <w:spacing w:after="40"/>
      </w:pPr>
    </w:p>
    <w:p>
      <w:pPr>
        <w:spacing w:after="120"/>
      </w:pPr>
      <w:r>
        <w:rPr>
          <w:rFonts w:ascii="Cambria" w:hAnsi="Cambria"/>
          <w:b/>
          <w:i w:val="0"/>
        </w:rPr>
        <w:t>M3 is payable whether the closing investor was introduced by the Consultant or sourced by Btakka.</w:t>
      </w:r>
      <w:r>
        <w:rPr>
          <w:rFonts w:ascii="Cambria" w:hAnsi="Cambria"/>
          <w:b w:val="0"/>
          <w:i w:val="0"/>
        </w:rPr>
        <w:t xml:space="preserve"> The work that makes a round closeable — the model, the valuation, the data room, the deck and the process — is delivered regardless of whose contact ultimately signs.</w:t>
      </w:r>
    </w:p>
    <w:p>
      <w:pPr>
        <w:keepNext/>
        <w:spacing w:before="240" w:after="80"/>
      </w:pPr>
      <w:r>
        <w:rPr>
          <w:rFonts w:ascii="Calibri" w:hAnsi="Calibri"/>
          <w:b/>
          <w:i w:val="0"/>
          <w:color w:val="1C4A73"/>
          <w:sz w:val="23"/>
        </w:rPr>
        <w:t>Success fee — 10%</w:t>
      </w:r>
    </w:p>
    <w:p>
      <w:pPr>
        <w:spacing w:after="120"/>
      </w:pPr>
      <w:r>
        <w:rPr>
          <w:rFonts w:ascii="Cambria" w:hAnsi="Cambria"/>
          <w:b/>
          <w:i w:val="0"/>
        </w:rPr>
        <w:t>10% of the aggregate Investment Amount funded by Consultant-Introduced Investors.</w:t>
      </w:r>
      <w:r>
        <w:rPr>
          <w:rFonts w:ascii="Cambria" w:hAnsi="Cambria"/>
          <w:b w:val="0"/>
          <w:i w:val="0"/>
        </w:rPr>
        <w:t xml:space="preserve"> No Success Fee is payable on tickets from investors Btakka sourced independently and who were never on the Target Investor Map or in an outreach wave.</w:t>
      </w:r>
    </w:p>
    <w:p>
      <w:pPr>
        <w:spacing w:after="120"/>
      </w:pPr>
      <w:r>
        <w:rPr>
          <w:rFonts w:ascii="Cambria" w:hAnsi="Cambria"/>
          <w:b w:val="0"/>
          <w:i w:val="0"/>
        </w:rPr>
        <w:t>Worked example: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p>
        </w:tc>
        <w:tc>
          <w:tcPr>
            <w:tcW w:type="dxa" w:w="4819"/>
            <w:shd w:val="clear" w:color="auto" w:fill="0F2C4A"/>
          </w:tcPr>
          <w:p>
            <w:pPr>
              <w:spacing w:after="40" w:before="40"/>
            </w:pPr>
            <w:r/>
          </w:p>
        </w:tc>
      </w:tr>
      <w:tr>
        <w:tc>
          <w:tcPr>
            <w:tcW w:type="dxa" w:w="4819"/>
          </w:tcPr>
          <w:p>
            <w:pPr>
              <w:spacing w:after="40" w:before="40"/>
            </w:pPr>
            <w:r/>
            <w:r>
              <w:rPr>
                <w:rFonts w:ascii="Cambria" w:hAnsi="Cambria"/>
                <w:b w:val="0"/>
                <w:i w:val="0"/>
                <w:sz w:val="17"/>
              </w:rPr>
              <w:t>Total round closed</w:t>
            </w:r>
          </w:p>
        </w:tc>
        <w:tc>
          <w:tcPr>
            <w:tcW w:type="dxa" w:w="4819"/>
          </w:tcPr>
          <w:p>
            <w:pPr>
              <w:spacing w:after="40" w:before="40"/>
            </w:pPr>
            <w:r/>
            <w:r>
              <w:rPr>
                <w:rFonts w:ascii="Cambria" w:hAnsi="Cambria"/>
                <w:b w:val="0"/>
                <w:i w:val="0"/>
                <w:sz w:val="17"/>
              </w:rPr>
              <w:t>EGP 10,000,000</w:t>
            </w:r>
          </w:p>
        </w:tc>
      </w:tr>
      <w:tr>
        <w:tc>
          <w:tcPr>
            <w:tcW w:type="dxa" w:w="4819"/>
            <w:shd w:val="clear" w:color="auto" w:fill="F2F5F8"/>
          </w:tcPr>
          <w:p>
            <w:pPr>
              <w:spacing w:after="40" w:before="40"/>
            </w:pPr>
            <w:r/>
            <w:r>
              <w:rPr>
                <w:rFonts w:ascii="Cambria" w:hAnsi="Cambria"/>
                <w:b w:val="0"/>
                <w:i w:val="0"/>
                <w:sz w:val="17"/>
              </w:rPr>
              <w:t>— funded by Consultant-Introduced Investors</w:t>
            </w:r>
          </w:p>
        </w:tc>
        <w:tc>
          <w:tcPr>
            <w:tcW w:type="dxa" w:w="4819"/>
            <w:shd w:val="clear" w:color="auto" w:fill="F2F5F8"/>
          </w:tcPr>
          <w:p>
            <w:pPr>
              <w:spacing w:after="40" w:before="40"/>
            </w:pPr>
            <w:r/>
            <w:r>
              <w:rPr>
                <w:rFonts w:ascii="Cambria" w:hAnsi="Cambria"/>
                <w:b w:val="0"/>
                <w:i w:val="0"/>
                <w:sz w:val="17"/>
              </w:rPr>
              <w:t>EGP 6,000,000</w:t>
            </w:r>
          </w:p>
        </w:tc>
      </w:tr>
      <w:tr>
        <w:tc>
          <w:tcPr>
            <w:tcW w:type="dxa" w:w="4819"/>
          </w:tcPr>
          <w:p>
            <w:pPr>
              <w:spacing w:after="40" w:before="40"/>
            </w:pPr>
            <w:r/>
            <w:r>
              <w:rPr>
                <w:rFonts w:ascii="Cambria" w:hAnsi="Cambria"/>
                <w:b w:val="0"/>
                <w:i w:val="0"/>
                <w:sz w:val="17"/>
              </w:rPr>
              <w:t>— funded by Client-sourced investors</w:t>
            </w:r>
          </w:p>
        </w:tc>
        <w:tc>
          <w:tcPr>
            <w:tcW w:type="dxa" w:w="4819"/>
          </w:tcPr>
          <w:p>
            <w:pPr>
              <w:spacing w:after="40" w:before="40"/>
            </w:pPr>
            <w:r/>
            <w:r>
              <w:rPr>
                <w:rFonts w:ascii="Cambria" w:hAnsi="Cambria"/>
                <w:b w:val="0"/>
                <w:i w:val="0"/>
                <w:sz w:val="17"/>
              </w:rPr>
              <w:t>EGP 4,000,000</w:t>
            </w:r>
          </w:p>
        </w:tc>
      </w:tr>
      <w:tr>
        <w:tc>
          <w:tcPr>
            <w:tcW w:type="dxa" w:w="4819"/>
            <w:shd w:val="clear" w:color="auto" w:fill="F2F5F8"/>
          </w:tcPr>
          <w:p>
            <w:pPr>
              <w:spacing w:after="40" w:before="40"/>
            </w:pPr>
            <w:r/>
            <w:r>
              <w:rPr>
                <w:rFonts w:ascii="Cambria" w:hAnsi="Cambria"/>
                <w:b w:val="0"/>
                <w:i w:val="0"/>
                <w:sz w:val="17"/>
              </w:rPr>
              <w:t>Success Fee (10% × EGP 6,000,000)</w:t>
            </w:r>
          </w:p>
        </w:tc>
        <w:tc>
          <w:tcPr>
            <w:tcW w:type="dxa" w:w="4819"/>
            <w:shd w:val="clear" w:color="auto" w:fill="F2F5F8"/>
          </w:tcPr>
          <w:p>
            <w:pPr>
              <w:spacing w:after="40" w:before="40"/>
            </w:pPr>
            <w:r/>
            <w:r>
              <w:rPr>
                <w:rFonts w:ascii="Cambria" w:hAnsi="Cambria"/>
                <w:b/>
                <w:i w:val="0"/>
                <w:sz w:val="17"/>
              </w:rPr>
              <w:t>EGP 600,000</w:t>
            </w:r>
          </w:p>
        </w:tc>
      </w:tr>
      <w:tr>
        <w:tc>
          <w:tcPr>
            <w:tcW w:type="dxa" w:w="4819"/>
          </w:tcPr>
          <w:p>
            <w:pPr>
              <w:spacing w:after="40" w:before="40"/>
            </w:pPr>
            <w:r/>
            <w:r>
              <w:rPr>
                <w:rFonts w:ascii="Cambria" w:hAnsi="Cambria"/>
                <w:b w:val="0"/>
                <w:i w:val="0"/>
                <w:sz w:val="17"/>
              </w:rPr>
              <w:t>Fixed fee</w:t>
            </w:r>
          </w:p>
        </w:tc>
        <w:tc>
          <w:tcPr>
            <w:tcW w:type="dxa" w:w="4819"/>
          </w:tcPr>
          <w:p>
            <w:pPr>
              <w:spacing w:after="40" w:before="40"/>
            </w:pPr>
            <w:r/>
            <w:r>
              <w:rPr>
                <w:rFonts w:ascii="Cambria" w:hAnsi="Cambria"/>
                <w:b w:val="0"/>
                <w:i w:val="0"/>
                <w:sz w:val="17"/>
              </w:rPr>
              <w:t>EGP 150,000</w:t>
            </w:r>
          </w:p>
        </w:tc>
      </w:tr>
      <w:tr>
        <w:tc>
          <w:tcPr>
            <w:tcW w:type="dxa" w:w="4819"/>
            <w:shd w:val="clear" w:color="auto" w:fill="F2F5F8"/>
          </w:tcPr>
          <w:p>
            <w:pPr>
              <w:spacing w:after="40" w:before="40"/>
            </w:pPr>
            <w:r/>
            <w:r>
              <w:rPr>
                <w:rFonts w:ascii="Cambria" w:hAnsi="Cambria"/>
                <w:b/>
                <w:i w:val="0"/>
                <w:sz w:val="17"/>
              </w:rPr>
              <w:t>Total Consultant compensation</w:t>
            </w:r>
          </w:p>
        </w:tc>
        <w:tc>
          <w:tcPr>
            <w:tcW w:type="dxa" w:w="4819"/>
            <w:shd w:val="clear" w:color="auto" w:fill="F2F5F8"/>
          </w:tcPr>
          <w:p>
            <w:pPr>
              <w:spacing w:after="40" w:before="40"/>
            </w:pPr>
            <w:r/>
            <w:r>
              <w:rPr>
                <w:rFonts w:ascii="Cambria" w:hAnsi="Cambria"/>
                <w:b/>
                <w:i w:val="0"/>
                <w:sz w:val="17"/>
              </w:rPr>
              <w:t>EGP 750,000</w:t>
            </w:r>
          </w:p>
        </w:tc>
      </w:tr>
    </w:tbl>
    <w:p>
      <w:pPr>
        <w:spacing w:after="40"/>
      </w:pPr>
    </w:p>
    <w:p>
      <w:pPr>
        <w:spacing w:after="120"/>
      </w:pPr>
      <w:r>
        <w:rPr>
          <w:rFonts w:ascii="Cambria" w:hAnsi="Cambria"/>
          <w:b w:val="0"/>
          <w:i w:val="0"/>
        </w:rPr>
        <w:t>The Success Fee is payable per tranche, on amounts actually received in cleared funds. Attribution is governed by the Investor Log at Schedule E, which is maintained live and visible to Btakka throughout — there is no retrospective argument about who brought whom.</w:t>
      </w:r>
    </w:p>
    <w:p>
      <w:pPr>
        <w:keepNext/>
        <w:spacing w:before="240" w:after="80"/>
      </w:pPr>
      <w:r>
        <w:rPr>
          <w:rFonts w:ascii="Calibri" w:hAnsi="Calibri"/>
          <w:b/>
          <w:i w:val="0"/>
          <w:color w:val="1C4A73"/>
          <w:sz w:val="23"/>
        </w:rPr>
        <w:t>Total engagement value</w:t>
      </w:r>
    </w:p>
    <w:p>
      <w:pPr>
        <w:spacing w:after="120"/>
      </w:pPr>
      <w:r>
        <w:rPr>
          <w:rFonts w:ascii="Cambria" w:hAnsi="Cambria"/>
          <w:b/>
          <w:i w:val="0"/>
        </w:rPr>
        <w:t>EGP 150,000 fixed + 10% of Consultant-introduced tickets.</w:t>
      </w:r>
    </w:p>
    <w:p>
      <w:pPr>
        <w:spacing w:after="120"/>
      </w:pPr>
      <w:r>
        <w:rPr>
          <w:rFonts w:ascii="Cambria" w:hAnsi="Cambria"/>
          <w:b w:val="0"/>
          <w:i w:val="0"/>
        </w:rPr>
        <w:t xml:space="preserve">Full payment mechanics, taxes, expenses and treatment of non-cash consideration are at </w:t>
      </w:r>
      <w:r>
        <w:rPr>
          <w:rFonts w:ascii="Cambria" w:hAnsi="Cambria"/>
          <w:b/>
          <w:i w:val="0"/>
        </w:rPr>
        <w:t>Clause 6</w:t>
      </w:r>
      <w:r>
        <w:rPr>
          <w:rFonts w:ascii="Cambria" w:hAnsi="Cambria"/>
          <w:b w:val="0"/>
          <w:i w:val="0"/>
        </w:rPr>
        <w:t xml:space="preserve"> and </w:t>
      </w:r>
      <w:r>
        <w:rPr>
          <w:rFonts w:ascii="Cambria" w:hAnsi="Cambria"/>
          <w:b/>
          <w:i w:val="0"/>
        </w:rPr>
        <w:t>Schedule D</w:t>
      </w:r>
      <w:r>
        <w:rPr>
          <w:rFonts w:ascii="Cambria" w:hAnsi="Cambria"/>
          <w:b w:val="0"/>
          <w:i w:val="0"/>
        </w:rPr>
        <w:t>.</w:t>
      </w:r>
    </w:p>
    <w:p>
      <w:pPr>
        <w:spacing w:before="120" w:after="120"/>
        <w:pBdr>
          <w:bottom w:val="single" w:sz="6" w:space="1" w:color="C2CCD6"/>
        </w:pBdr>
      </w:pPr>
    </w:p>
    <w:p>
      <w:pPr>
        <w:keepNext/>
        <w:spacing w:before="320" w:after="100"/>
      </w:pPr>
      <w:r>
        <w:rPr>
          <w:rFonts w:ascii="Calibri" w:hAnsi="Calibri"/>
          <w:b/>
          <w:i w:val="0"/>
          <w:color w:val="0F2C4A"/>
          <w:sz w:val="27"/>
        </w:rPr>
        <w:t>11. Assumptions and Exclusions</w:t>
      </w:r>
    </w:p>
    <w:p>
      <w:pPr>
        <w:keepNext/>
        <w:spacing w:before="240" w:after="80"/>
      </w:pPr>
      <w:r>
        <w:rPr>
          <w:rFonts w:ascii="Calibri" w:hAnsi="Calibri"/>
          <w:b/>
          <w:i w:val="0"/>
          <w:color w:val="1C4A73"/>
          <w:sz w:val="23"/>
        </w:rPr>
        <w:t>Assumptions</w:t>
      </w:r>
    </w:p>
    <w:p>
      <w:pPr>
        <w:pStyle w:val="ListNumber"/>
        <w:spacing w:after="60"/>
        <w:ind w:left="397"/>
      </w:pPr>
      <w:r>
        <w:rPr>
          <w:rFonts w:ascii="Cambria" w:hAnsi="Cambria"/>
          <w:b w:val="0"/>
          <w:i w:val="0"/>
        </w:rPr>
        <w:t>Btakka is a validly registered entity in the Arab Republic of Egypt with authority to raise investment.</w:t>
      </w:r>
    </w:p>
    <w:p>
      <w:pPr>
        <w:pStyle w:val="ListNumber"/>
        <w:spacing w:after="60"/>
        <w:ind w:left="397"/>
      </w:pPr>
      <w:r>
        <w:rPr>
          <w:rFonts w:ascii="Cambria" w:hAnsi="Cambria"/>
          <w:b w:val="0"/>
          <w:i w:val="0"/>
        </w:rPr>
        <w:t>The founding team is aligned on raising, on round size and on dilution tolerance.</w:t>
      </w:r>
    </w:p>
    <w:p>
      <w:pPr>
        <w:pStyle w:val="ListNumber"/>
        <w:spacing w:after="60"/>
        <w:ind w:left="397"/>
      </w:pPr>
      <w:r>
        <w:rPr>
          <w:rFonts w:ascii="Cambria" w:hAnsi="Cambria"/>
          <w:b w:val="0"/>
          <w:i w:val="0"/>
        </w:rPr>
        <w:t>Historic financial records exist in a reconstructable form, even if informal.</w:t>
      </w:r>
    </w:p>
    <w:p>
      <w:pPr>
        <w:pStyle w:val="ListNumber"/>
        <w:spacing w:after="60"/>
        <w:ind w:left="397"/>
      </w:pPr>
      <w:r>
        <w:rPr>
          <w:rFonts w:ascii="Cambria" w:hAnsi="Cambria"/>
          <w:b w:val="0"/>
          <w:i w:val="0"/>
        </w:rPr>
        <w:t>The founders are available for the workshop programme and for investor meetings.</w:t>
      </w:r>
    </w:p>
    <w:p>
      <w:pPr>
        <w:pStyle w:val="ListNumber"/>
        <w:spacing w:after="60"/>
        <w:ind w:left="397"/>
      </w:pPr>
      <w:r>
        <w:rPr>
          <w:rFonts w:ascii="Cambria" w:hAnsi="Cambria"/>
          <w:b w:val="0"/>
          <w:i w:val="0"/>
        </w:rPr>
        <w:t>Information provided to the Consultant is accurate, complete and not misleading.</w:t>
      </w:r>
    </w:p>
    <w:p>
      <w:pPr>
        <w:pStyle w:val="ListNumber"/>
        <w:spacing w:after="60"/>
        <w:ind w:left="397"/>
      </w:pPr>
      <w:r>
        <w:rPr>
          <w:rFonts w:ascii="Cambria" w:hAnsi="Cambria"/>
          <w:b w:val="0"/>
          <w:i w:val="0"/>
        </w:rPr>
        <w:t>Btakka has, or will appoint, Egyptian legal counsel for transaction documents.</w:t>
      </w:r>
    </w:p>
    <w:p>
      <w:pPr>
        <w:keepNext/>
        <w:spacing w:before="240" w:after="80"/>
      </w:pPr>
      <w:r>
        <w:rPr>
          <w:rFonts w:ascii="Calibri" w:hAnsi="Calibri"/>
          <w:b/>
          <w:i w:val="0"/>
          <w:color w:val="1C4A73"/>
          <w:sz w:val="23"/>
        </w:rPr>
        <w:t>Not included in this engagement</w:t>
      </w:r>
    </w:p>
    <w:p>
      <w:pPr>
        <w:spacing w:after="120"/>
      </w:pPr>
      <w:r>
        <w:rPr>
          <w:rFonts w:ascii="Cambria" w:hAnsi="Cambria"/>
          <w:b w:val="0"/>
          <w:i w:val="0"/>
        </w:rPr>
        <w:t>The following are outside scope. Any of them can be added by written variation.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Excluded</w:t>
            </w:r>
          </w:p>
        </w:tc>
        <w:tc>
          <w:tcPr>
            <w:tcW w:type="dxa" w:w="4819"/>
            <w:shd w:val="clear" w:color="auto" w:fill="0F2C4A"/>
          </w:tcPr>
          <w:p>
            <w:pPr>
              <w:spacing w:after="40" w:before="40"/>
            </w:pPr>
            <w:r/>
            <w:r>
              <w:rPr>
                <w:rFonts w:ascii="Calibri" w:hAnsi="Calibri"/>
                <w:b/>
                <w:i w:val="0"/>
                <w:color w:val="FFFFFF"/>
                <w:sz w:val="17"/>
              </w:rPr>
              <w:t>Note</w:t>
            </w:r>
          </w:p>
        </w:tc>
      </w:tr>
      <w:tr>
        <w:tc>
          <w:tcPr>
            <w:tcW w:type="dxa" w:w="4819"/>
          </w:tcPr>
          <w:p>
            <w:pPr>
              <w:spacing w:after="40" w:before="40"/>
            </w:pPr>
            <w:r/>
            <w:r>
              <w:rPr>
                <w:rFonts w:ascii="Cambria" w:hAnsi="Cambria"/>
                <w:b w:val="0"/>
                <w:i w:val="0"/>
                <w:sz w:val="17"/>
              </w:rPr>
              <w:t>Legal drafting of transaction documents</w:t>
            </w:r>
          </w:p>
        </w:tc>
        <w:tc>
          <w:tcPr>
            <w:tcW w:type="dxa" w:w="4819"/>
          </w:tcPr>
          <w:p>
            <w:pPr>
              <w:spacing w:after="40" w:before="40"/>
            </w:pPr>
            <w:r/>
            <w:r>
              <w:rPr>
                <w:rFonts w:ascii="Cambria" w:hAnsi="Cambria"/>
                <w:b w:val="0"/>
                <w:i w:val="0"/>
                <w:sz w:val="17"/>
              </w:rPr>
              <w:t>Requires licensed Egyptian counsel; the Consultant reviews commercially and coordinates</w:t>
            </w:r>
          </w:p>
        </w:tc>
      </w:tr>
      <w:tr>
        <w:tc>
          <w:tcPr>
            <w:tcW w:type="dxa" w:w="4819"/>
            <w:shd w:val="clear" w:color="auto" w:fill="F2F5F8"/>
          </w:tcPr>
          <w:p>
            <w:pPr>
              <w:spacing w:after="40" w:before="40"/>
            </w:pPr>
            <w:r/>
            <w:r>
              <w:rPr>
                <w:rFonts w:ascii="Cambria" w:hAnsi="Cambria"/>
                <w:b w:val="0"/>
                <w:i w:val="0"/>
                <w:sz w:val="17"/>
              </w:rPr>
              <w:t>Statutory audit or accounting bookkeeping</w:t>
            </w:r>
          </w:p>
        </w:tc>
        <w:tc>
          <w:tcPr>
            <w:tcW w:type="dxa" w:w="4819"/>
            <w:shd w:val="clear" w:color="auto" w:fill="F2F5F8"/>
          </w:tcPr>
          <w:p>
            <w:pPr>
              <w:spacing w:after="40" w:before="40"/>
            </w:pPr>
            <w:r/>
            <w:r>
              <w:rPr>
                <w:rFonts w:ascii="Cambria" w:hAnsi="Cambria"/>
                <w:b w:val="0"/>
                <w:i w:val="0"/>
                <w:sz w:val="17"/>
              </w:rPr>
              <w:t>Requires a licensed auditor; the Consultant can refer</w:t>
            </w:r>
          </w:p>
        </w:tc>
      </w:tr>
      <w:tr>
        <w:tc>
          <w:tcPr>
            <w:tcW w:type="dxa" w:w="4819"/>
          </w:tcPr>
          <w:p>
            <w:pPr>
              <w:spacing w:after="40" w:before="40"/>
            </w:pPr>
            <w:r/>
            <w:r>
              <w:rPr>
                <w:rFonts w:ascii="Cambria" w:hAnsi="Cambria"/>
                <w:b w:val="0"/>
                <w:i w:val="0"/>
                <w:sz w:val="17"/>
              </w:rPr>
              <w:t>Tax and corporate structuring advice</w:t>
            </w:r>
          </w:p>
        </w:tc>
        <w:tc>
          <w:tcPr>
            <w:tcW w:type="dxa" w:w="4819"/>
          </w:tcPr>
          <w:p>
            <w:pPr>
              <w:spacing w:after="40" w:before="40"/>
            </w:pPr>
            <w:r/>
            <w:r>
              <w:rPr>
                <w:rFonts w:ascii="Cambria" w:hAnsi="Cambria"/>
                <w:b w:val="0"/>
                <w:i w:val="0"/>
                <w:sz w:val="17"/>
              </w:rPr>
              <w:t>Requires a licensed tax advisor</w:t>
            </w:r>
          </w:p>
        </w:tc>
      </w:tr>
      <w:tr>
        <w:tc>
          <w:tcPr>
            <w:tcW w:type="dxa" w:w="4819"/>
            <w:shd w:val="clear" w:color="auto" w:fill="F2F5F8"/>
          </w:tcPr>
          <w:p>
            <w:pPr>
              <w:spacing w:after="40" w:before="40"/>
            </w:pPr>
            <w:r/>
            <w:r>
              <w:rPr>
                <w:rFonts w:ascii="Cambria" w:hAnsi="Cambria"/>
                <w:b w:val="0"/>
                <w:i w:val="0"/>
                <w:sz w:val="17"/>
              </w:rPr>
              <w:t>Company registration, licensing or regulatory filings</w:t>
            </w:r>
          </w:p>
        </w:tc>
        <w:tc>
          <w:tcPr>
            <w:tcW w:type="dxa" w:w="4819"/>
            <w:shd w:val="clear" w:color="auto" w:fill="F2F5F8"/>
          </w:tcPr>
          <w:p>
            <w:pPr>
              <w:spacing w:after="40" w:before="40"/>
            </w:pPr>
            <w:r/>
            <w:r>
              <w:rPr>
                <w:rFonts w:ascii="Cambria" w:hAnsi="Cambria"/>
                <w:b w:val="0"/>
                <w:i w:val="0"/>
                <w:sz w:val="17"/>
              </w:rPr>
              <w:t>Client responsibility</w:t>
            </w:r>
          </w:p>
        </w:tc>
      </w:tr>
      <w:tr>
        <w:tc>
          <w:tcPr>
            <w:tcW w:type="dxa" w:w="4819"/>
          </w:tcPr>
          <w:p>
            <w:pPr>
              <w:spacing w:after="40" w:before="40"/>
            </w:pPr>
            <w:r/>
            <w:r>
              <w:rPr>
                <w:rFonts w:ascii="Cambria" w:hAnsi="Cambria"/>
                <w:b w:val="0"/>
                <w:i w:val="0"/>
                <w:sz w:val="17"/>
              </w:rPr>
              <w:t>Product development, design or engineering</w:t>
            </w:r>
          </w:p>
        </w:tc>
        <w:tc>
          <w:tcPr>
            <w:tcW w:type="dxa" w:w="4819"/>
          </w:tcPr>
          <w:p>
            <w:pPr>
              <w:spacing w:after="40" w:before="40"/>
            </w:pPr>
            <w:r/>
            <w:r>
              <w:rPr>
                <w:rFonts w:ascii="Cambria" w:hAnsi="Cambria"/>
                <w:b w:val="0"/>
                <w:i w:val="0"/>
                <w:sz w:val="17"/>
              </w:rPr>
              <w:t>Client responsibility</w:t>
            </w:r>
          </w:p>
        </w:tc>
      </w:tr>
      <w:tr>
        <w:tc>
          <w:tcPr>
            <w:tcW w:type="dxa" w:w="4819"/>
            <w:shd w:val="clear" w:color="auto" w:fill="F2F5F8"/>
          </w:tcPr>
          <w:p>
            <w:pPr>
              <w:spacing w:after="40" w:before="40"/>
            </w:pPr>
            <w:r/>
            <w:r>
              <w:rPr>
                <w:rFonts w:ascii="Cambria" w:hAnsi="Cambria"/>
                <w:b w:val="0"/>
                <w:i w:val="0"/>
                <w:sz w:val="17"/>
              </w:rPr>
              <w:t>Brand identity creation</w:t>
            </w:r>
          </w:p>
        </w:tc>
        <w:tc>
          <w:tcPr>
            <w:tcW w:type="dxa" w:w="4819"/>
            <w:shd w:val="clear" w:color="auto" w:fill="F2F5F8"/>
          </w:tcPr>
          <w:p>
            <w:pPr>
              <w:spacing w:after="40" w:before="40"/>
            </w:pPr>
            <w:r/>
            <w:r>
              <w:rPr>
                <w:rFonts w:ascii="Cambria" w:hAnsi="Cambria"/>
                <w:b w:val="0"/>
                <w:i w:val="0"/>
                <w:sz w:val="17"/>
              </w:rPr>
              <w:t>Btakka's existing brand guidelines are applied, not created</w:t>
            </w:r>
          </w:p>
        </w:tc>
      </w:tr>
      <w:tr>
        <w:tc>
          <w:tcPr>
            <w:tcW w:type="dxa" w:w="4819"/>
          </w:tcPr>
          <w:p>
            <w:pPr>
              <w:spacing w:after="40" w:before="40"/>
            </w:pPr>
            <w:r/>
            <w:r>
              <w:rPr>
                <w:rFonts w:ascii="Cambria" w:hAnsi="Cambria"/>
                <w:b w:val="0"/>
                <w:i w:val="0"/>
                <w:sz w:val="17"/>
              </w:rPr>
              <w:t>Paid data subscriptions, data room software, travel</w:t>
            </w:r>
          </w:p>
        </w:tc>
        <w:tc>
          <w:tcPr>
            <w:tcW w:type="dxa" w:w="4819"/>
          </w:tcPr>
          <w:p>
            <w:pPr>
              <w:spacing w:after="40" w:before="40"/>
            </w:pPr>
            <w:r/>
            <w:r>
              <w:rPr>
                <w:rFonts w:ascii="Cambria" w:hAnsi="Cambria"/>
                <w:b w:val="0"/>
                <w:i w:val="0"/>
                <w:sz w:val="17"/>
              </w:rPr>
              <w:t>Pre-approved pass-through cost (Clause 6.7)</w:t>
            </w:r>
          </w:p>
        </w:tc>
      </w:tr>
      <w:tr>
        <w:tc>
          <w:tcPr>
            <w:tcW w:type="dxa" w:w="4819"/>
            <w:shd w:val="clear" w:color="auto" w:fill="F2F5F8"/>
          </w:tcPr>
          <w:p>
            <w:pPr>
              <w:spacing w:after="40" w:before="40"/>
            </w:pPr>
            <w:r/>
            <w:r>
              <w:rPr>
                <w:rFonts w:ascii="Cambria" w:hAnsi="Cambria"/>
                <w:b w:val="0"/>
                <w:i w:val="0"/>
                <w:sz w:val="17"/>
              </w:rPr>
              <w:t>Series A or any subsequent round</w:t>
            </w:r>
          </w:p>
        </w:tc>
        <w:tc>
          <w:tcPr>
            <w:tcW w:type="dxa" w:w="4819"/>
            <w:shd w:val="clear" w:color="auto" w:fill="F2F5F8"/>
          </w:tcPr>
          <w:p>
            <w:pPr>
              <w:spacing w:after="40" w:before="40"/>
            </w:pPr>
            <w:r/>
            <w:r>
              <w:rPr>
                <w:rFonts w:ascii="Cambria" w:hAnsi="Cambria"/>
                <w:b w:val="0"/>
                <w:i w:val="0"/>
                <w:sz w:val="17"/>
              </w:rPr>
              <w:t>A new engagement</w:t>
            </w:r>
          </w:p>
        </w:tc>
      </w:tr>
      <w:tr>
        <w:tc>
          <w:tcPr>
            <w:tcW w:type="dxa" w:w="4819"/>
          </w:tcPr>
          <w:p>
            <w:pPr>
              <w:spacing w:after="40" w:before="40"/>
            </w:pPr>
            <w:r/>
            <w:r>
              <w:rPr>
                <w:rFonts w:ascii="Cambria" w:hAnsi="Cambria"/>
                <w:b w:val="0"/>
                <w:i w:val="0"/>
                <w:sz w:val="17"/>
              </w:rPr>
              <w:t>Debt arrangement, grant writing or soft-funding applications</w:t>
            </w:r>
          </w:p>
        </w:tc>
        <w:tc>
          <w:tcPr>
            <w:tcW w:type="dxa" w:w="4819"/>
          </w:tcPr>
          <w:p>
            <w:pPr>
              <w:spacing w:after="40" w:before="40"/>
            </w:pPr>
            <w:r/>
            <w:r>
              <w:rPr>
                <w:rFonts w:ascii="Cambria" w:hAnsi="Cambria"/>
                <w:b w:val="0"/>
                <w:i w:val="0"/>
                <w:sz w:val="17"/>
              </w:rPr>
              <w:t>Can be added by variation</w:t>
            </w:r>
          </w:p>
        </w:tc>
      </w:tr>
      <w:tr>
        <w:tc>
          <w:tcPr>
            <w:tcW w:type="dxa" w:w="4819"/>
            <w:shd w:val="clear" w:color="auto" w:fill="F2F5F8"/>
          </w:tcPr>
          <w:p>
            <w:pPr>
              <w:spacing w:after="40" w:before="40"/>
            </w:pPr>
            <w:r/>
            <w:r>
              <w:rPr>
                <w:rFonts w:ascii="Cambria" w:hAnsi="Cambria"/>
                <w:b w:val="0"/>
                <w:i w:val="0"/>
                <w:sz w:val="17"/>
              </w:rPr>
              <w:t>Any guarantee that the round will be funded</w:t>
            </w:r>
          </w:p>
        </w:tc>
        <w:tc>
          <w:tcPr>
            <w:tcW w:type="dxa" w:w="4819"/>
            <w:shd w:val="clear" w:color="auto" w:fill="F2F5F8"/>
          </w:tcPr>
          <w:p>
            <w:pPr>
              <w:spacing w:after="40" w:before="40"/>
            </w:pPr>
            <w:r/>
            <w:r>
              <w:rPr>
                <w:rFonts w:ascii="Cambria" w:hAnsi="Cambria"/>
                <w:b w:val="0"/>
                <w:i w:val="0"/>
                <w:sz w:val="17"/>
              </w:rPr>
              <w:t>See Clause 12</w:t>
            </w:r>
          </w:p>
        </w:tc>
      </w:tr>
    </w:tbl>
    <w:p>
      <w:pPr>
        <w:spacing w:after="40"/>
      </w:pPr>
    </w:p>
    <w:p>
      <w:pPr>
        <w:spacing w:before="120" w:after="120"/>
        <w:pBdr>
          <w:bottom w:val="single" w:sz="6" w:space="1" w:color="C2CCD6"/>
        </w:pBdr>
      </w:pPr>
    </w:p>
    <w:p>
      <w:pPr>
        <w:keepNext/>
        <w:spacing w:before="320" w:after="100"/>
      </w:pPr>
      <w:r>
        <w:rPr>
          <w:rFonts w:ascii="Calibri" w:hAnsi="Calibri"/>
          <w:b/>
          <w:i w:val="0"/>
          <w:color w:val="0F2C4A"/>
          <w:sz w:val="27"/>
        </w:rPr>
        <w:t>12. Why This Engagement</w:t>
      </w:r>
    </w:p>
    <w:p>
      <w:pPr>
        <w:spacing w:after="120"/>
      </w:pPr>
      <w:r>
        <w:rPr>
          <w:rFonts w:ascii="Cambria" w:hAnsi="Cambria"/>
          <w:b/>
          <w:i w:val="0"/>
        </w:rPr>
        <w:t>The work is done before the meeting, not during it.</w:t>
      </w:r>
      <w:r>
        <w:rPr>
          <w:rFonts w:ascii="Cambria" w:hAnsi="Cambria"/>
          <w:b w:val="0"/>
          <w:i w:val="0"/>
        </w:rPr>
        <w:t xml:space="preserve"> Most pre-seed companies start assembling a data room after an investor asks for one. By then the momentum is gone. This engagement front-loads the entire evidence package into four weeks so that outreach begins from a position of complete readiness.</w:t>
      </w:r>
    </w:p>
    <w:p>
      <w:pPr>
        <w:spacing w:after="120"/>
      </w:pPr>
      <w:r>
        <w:rPr>
          <w:rFonts w:ascii="Cambria" w:hAnsi="Cambria"/>
          <w:b/>
          <w:i w:val="0"/>
        </w:rPr>
        <w:t>The numbers are built to be attacked.</w:t>
      </w:r>
      <w:r>
        <w:rPr>
          <w:rFonts w:ascii="Cambria" w:hAnsi="Cambria"/>
          <w:b w:val="0"/>
          <w:i w:val="0"/>
        </w:rPr>
        <w:t xml:space="preserve"> Fifty-plus models built and reviewed means the model Btakka receives has already been stress-tested against the specific objections pre-seed investors raise in this market.</w:t>
      </w:r>
    </w:p>
    <w:p>
      <w:pPr>
        <w:spacing w:after="120"/>
      </w:pPr>
      <w:r>
        <w:rPr>
          <w:rFonts w:ascii="Cambria" w:hAnsi="Cambria"/>
          <w:b/>
          <w:i w:val="0"/>
        </w:rPr>
        <w:t>The founders keep the capability.</w:t>
      </w:r>
      <w:r>
        <w:rPr>
          <w:rFonts w:ascii="Cambria" w:hAnsi="Cambria"/>
          <w:b w:val="0"/>
          <w:i w:val="0"/>
        </w:rPr>
        <w:t xml:space="preserve"> The workshop structure exists so that Btakka's team can defend every assumption after the engagement ends — in this round and in the next one.</w:t>
      </w:r>
    </w:p>
    <w:p>
      <w:pPr>
        <w:spacing w:after="120"/>
      </w:pPr>
      <w:r>
        <w:rPr>
          <w:rFonts w:ascii="Cambria" w:hAnsi="Cambria"/>
          <w:b/>
          <w:i w:val="0"/>
        </w:rPr>
        <w:t>The incentives are aligned.</w:t>
      </w:r>
      <w:r>
        <w:rPr>
          <w:rFonts w:ascii="Cambria" w:hAnsi="Cambria"/>
          <w:b w:val="0"/>
          <w:i w:val="0"/>
        </w:rPr>
        <w:t xml:space="preserve"> EGP 90,000 of the fixed fee and the entire Success Fee sit behind a close. The Consultant is paid properly when Btakka is funded.</w:t>
      </w:r>
    </w:p>
    <w:p>
      <w:pPr>
        <w:spacing w:after="120"/>
      </w:pPr>
      <w:r>
        <w:rPr>
          <w:rFonts w:ascii="Cambria" w:hAnsi="Cambria"/>
          <w:b/>
          <w:i w:val="0"/>
        </w:rPr>
        <w:t>The process is transparent.</w:t>
      </w:r>
      <w:r>
        <w:rPr>
          <w:rFonts w:ascii="Cambria" w:hAnsi="Cambria"/>
          <w:b w:val="0"/>
          <w:i w:val="0"/>
        </w:rPr>
        <w:t xml:space="preserve"> Weekly pipeline reporting and a live Investor Log mean Btakka always knows exactly where the round stands.</w:t>
      </w:r>
    </w:p>
    <w:p>
      <w:pPr>
        <w:spacing w:before="120" w:after="120"/>
        <w:pBdr>
          <w:bottom w:val="single" w:sz="6" w:space="1" w:color="C2CCD6"/>
        </w:pBdr>
      </w:pPr>
    </w:p>
    <w:p>
      <w:pPr>
        <w:spacing w:before="0" w:after="200"/>
        <w:keepNext/>
        <w:pBdr>
          <w:bottom w:val="single" w:sz="12" w:space="4" w:color="0F2C4A"/>
        </w:pBdr>
      </w:pPr>
      <w:r>
        <w:br w:type="page"/>
      </w:r>
      <w:r>
        <w:rPr>
          <w:rFonts w:ascii="Calibri" w:hAnsi="Calibri"/>
          <w:b/>
          <w:i w:val="0"/>
          <w:color w:val="0F2C4A"/>
          <w:sz w:val="38"/>
        </w:rPr>
        <w:t>PART II — CONSULTING AGREEMENT</w:t>
      </w:r>
    </w:p>
    <w:p>
      <w:pPr>
        <w:spacing w:after="120"/>
      </w:pPr>
      <w:r>
        <w:rPr>
          <w:rFonts w:ascii="Cambria" w:hAnsi="Cambria"/>
          <w:b/>
          <w:i w:val="0"/>
        </w:rPr>
        <w:t>Investment Readiness and Investment Round Management Services Agreement</w:t>
      </w:r>
    </w:p>
    <w:p>
      <w:pPr>
        <w:spacing w:after="120"/>
      </w:pPr>
      <w:r>
        <w:rPr>
          <w:rFonts w:ascii="Cambria" w:hAnsi="Cambria"/>
          <w:b w:val="0"/>
          <w:i w:val="0"/>
        </w:rPr>
        <w:t xml:space="preserve">This Agreement is made on </w:t>
      </w:r>
      <w:r>
        <w:rPr>
          <w:rFonts w:ascii="Cambria" w:hAnsi="Cambria"/>
          <w:b/>
          <w:i w:val="0"/>
        </w:rPr>
        <w:t>[ ___ / ___ / 2026 ]</w:t>
      </w:r>
      <w:r>
        <w:rPr>
          <w:rFonts w:ascii="Cambria" w:hAnsi="Cambria"/>
          <w:b w:val="0"/>
          <w:i w:val="0"/>
        </w:rPr>
        <w:t xml:space="preserve"> (the "</w:t>
      </w:r>
      <w:r>
        <w:rPr>
          <w:rFonts w:ascii="Cambria" w:hAnsi="Cambria"/>
          <w:b/>
          <w:i w:val="0"/>
        </w:rPr>
        <w:t>Effective Date</w:t>
      </w:r>
      <w:r>
        <w:rPr>
          <w:rFonts w:ascii="Cambria" w:hAnsi="Cambria"/>
          <w:b w:val="0"/>
          <w:i w:val="0"/>
        </w:rPr>
        <w:t>")</w:t>
      </w:r>
    </w:p>
    <w:p>
      <w:pPr>
        <w:spacing w:after="120"/>
      </w:pPr>
      <w:r>
        <w:rPr>
          <w:rFonts w:ascii="Cambria" w:hAnsi="Cambria"/>
          <w:b/>
          <w:i w:val="0"/>
        </w:rPr>
        <w:t>BETWEEN:</w:t>
      </w:r>
    </w:p>
    <w:p>
      <w:pPr>
        <w:spacing w:after="120"/>
      </w:pPr>
      <w:r>
        <w:rPr>
          <w:rFonts w:ascii="Cambria" w:hAnsi="Cambria"/>
          <w:b/>
          <w:i w:val="0"/>
        </w:rPr>
        <w:t>(1) ABDELRHMAN SOLIMAN</w:t>
      </w:r>
      <w:r>
        <w:rPr>
          <w:rFonts w:ascii="Cambria" w:hAnsi="Cambria"/>
          <w:b w:val="0"/>
          <w:i w:val="0"/>
        </w:rPr>
        <w:t xml:space="preserve">, an independent investment advisor and consultant, of Cairo, Arab Republic of Egypt, National ID / Tax Registration No. </w:t>
      </w:r>
      <w:r>
        <w:rPr>
          <w:rFonts w:ascii="Cambria" w:hAnsi="Cambria"/>
          <w:b/>
          <w:i w:val="0"/>
        </w:rPr>
        <w:t>[ ]</w:t>
      </w:r>
      <w:r>
        <w:rPr>
          <w:rFonts w:ascii="Cambria" w:hAnsi="Cambria"/>
          <w:b w:val="0"/>
          <w:i w:val="0"/>
        </w:rPr>
        <w:t xml:space="preserve">, of </w:t>
      </w:r>
      <w:r>
        <w:rPr>
          <w:rFonts w:ascii="Cambria" w:hAnsi="Cambria"/>
          <w:b/>
          <w:i w:val="0"/>
        </w:rPr>
        <w:t>[ address ]</w:t>
      </w:r>
      <w:r>
        <w:rPr>
          <w:rFonts w:ascii="Cambria" w:hAnsi="Cambria"/>
          <w:b w:val="0"/>
          <w:i w:val="0"/>
        </w:rPr>
        <w:t xml:space="preserve"> (the "</w:t>
      </w:r>
      <w:r>
        <w:rPr>
          <w:rFonts w:ascii="Cambria" w:hAnsi="Cambria"/>
          <w:b/>
          <w:i w:val="0"/>
        </w:rPr>
        <w:t>Consultant</w:t>
      </w:r>
      <w:r>
        <w:rPr>
          <w:rFonts w:ascii="Cambria" w:hAnsi="Cambria"/>
          <w:b w:val="0"/>
          <w:i w:val="0"/>
        </w:rPr>
        <w:t>"); and</w:t>
      </w:r>
    </w:p>
    <w:p>
      <w:pPr>
        <w:spacing w:after="120"/>
      </w:pPr>
      <w:r>
        <w:rPr>
          <w:rFonts w:ascii="Cambria" w:hAnsi="Cambria"/>
          <w:b/>
          <w:i w:val="0"/>
        </w:rPr>
        <w:t>(2) [ INSERT FULL REGISTERED LEGAL NAME ]</w:t>
      </w:r>
      <w:r>
        <w:rPr>
          <w:rFonts w:ascii="Cambria" w:hAnsi="Cambria"/>
          <w:b w:val="0"/>
          <w:i w:val="0"/>
        </w:rPr>
        <w:t xml:space="preserve">, trading as </w:t>
      </w:r>
      <w:r>
        <w:rPr>
          <w:rFonts w:ascii="Cambria" w:hAnsi="Cambria"/>
          <w:b/>
          <w:i w:val="0"/>
        </w:rPr>
        <w:t>Btakka</w:t>
      </w:r>
      <w:r>
        <w:rPr>
          <w:rFonts w:ascii="Cambria" w:hAnsi="Cambria"/>
          <w:b w:val="0"/>
          <w:i w:val="0"/>
        </w:rPr>
        <w:t xml:space="preserve">, a company registered in the Arab Republic of Egypt under Commercial Register No. </w:t>
      </w:r>
      <w:r>
        <w:rPr>
          <w:rFonts w:ascii="Cambria" w:hAnsi="Cambria"/>
          <w:b/>
          <w:i w:val="0"/>
        </w:rPr>
        <w:t>[ ]</w:t>
      </w:r>
      <w:r>
        <w:rPr>
          <w:rFonts w:ascii="Cambria" w:hAnsi="Cambria"/>
          <w:b w:val="0"/>
          <w:i w:val="0"/>
        </w:rPr>
        <w:t xml:space="preserve">, Tax Card No. </w:t>
      </w:r>
      <w:r>
        <w:rPr>
          <w:rFonts w:ascii="Cambria" w:hAnsi="Cambria"/>
          <w:b/>
          <w:i w:val="0"/>
        </w:rPr>
        <w:t>[ ]</w:t>
      </w:r>
      <w:r>
        <w:rPr>
          <w:rFonts w:ascii="Cambria" w:hAnsi="Cambria"/>
          <w:b w:val="0"/>
          <w:i w:val="0"/>
        </w:rPr>
        <w:t xml:space="preserve">, with its registered office at </w:t>
      </w:r>
      <w:r>
        <w:rPr>
          <w:rFonts w:ascii="Cambria" w:hAnsi="Cambria"/>
          <w:b/>
          <w:i w:val="0"/>
        </w:rPr>
        <w:t>[ address ]</w:t>
      </w:r>
      <w:r>
        <w:rPr>
          <w:rFonts w:ascii="Cambria" w:hAnsi="Cambria"/>
          <w:b w:val="0"/>
          <w:i w:val="0"/>
        </w:rPr>
        <w:t xml:space="preserve">, represented by </w:t>
      </w:r>
      <w:r>
        <w:rPr>
          <w:rFonts w:ascii="Cambria" w:hAnsi="Cambria"/>
          <w:b/>
          <w:i w:val="0"/>
        </w:rPr>
        <w:t>[ name ]</w:t>
      </w:r>
      <w:r>
        <w:rPr>
          <w:rFonts w:ascii="Cambria" w:hAnsi="Cambria"/>
          <w:b w:val="0"/>
          <w:i w:val="0"/>
        </w:rPr>
        <w:t xml:space="preserve">, </w:t>
      </w:r>
      <w:r>
        <w:rPr>
          <w:rFonts w:ascii="Cambria" w:hAnsi="Cambria"/>
          <w:b/>
          <w:i w:val="0"/>
        </w:rPr>
        <w:t>[ title ]</w:t>
      </w:r>
      <w:r>
        <w:rPr>
          <w:rFonts w:ascii="Cambria" w:hAnsi="Cambria"/>
          <w:b w:val="0"/>
          <w:i w:val="0"/>
        </w:rPr>
        <w:t xml:space="preserve"> (the "</w:t>
      </w:r>
      <w:r>
        <w:rPr>
          <w:rFonts w:ascii="Cambria" w:hAnsi="Cambria"/>
          <w:b/>
          <w:i w:val="0"/>
        </w:rPr>
        <w:t>Client</w:t>
      </w:r>
      <w:r>
        <w:rPr>
          <w:rFonts w:ascii="Cambria" w:hAnsi="Cambria"/>
          <w:b w:val="0"/>
          <w:i w:val="0"/>
        </w:rPr>
        <w:t>").</w:t>
      </w:r>
    </w:p>
    <w:p>
      <w:pPr>
        <w:spacing w:after="120"/>
      </w:pPr>
      <w:r>
        <w:rPr>
          <w:rFonts w:ascii="Cambria" w:hAnsi="Cambria"/>
          <w:b w:val="0"/>
          <w:i w:val="0"/>
        </w:rPr>
        <w:t>The Consultant and the Client are each a "</w:t>
      </w:r>
      <w:r>
        <w:rPr>
          <w:rFonts w:ascii="Cambria" w:hAnsi="Cambria"/>
          <w:b/>
          <w:i w:val="0"/>
        </w:rPr>
        <w:t>Party</w:t>
      </w:r>
      <w:r>
        <w:rPr>
          <w:rFonts w:ascii="Cambria" w:hAnsi="Cambria"/>
          <w:b w:val="0"/>
          <w:i w:val="0"/>
        </w:rPr>
        <w:t>" and together the "</w:t>
      </w:r>
      <w:r>
        <w:rPr>
          <w:rFonts w:ascii="Cambria" w:hAnsi="Cambria"/>
          <w:b/>
          <w:i w:val="0"/>
        </w:rPr>
        <w:t>Parties</w:t>
      </w:r>
      <w:r>
        <w:rPr>
          <w:rFonts w:ascii="Cambria" w:hAnsi="Cambria"/>
          <w:b w:val="0"/>
          <w:i w:val="0"/>
        </w:rPr>
        <w:t>".</w:t>
      </w:r>
    </w:p>
    <w:p>
      <w:pPr>
        <w:spacing w:after="120"/>
      </w:pPr>
      <w:r>
        <w:rPr>
          <w:rFonts w:ascii="Cambria" w:hAnsi="Cambria"/>
          <w:b/>
          <w:i w:val="0"/>
        </w:rPr>
        <w:t>WHEREAS:</w:t>
      </w:r>
    </w:p>
    <w:p>
      <w:pPr>
        <w:pStyle w:val="ListBullet"/>
        <w:spacing w:after="60"/>
        <w:ind w:left="397"/>
      </w:pPr>
      <w:r>
        <w:rPr>
          <w:rFonts w:ascii="Cambria" w:hAnsi="Cambria"/>
          <w:b/>
          <w:i w:val="0"/>
        </w:rPr>
        <w:t>(A)</w:t>
      </w:r>
      <w:r>
        <w:rPr>
          <w:rFonts w:ascii="Cambria" w:hAnsi="Cambria"/>
          <w:b w:val="0"/>
          <w:i w:val="0"/>
        </w:rPr>
        <w:t xml:space="preserve"> The Client operates the mobile applications </w:t>
      </w:r>
      <w:r>
        <w:rPr>
          <w:rFonts w:ascii="Cambria" w:hAnsi="Cambria"/>
          <w:b w:val="0"/>
          <w:i/>
        </w:rPr>
        <w:t>Btakka Business</w:t>
      </w:r>
      <w:r>
        <w:rPr>
          <w:rFonts w:ascii="Cambria" w:hAnsi="Cambria"/>
          <w:b w:val="0"/>
          <w:i w:val="0"/>
        </w:rPr>
        <w:t xml:space="preserve"> and </w:t>
      </w:r>
      <w:r>
        <w:rPr>
          <w:rFonts w:ascii="Cambria" w:hAnsi="Cambria"/>
          <w:b w:val="0"/>
          <w:i/>
        </w:rPr>
        <w:t>Btakka Finishing &amp; Decor</w:t>
      </w:r>
      <w:r>
        <w:rPr>
          <w:rFonts w:ascii="Cambria" w:hAnsi="Cambria"/>
          <w:b w:val="0"/>
          <w:i w:val="0"/>
        </w:rPr>
        <w:t xml:space="preserve"> and intends to raise a pre-seed investment round.</w:t>
      </w:r>
    </w:p>
    <w:p>
      <w:pPr>
        <w:pStyle w:val="ListBullet"/>
        <w:spacing w:after="60"/>
        <w:ind w:left="397"/>
      </w:pPr>
      <w:r>
        <w:rPr>
          <w:rFonts w:ascii="Cambria" w:hAnsi="Cambria"/>
          <w:b/>
          <w:i w:val="0"/>
        </w:rPr>
        <w:t>(B)</w:t>
      </w:r>
      <w:r>
        <w:rPr>
          <w:rFonts w:ascii="Cambria" w:hAnsi="Cambria"/>
          <w:b w:val="0"/>
          <w:i w:val="0"/>
        </w:rPr>
        <w:t xml:space="preserve"> The Consultant provides investment readiness, financial modelling, valuation, data room preparation and fundraising process management services.</w:t>
      </w:r>
    </w:p>
    <w:p>
      <w:pPr>
        <w:pStyle w:val="ListBullet"/>
        <w:spacing w:after="60"/>
        <w:ind w:left="397"/>
      </w:pPr>
      <w:r>
        <w:rPr>
          <w:rFonts w:ascii="Cambria" w:hAnsi="Cambria"/>
          <w:b/>
          <w:i w:val="0"/>
        </w:rPr>
        <w:t>(C)</w:t>
      </w:r>
      <w:r>
        <w:rPr>
          <w:rFonts w:ascii="Cambria" w:hAnsi="Cambria"/>
          <w:b w:val="0"/>
          <w:i w:val="0"/>
        </w:rPr>
        <w:t xml:space="preserve"> The Client wishes to engage the Consultant, and the Consultant agrees to be engaged, on the terms set out below.</w:t>
      </w:r>
    </w:p>
    <w:p>
      <w:pPr>
        <w:spacing w:after="120"/>
      </w:pPr>
      <w:r>
        <w:rPr>
          <w:rFonts w:ascii="Cambria" w:hAnsi="Cambria"/>
          <w:b/>
          <w:i w:val="0"/>
        </w:rPr>
        <w:t>NOW IT IS AGREED:</w:t>
      </w:r>
    </w:p>
    <w:p>
      <w:pPr>
        <w:spacing w:before="120" w:after="120"/>
        <w:pBdr>
          <w:bottom w:val="single" w:sz="6" w:space="1" w:color="C2CCD6"/>
        </w:pBdr>
      </w:pPr>
    </w:p>
    <w:p>
      <w:pPr>
        <w:keepNext/>
        <w:spacing w:before="320" w:after="100"/>
      </w:pPr>
      <w:r>
        <w:rPr>
          <w:rFonts w:ascii="Calibri" w:hAnsi="Calibri"/>
          <w:b/>
          <w:i w:val="0"/>
          <w:color w:val="0F2C4A"/>
          <w:sz w:val="27"/>
        </w:rPr>
        <w:t>1. Definitions and Interpretation</w:t>
      </w:r>
    </w:p>
    <w:p>
      <w:pPr>
        <w:spacing w:after="120"/>
      </w:pPr>
      <w:r>
        <w:rPr>
          <w:rFonts w:ascii="Cambria" w:hAnsi="Cambria"/>
          <w:b/>
          <w:i w:val="0"/>
        </w:rPr>
        <w:t>1.1</w:t>
      </w:r>
      <w:r>
        <w:rPr>
          <w:rFonts w:ascii="Cambria" w:hAnsi="Cambria"/>
          <w:b w:val="0"/>
          <w:i w:val="0"/>
        </w:rPr>
        <w:t xml:space="preserve"> In this Agreement: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Term</w:t>
            </w:r>
          </w:p>
        </w:tc>
        <w:tc>
          <w:tcPr>
            <w:tcW w:type="dxa" w:w="4819"/>
            <w:shd w:val="clear" w:color="auto" w:fill="0F2C4A"/>
          </w:tcPr>
          <w:p>
            <w:pPr>
              <w:spacing w:after="40" w:before="40"/>
            </w:pPr>
            <w:r/>
            <w:r>
              <w:rPr>
                <w:rFonts w:ascii="Calibri" w:hAnsi="Calibri"/>
                <w:b/>
                <w:i w:val="0"/>
                <w:color w:val="FFFFFF"/>
                <w:sz w:val="17"/>
              </w:rPr>
              <w:t>Meaning</w:t>
            </w:r>
          </w:p>
        </w:tc>
      </w:tr>
      <w:tr>
        <w:tc>
          <w:tcPr>
            <w:tcW w:type="dxa" w:w="4819"/>
          </w:tcPr>
          <w:p>
            <w:pPr>
              <w:spacing w:after="40" w:before="40"/>
            </w:pPr>
            <w:r/>
            <w:r>
              <w:rPr>
                <w:rFonts w:ascii="Cambria" w:hAnsi="Cambria"/>
                <w:b/>
                <w:i w:val="0"/>
                <w:sz w:val="17"/>
              </w:rPr>
              <w:t>Agreement</w:t>
            </w:r>
          </w:p>
        </w:tc>
        <w:tc>
          <w:tcPr>
            <w:tcW w:type="dxa" w:w="4819"/>
          </w:tcPr>
          <w:p>
            <w:pPr>
              <w:spacing w:after="40" w:before="40"/>
            </w:pPr>
            <w:r/>
            <w:r>
              <w:rPr>
                <w:rFonts w:ascii="Cambria" w:hAnsi="Cambria"/>
                <w:b w:val="0"/>
                <w:i w:val="0"/>
                <w:sz w:val="17"/>
              </w:rPr>
              <w:t>This agreement, including Part I (Proposal) and Part III (Schedules)</w:t>
            </w:r>
          </w:p>
        </w:tc>
      </w:tr>
      <w:tr>
        <w:tc>
          <w:tcPr>
            <w:tcW w:type="dxa" w:w="4819"/>
            <w:shd w:val="clear" w:color="auto" w:fill="F2F5F8"/>
          </w:tcPr>
          <w:p>
            <w:pPr>
              <w:spacing w:after="40" w:before="40"/>
            </w:pPr>
            <w:r/>
            <w:r>
              <w:rPr>
                <w:rFonts w:ascii="Cambria" w:hAnsi="Cambria"/>
                <w:b/>
                <w:i w:val="0"/>
                <w:sz w:val="17"/>
              </w:rPr>
              <w:t>Business Day</w:t>
            </w:r>
          </w:p>
        </w:tc>
        <w:tc>
          <w:tcPr>
            <w:tcW w:type="dxa" w:w="4819"/>
            <w:shd w:val="clear" w:color="auto" w:fill="F2F5F8"/>
          </w:tcPr>
          <w:p>
            <w:pPr>
              <w:spacing w:after="40" w:before="40"/>
            </w:pPr>
            <w:r/>
            <w:r>
              <w:rPr>
                <w:rFonts w:ascii="Cambria" w:hAnsi="Cambria"/>
                <w:b w:val="0"/>
                <w:i w:val="0"/>
                <w:sz w:val="17"/>
              </w:rPr>
              <w:t>Any day other than Friday, Saturday or a public holiday in the Arab Republic of Egypt</w:t>
            </w:r>
          </w:p>
        </w:tc>
      </w:tr>
      <w:tr>
        <w:tc>
          <w:tcPr>
            <w:tcW w:type="dxa" w:w="4819"/>
          </w:tcPr>
          <w:p>
            <w:pPr>
              <w:spacing w:after="40" w:before="40"/>
            </w:pPr>
            <w:r/>
            <w:r>
              <w:rPr>
                <w:rFonts w:ascii="Cambria" w:hAnsi="Cambria"/>
                <w:b/>
                <w:i w:val="0"/>
                <w:sz w:val="17"/>
              </w:rPr>
              <w:t>Client Input Pack</w:t>
            </w:r>
          </w:p>
        </w:tc>
        <w:tc>
          <w:tcPr>
            <w:tcW w:type="dxa" w:w="4819"/>
          </w:tcPr>
          <w:p>
            <w:pPr>
              <w:spacing w:after="40" w:before="40"/>
            </w:pPr>
            <w:r/>
            <w:r>
              <w:rPr>
                <w:rFonts w:ascii="Cambria" w:hAnsi="Cambria"/>
                <w:b w:val="0"/>
                <w:i w:val="0"/>
                <w:sz w:val="17"/>
              </w:rPr>
              <w:t>The seven items listed at Part I §8 and Schedule C</w:t>
            </w:r>
          </w:p>
        </w:tc>
      </w:tr>
      <w:tr>
        <w:tc>
          <w:tcPr>
            <w:tcW w:type="dxa" w:w="4819"/>
            <w:shd w:val="clear" w:color="auto" w:fill="F2F5F8"/>
          </w:tcPr>
          <w:p>
            <w:pPr>
              <w:spacing w:after="40" w:before="40"/>
            </w:pPr>
            <w:r/>
            <w:r>
              <w:rPr>
                <w:rFonts w:ascii="Cambria" w:hAnsi="Cambria"/>
                <w:b/>
                <w:i w:val="0"/>
                <w:sz w:val="17"/>
              </w:rPr>
              <w:t>Confidential Information</w:t>
            </w:r>
          </w:p>
        </w:tc>
        <w:tc>
          <w:tcPr>
            <w:tcW w:type="dxa" w:w="4819"/>
            <w:shd w:val="clear" w:color="auto" w:fill="F2F5F8"/>
          </w:tcPr>
          <w:p>
            <w:pPr>
              <w:spacing w:after="40" w:before="40"/>
            </w:pPr>
            <w:r/>
            <w:r>
              <w:rPr>
                <w:rFonts w:ascii="Cambria" w:hAnsi="Cambria"/>
                <w:b w:val="0"/>
                <w:i w:val="0"/>
                <w:sz w:val="17"/>
              </w:rPr>
              <w:t>As defined at Clause 10.1</w:t>
            </w:r>
          </w:p>
        </w:tc>
      </w:tr>
      <w:tr>
        <w:tc>
          <w:tcPr>
            <w:tcW w:type="dxa" w:w="4819"/>
          </w:tcPr>
          <w:p>
            <w:pPr>
              <w:spacing w:after="40" w:before="40"/>
            </w:pPr>
            <w:r/>
            <w:r>
              <w:rPr>
                <w:rFonts w:ascii="Cambria" w:hAnsi="Cambria"/>
                <w:b/>
                <w:i w:val="0"/>
                <w:sz w:val="17"/>
              </w:rPr>
              <w:t>Deliverables</w:t>
            </w:r>
          </w:p>
        </w:tc>
        <w:tc>
          <w:tcPr>
            <w:tcW w:type="dxa" w:w="4819"/>
          </w:tcPr>
          <w:p>
            <w:pPr>
              <w:spacing w:after="40" w:before="40"/>
            </w:pPr>
            <w:r/>
            <w:r>
              <w:rPr>
                <w:rFonts w:ascii="Cambria" w:hAnsi="Cambria"/>
                <w:b w:val="0"/>
                <w:i w:val="0"/>
                <w:sz w:val="17"/>
              </w:rPr>
              <w:t>The items listed at Part I §7 and Schedule A</w:t>
            </w:r>
          </w:p>
        </w:tc>
      </w:tr>
      <w:tr>
        <w:tc>
          <w:tcPr>
            <w:tcW w:type="dxa" w:w="4819"/>
            <w:shd w:val="clear" w:color="auto" w:fill="F2F5F8"/>
          </w:tcPr>
          <w:p>
            <w:pPr>
              <w:spacing w:after="40" w:before="40"/>
            </w:pPr>
            <w:r/>
            <w:r>
              <w:rPr>
                <w:rFonts w:ascii="Cambria" w:hAnsi="Cambria"/>
                <w:b/>
                <w:i w:val="0"/>
                <w:sz w:val="17"/>
              </w:rPr>
              <w:t>Engagement Standard</w:t>
            </w:r>
          </w:p>
        </w:tc>
        <w:tc>
          <w:tcPr>
            <w:tcW w:type="dxa" w:w="4819"/>
            <w:shd w:val="clear" w:color="auto" w:fill="F2F5F8"/>
          </w:tcPr>
          <w:p>
            <w:pPr>
              <w:spacing w:after="40" w:before="40"/>
            </w:pPr>
            <w:r/>
            <w:r>
              <w:rPr>
                <w:rFonts w:ascii="Cambria" w:hAnsi="Cambria"/>
                <w:b w:val="0"/>
                <w:i w:val="0"/>
                <w:sz w:val="17"/>
              </w:rPr>
              <w:t>The Client response obligations at Clause 5.3</w:t>
            </w:r>
          </w:p>
        </w:tc>
      </w:tr>
      <w:tr>
        <w:tc>
          <w:tcPr>
            <w:tcW w:type="dxa" w:w="4819"/>
          </w:tcPr>
          <w:p>
            <w:pPr>
              <w:spacing w:after="40" w:before="40"/>
            </w:pPr>
            <w:r/>
            <w:r>
              <w:rPr>
                <w:rFonts w:ascii="Cambria" w:hAnsi="Cambria"/>
                <w:b/>
                <w:i w:val="0"/>
                <w:sz w:val="17"/>
              </w:rPr>
              <w:t>Final Close</w:t>
            </w:r>
          </w:p>
        </w:tc>
        <w:tc>
          <w:tcPr>
            <w:tcW w:type="dxa" w:w="4819"/>
          </w:tcPr>
          <w:p>
            <w:pPr>
              <w:spacing w:after="40" w:before="40"/>
            </w:pPr>
            <w:r/>
            <w:r>
              <w:rPr>
                <w:rFonts w:ascii="Cambria" w:hAnsi="Cambria"/>
                <w:b w:val="0"/>
                <w:i w:val="0"/>
                <w:sz w:val="17"/>
              </w:rPr>
              <w:t>The date the Round is declared closed by the Client or the target Round size is fully subscribed and funded, whichever is earlier</w:t>
            </w:r>
          </w:p>
        </w:tc>
      </w:tr>
      <w:tr>
        <w:tc>
          <w:tcPr>
            <w:tcW w:type="dxa" w:w="4819"/>
            <w:shd w:val="clear" w:color="auto" w:fill="F2F5F8"/>
          </w:tcPr>
          <w:p>
            <w:pPr>
              <w:spacing w:after="40" w:before="40"/>
            </w:pPr>
            <w:r/>
            <w:r>
              <w:rPr>
                <w:rFonts w:ascii="Cambria" w:hAnsi="Cambria"/>
                <w:b/>
                <w:i w:val="0"/>
                <w:sz w:val="17"/>
              </w:rPr>
              <w:t>First Close</w:t>
            </w:r>
          </w:p>
        </w:tc>
        <w:tc>
          <w:tcPr>
            <w:tcW w:type="dxa" w:w="4819"/>
            <w:shd w:val="clear" w:color="auto" w:fill="F2F5F8"/>
          </w:tcPr>
          <w:p>
            <w:pPr>
              <w:spacing w:after="40" w:before="40"/>
            </w:pPr>
            <w:r/>
            <w:r>
              <w:rPr>
                <w:rFonts w:ascii="Cambria" w:hAnsi="Cambria"/>
                <w:b w:val="0"/>
                <w:i w:val="0"/>
                <w:sz w:val="17"/>
              </w:rPr>
              <w:t>The date on which the first Investment Amount is received in cleared funds into the Client's bank account</w:t>
            </w:r>
          </w:p>
        </w:tc>
      </w:tr>
      <w:tr>
        <w:tc>
          <w:tcPr>
            <w:tcW w:type="dxa" w:w="4819"/>
          </w:tcPr>
          <w:p>
            <w:pPr>
              <w:spacing w:after="40" w:before="40"/>
            </w:pPr>
            <w:r/>
            <w:r>
              <w:rPr>
                <w:rFonts w:ascii="Cambria" w:hAnsi="Cambria"/>
                <w:b/>
                <w:i w:val="0"/>
                <w:sz w:val="17"/>
              </w:rPr>
              <w:t>Fixed Fee</w:t>
            </w:r>
          </w:p>
        </w:tc>
        <w:tc>
          <w:tcPr>
            <w:tcW w:type="dxa" w:w="4819"/>
          </w:tcPr>
          <w:p>
            <w:pPr>
              <w:spacing w:after="40" w:before="40"/>
            </w:pPr>
            <w:r/>
            <w:r>
              <w:rPr>
                <w:rFonts w:ascii="Cambria" w:hAnsi="Cambria"/>
                <w:b w:val="0"/>
                <w:i w:val="0"/>
                <w:sz w:val="17"/>
              </w:rPr>
              <w:t>EGP 150,000, payable per Clause 6.1</w:t>
            </w:r>
          </w:p>
        </w:tc>
      </w:tr>
      <w:tr>
        <w:tc>
          <w:tcPr>
            <w:tcW w:type="dxa" w:w="4819"/>
            <w:shd w:val="clear" w:color="auto" w:fill="F2F5F8"/>
          </w:tcPr>
          <w:p>
            <w:pPr>
              <w:spacing w:after="40" w:before="40"/>
            </w:pPr>
            <w:r/>
            <w:r>
              <w:rPr>
                <w:rFonts w:ascii="Cambria" w:hAnsi="Cambria"/>
                <w:b/>
                <w:i w:val="0"/>
                <w:sz w:val="17"/>
              </w:rPr>
              <w:t>Introduced Investor</w:t>
            </w:r>
          </w:p>
        </w:tc>
        <w:tc>
          <w:tcPr>
            <w:tcW w:type="dxa" w:w="4819"/>
            <w:shd w:val="clear" w:color="auto" w:fill="F2F5F8"/>
          </w:tcPr>
          <w:p>
            <w:pPr>
              <w:spacing w:after="40" w:before="40"/>
            </w:pPr>
            <w:r/>
            <w:r>
              <w:rPr>
                <w:rFonts w:ascii="Cambria" w:hAnsi="Cambria"/>
                <w:b w:val="0"/>
                <w:i w:val="0"/>
                <w:sz w:val="17"/>
              </w:rPr>
              <w:t>An Investor falling within Clause 5.1</w:t>
            </w:r>
          </w:p>
        </w:tc>
      </w:tr>
      <w:tr>
        <w:tc>
          <w:tcPr>
            <w:tcW w:type="dxa" w:w="4819"/>
          </w:tcPr>
          <w:p>
            <w:pPr>
              <w:spacing w:after="40" w:before="40"/>
            </w:pPr>
            <w:r/>
            <w:r>
              <w:rPr>
                <w:rFonts w:ascii="Cambria" w:hAnsi="Cambria"/>
                <w:b/>
                <w:i w:val="0"/>
                <w:sz w:val="17"/>
              </w:rPr>
              <w:t>Investment Amount</w:t>
            </w:r>
          </w:p>
        </w:tc>
        <w:tc>
          <w:tcPr>
            <w:tcW w:type="dxa" w:w="4819"/>
          </w:tcPr>
          <w:p>
            <w:pPr>
              <w:spacing w:after="40" w:before="40"/>
            </w:pPr>
            <w:r/>
            <w:r>
              <w:rPr>
                <w:rFonts w:ascii="Cambria" w:hAnsi="Cambria"/>
                <w:b w:val="0"/>
                <w:i w:val="0"/>
                <w:sz w:val="17"/>
              </w:rPr>
              <w:t>The aggregate consideration received by the Client in cleared funds in respect of a Ticket, comprising equity subscription proceeds, and proceeds under convertible or quasi-equity instruments including SAFEs and convertible notes at their face or principal amount. It excludes bank debt, commercial lending, government or institutional grants and non-dilutive soft funding, unless the Parties agree otherwise in writing</w:t>
            </w:r>
          </w:p>
        </w:tc>
      </w:tr>
      <w:tr>
        <w:tc>
          <w:tcPr>
            <w:tcW w:type="dxa" w:w="4819"/>
            <w:shd w:val="clear" w:color="auto" w:fill="F2F5F8"/>
          </w:tcPr>
          <w:p>
            <w:pPr>
              <w:spacing w:after="40" w:before="40"/>
            </w:pPr>
            <w:r/>
            <w:r>
              <w:rPr>
                <w:rFonts w:ascii="Cambria" w:hAnsi="Cambria"/>
                <w:b/>
                <w:i w:val="0"/>
                <w:sz w:val="17"/>
              </w:rPr>
              <w:t>Investor</w:t>
            </w:r>
          </w:p>
        </w:tc>
        <w:tc>
          <w:tcPr>
            <w:tcW w:type="dxa" w:w="4819"/>
            <w:shd w:val="clear" w:color="auto" w:fill="F2F5F8"/>
          </w:tcPr>
          <w:p>
            <w:pPr>
              <w:spacing w:after="40" w:before="40"/>
            </w:pPr>
            <w:r/>
            <w:r>
              <w:rPr>
                <w:rFonts w:ascii="Cambria" w:hAnsi="Cambria"/>
                <w:b w:val="0"/>
                <w:i w:val="0"/>
                <w:sz w:val="17"/>
              </w:rPr>
              <w:t>Any angel, syndicate, venture capital fund, family office, corporate or strategic investor, accelerator, investment vehicle or other provider of capital</w:t>
            </w:r>
          </w:p>
        </w:tc>
      </w:tr>
      <w:tr>
        <w:tc>
          <w:tcPr>
            <w:tcW w:type="dxa" w:w="4819"/>
          </w:tcPr>
          <w:p>
            <w:pPr>
              <w:spacing w:after="40" w:before="40"/>
            </w:pPr>
            <w:r/>
            <w:r>
              <w:rPr>
                <w:rFonts w:ascii="Cambria" w:hAnsi="Cambria"/>
                <w:b/>
                <w:i w:val="0"/>
                <w:sz w:val="17"/>
              </w:rPr>
              <w:t>Investor Log</w:t>
            </w:r>
          </w:p>
        </w:tc>
        <w:tc>
          <w:tcPr>
            <w:tcW w:type="dxa" w:w="4819"/>
          </w:tcPr>
          <w:p>
            <w:pPr>
              <w:spacing w:after="40" w:before="40"/>
            </w:pPr>
            <w:r/>
            <w:r>
              <w:rPr>
                <w:rFonts w:ascii="Cambria" w:hAnsi="Cambria"/>
                <w:b w:val="0"/>
                <w:i w:val="0"/>
                <w:sz w:val="17"/>
              </w:rPr>
              <w:t>The register maintained under Clause 5.2 in the form at Schedule E</w:t>
            </w:r>
          </w:p>
        </w:tc>
      </w:tr>
      <w:tr>
        <w:tc>
          <w:tcPr>
            <w:tcW w:type="dxa" w:w="4819"/>
            <w:shd w:val="clear" w:color="auto" w:fill="F2F5F8"/>
          </w:tcPr>
          <w:p>
            <w:pPr>
              <w:spacing w:after="40" w:before="40"/>
            </w:pPr>
            <w:r/>
            <w:r>
              <w:rPr>
                <w:rFonts w:ascii="Cambria" w:hAnsi="Cambria"/>
                <w:b/>
                <w:i w:val="0"/>
                <w:sz w:val="17"/>
              </w:rPr>
              <w:t>Phase 1</w:t>
            </w:r>
          </w:p>
        </w:tc>
        <w:tc>
          <w:tcPr>
            <w:tcW w:type="dxa" w:w="4819"/>
            <w:shd w:val="clear" w:color="auto" w:fill="F2F5F8"/>
          </w:tcPr>
          <w:p>
            <w:pPr>
              <w:spacing w:after="40" w:before="40"/>
            </w:pPr>
            <w:r/>
            <w:r>
              <w:rPr>
                <w:rFonts w:ascii="Cambria" w:hAnsi="Cambria"/>
                <w:b w:val="0"/>
                <w:i w:val="0"/>
                <w:sz w:val="17"/>
              </w:rPr>
              <w:t>The Investment Readiness services at Part I §5</w:t>
            </w:r>
          </w:p>
        </w:tc>
      </w:tr>
      <w:tr>
        <w:tc>
          <w:tcPr>
            <w:tcW w:type="dxa" w:w="4819"/>
          </w:tcPr>
          <w:p>
            <w:pPr>
              <w:spacing w:after="40" w:before="40"/>
            </w:pPr>
            <w:r/>
            <w:r>
              <w:rPr>
                <w:rFonts w:ascii="Cambria" w:hAnsi="Cambria"/>
                <w:b/>
                <w:i w:val="0"/>
                <w:sz w:val="17"/>
              </w:rPr>
              <w:t>Phase 2</w:t>
            </w:r>
          </w:p>
        </w:tc>
        <w:tc>
          <w:tcPr>
            <w:tcW w:type="dxa" w:w="4819"/>
          </w:tcPr>
          <w:p>
            <w:pPr>
              <w:spacing w:after="40" w:before="40"/>
            </w:pPr>
            <w:r/>
            <w:r>
              <w:rPr>
                <w:rFonts w:ascii="Cambria" w:hAnsi="Cambria"/>
                <w:b w:val="0"/>
                <w:i w:val="0"/>
                <w:sz w:val="17"/>
              </w:rPr>
              <w:t>The Investment Round Management services at Part I §5</w:t>
            </w:r>
          </w:p>
        </w:tc>
      </w:tr>
      <w:tr>
        <w:tc>
          <w:tcPr>
            <w:tcW w:type="dxa" w:w="4819"/>
            <w:shd w:val="clear" w:color="auto" w:fill="F2F5F8"/>
          </w:tcPr>
          <w:p>
            <w:pPr>
              <w:spacing w:after="40" w:before="40"/>
            </w:pPr>
            <w:r/>
            <w:r>
              <w:rPr>
                <w:rFonts w:ascii="Cambria" w:hAnsi="Cambria"/>
                <w:b/>
                <w:i w:val="0"/>
                <w:sz w:val="17"/>
              </w:rPr>
              <w:t>Round</w:t>
            </w:r>
          </w:p>
        </w:tc>
        <w:tc>
          <w:tcPr>
            <w:tcW w:type="dxa" w:w="4819"/>
            <w:shd w:val="clear" w:color="auto" w:fill="F2F5F8"/>
          </w:tcPr>
          <w:p>
            <w:pPr>
              <w:spacing w:after="40" w:before="40"/>
            </w:pPr>
            <w:r/>
            <w:r>
              <w:rPr>
                <w:rFonts w:ascii="Cambria" w:hAnsi="Cambria"/>
                <w:b w:val="0"/>
                <w:i w:val="0"/>
                <w:sz w:val="17"/>
              </w:rPr>
              <w:t>The pre-seed investment round contemplated by this Agreement</w:t>
            </w:r>
          </w:p>
        </w:tc>
      </w:tr>
      <w:tr>
        <w:tc>
          <w:tcPr>
            <w:tcW w:type="dxa" w:w="4819"/>
          </w:tcPr>
          <w:p>
            <w:pPr>
              <w:spacing w:after="40" w:before="40"/>
            </w:pPr>
            <w:r/>
            <w:r>
              <w:rPr>
                <w:rFonts w:ascii="Cambria" w:hAnsi="Cambria"/>
                <w:b/>
                <w:i w:val="0"/>
                <w:sz w:val="17"/>
              </w:rPr>
              <w:t>Services</w:t>
            </w:r>
          </w:p>
        </w:tc>
        <w:tc>
          <w:tcPr>
            <w:tcW w:type="dxa" w:w="4819"/>
          </w:tcPr>
          <w:p>
            <w:pPr>
              <w:spacing w:after="40" w:before="40"/>
            </w:pPr>
            <w:r/>
            <w:r>
              <w:rPr>
                <w:rFonts w:ascii="Cambria" w:hAnsi="Cambria"/>
                <w:b w:val="0"/>
                <w:i w:val="0"/>
                <w:sz w:val="17"/>
              </w:rPr>
              <w:t>Phase 1 and Phase 2 collectively</w:t>
            </w:r>
          </w:p>
        </w:tc>
      </w:tr>
      <w:tr>
        <w:tc>
          <w:tcPr>
            <w:tcW w:type="dxa" w:w="4819"/>
            <w:shd w:val="clear" w:color="auto" w:fill="F2F5F8"/>
          </w:tcPr>
          <w:p>
            <w:pPr>
              <w:spacing w:after="40" w:before="40"/>
            </w:pPr>
            <w:r/>
            <w:r>
              <w:rPr>
                <w:rFonts w:ascii="Cambria" w:hAnsi="Cambria"/>
                <w:b/>
                <w:i w:val="0"/>
                <w:sz w:val="17"/>
              </w:rPr>
              <w:t>Success Fee</w:t>
            </w:r>
          </w:p>
        </w:tc>
        <w:tc>
          <w:tcPr>
            <w:tcW w:type="dxa" w:w="4819"/>
            <w:shd w:val="clear" w:color="auto" w:fill="F2F5F8"/>
          </w:tcPr>
          <w:p>
            <w:pPr>
              <w:spacing w:after="40" w:before="40"/>
            </w:pPr>
            <w:r/>
            <w:r>
              <w:rPr>
                <w:rFonts w:ascii="Cambria" w:hAnsi="Cambria"/>
                <w:b w:val="0"/>
                <w:i w:val="0"/>
                <w:sz w:val="17"/>
              </w:rPr>
              <w:t>The fee payable under Clause 6.2</w:t>
            </w:r>
          </w:p>
        </w:tc>
      </w:tr>
      <w:tr>
        <w:tc>
          <w:tcPr>
            <w:tcW w:type="dxa" w:w="4819"/>
          </w:tcPr>
          <w:p>
            <w:pPr>
              <w:spacing w:after="40" w:before="40"/>
            </w:pPr>
            <w:r/>
            <w:r>
              <w:rPr>
                <w:rFonts w:ascii="Cambria" w:hAnsi="Cambria"/>
                <w:b/>
                <w:i w:val="0"/>
                <w:sz w:val="17"/>
              </w:rPr>
              <w:t>Tail Period</w:t>
            </w:r>
          </w:p>
        </w:tc>
        <w:tc>
          <w:tcPr>
            <w:tcW w:type="dxa" w:w="4819"/>
          </w:tcPr>
          <w:p>
            <w:pPr>
              <w:spacing w:after="40" w:before="40"/>
            </w:pPr>
            <w:r/>
            <w:r>
              <w:rPr>
                <w:rFonts w:ascii="Cambria" w:hAnsi="Cambria"/>
                <w:b w:val="0"/>
                <w:i w:val="0"/>
                <w:sz w:val="17"/>
              </w:rPr>
              <w:t>Twelve (12) months from expiry or termination of this Agreement</w:t>
            </w:r>
          </w:p>
        </w:tc>
      </w:tr>
      <w:tr>
        <w:tc>
          <w:tcPr>
            <w:tcW w:type="dxa" w:w="4819"/>
            <w:shd w:val="clear" w:color="auto" w:fill="F2F5F8"/>
          </w:tcPr>
          <w:p>
            <w:pPr>
              <w:spacing w:after="40" w:before="40"/>
            </w:pPr>
            <w:r/>
            <w:r>
              <w:rPr>
                <w:rFonts w:ascii="Cambria" w:hAnsi="Cambria"/>
                <w:b/>
                <w:i w:val="0"/>
                <w:sz w:val="17"/>
              </w:rPr>
              <w:t>Target Investor Map</w:t>
            </w:r>
          </w:p>
        </w:tc>
        <w:tc>
          <w:tcPr>
            <w:tcW w:type="dxa" w:w="4819"/>
            <w:shd w:val="clear" w:color="auto" w:fill="F2F5F8"/>
          </w:tcPr>
          <w:p>
            <w:pPr>
              <w:spacing w:after="40" w:before="40"/>
            </w:pPr>
            <w:r/>
            <w:r>
              <w:rPr>
                <w:rFonts w:ascii="Cambria" w:hAnsi="Cambria"/>
                <w:b w:val="0"/>
                <w:i w:val="0"/>
                <w:sz w:val="17"/>
              </w:rPr>
              <w:t>The tiered investor target list delivered under Phase 2 Stage 1</w:t>
            </w:r>
          </w:p>
        </w:tc>
      </w:tr>
      <w:tr>
        <w:tc>
          <w:tcPr>
            <w:tcW w:type="dxa" w:w="4819"/>
          </w:tcPr>
          <w:p>
            <w:pPr>
              <w:spacing w:after="40" w:before="40"/>
            </w:pPr>
            <w:r/>
            <w:r>
              <w:rPr>
                <w:rFonts w:ascii="Cambria" w:hAnsi="Cambria"/>
                <w:b/>
                <w:i w:val="0"/>
                <w:sz w:val="17"/>
              </w:rPr>
              <w:t>Ticket</w:t>
            </w:r>
          </w:p>
        </w:tc>
        <w:tc>
          <w:tcPr>
            <w:tcW w:type="dxa" w:w="4819"/>
          </w:tcPr>
          <w:p>
            <w:pPr>
              <w:spacing w:after="40" w:before="40"/>
            </w:pPr>
            <w:r/>
            <w:r>
              <w:rPr>
                <w:rFonts w:ascii="Cambria" w:hAnsi="Cambria"/>
                <w:b w:val="0"/>
                <w:i w:val="0"/>
                <w:sz w:val="17"/>
              </w:rPr>
              <w:t>An individual investment made into the Client as part of or in connection with the Round</w:t>
            </w:r>
          </w:p>
        </w:tc>
      </w:tr>
    </w:tbl>
    <w:p>
      <w:pPr>
        <w:spacing w:after="40"/>
      </w:pPr>
    </w:p>
    <w:p>
      <w:pPr>
        <w:spacing w:after="120"/>
      </w:pPr>
      <w:r>
        <w:rPr>
          <w:rFonts w:ascii="Cambria" w:hAnsi="Cambria"/>
          <w:b/>
          <w:i w:val="0"/>
        </w:rPr>
        <w:t>1.2</w:t>
      </w:r>
      <w:r>
        <w:rPr>
          <w:rFonts w:ascii="Cambria" w:hAnsi="Cambria"/>
          <w:b w:val="0"/>
          <w:i w:val="0"/>
        </w:rPr>
        <w:t xml:space="preserve"> Headings are for convenience only. The singular includes the plural. "Including" means "including without limitation". References to a Clause or Schedule are to a clause or schedule of this Agreement.</w:t>
      </w:r>
    </w:p>
    <w:p>
      <w:pPr>
        <w:spacing w:after="120"/>
      </w:pPr>
      <w:r>
        <w:rPr>
          <w:rFonts w:ascii="Cambria" w:hAnsi="Cambria"/>
          <w:b/>
          <w:i w:val="0"/>
        </w:rPr>
        <w:t>1.3</w:t>
      </w:r>
      <w:r>
        <w:rPr>
          <w:rFonts w:ascii="Cambria" w:hAnsi="Cambria"/>
          <w:b w:val="0"/>
          <w:i w:val="0"/>
        </w:rPr>
        <w:t xml:space="preserve"> In the event of conflict, the order of precedence is: Part II (this Agreement), then Part III (Schedules), then Part I (Proposal).</w:t>
      </w:r>
    </w:p>
    <w:p>
      <w:pPr>
        <w:spacing w:before="120" w:after="120"/>
        <w:pBdr>
          <w:bottom w:val="single" w:sz="6" w:space="1" w:color="C2CCD6"/>
        </w:pBdr>
      </w:pPr>
    </w:p>
    <w:p>
      <w:pPr>
        <w:keepNext/>
        <w:spacing w:before="320" w:after="100"/>
      </w:pPr>
      <w:r>
        <w:rPr>
          <w:rFonts w:ascii="Calibri" w:hAnsi="Calibri"/>
          <w:b/>
          <w:i w:val="0"/>
          <w:color w:val="0F2C4A"/>
          <w:sz w:val="27"/>
        </w:rPr>
        <w:t>2. Appointment and Term</w:t>
      </w:r>
    </w:p>
    <w:p>
      <w:pPr>
        <w:spacing w:after="120"/>
      </w:pPr>
      <w:r>
        <w:rPr>
          <w:rFonts w:ascii="Cambria" w:hAnsi="Cambria"/>
          <w:b/>
          <w:i w:val="0"/>
        </w:rPr>
        <w:t>2.1 Appointment.</w:t>
      </w:r>
      <w:r>
        <w:rPr>
          <w:rFonts w:ascii="Cambria" w:hAnsi="Cambria"/>
          <w:b w:val="0"/>
          <w:i w:val="0"/>
        </w:rPr>
        <w:t xml:space="preserve"> The Client appoints the Consultant to provide the Services, and the Consultant accepts the appointment, on the terms of this Agreement.</w:t>
      </w:r>
    </w:p>
    <w:p>
      <w:pPr>
        <w:spacing w:after="120"/>
      </w:pPr>
      <w:r>
        <w:rPr>
          <w:rFonts w:ascii="Cambria" w:hAnsi="Cambria"/>
          <w:b/>
          <w:i w:val="0"/>
        </w:rPr>
        <w:t>2.2 Term.</w:t>
      </w:r>
      <w:r>
        <w:rPr>
          <w:rFonts w:ascii="Cambria" w:hAnsi="Cambria"/>
          <w:b w:val="0"/>
          <w:i w:val="0"/>
        </w:rPr>
        <w:t xml:space="preserve"> This Agreement commences on the Effective Date and continues until the earlier of (a) Final Close of the Round, (b) four (4) months from the Phase 1 Start Date as extended under Clause 7.2, or (c) termination under Clause 8. The Parties may extend by written agreement.</w:t>
      </w:r>
    </w:p>
    <w:p>
      <w:pPr>
        <w:spacing w:after="120"/>
      </w:pPr>
      <w:r>
        <w:rPr>
          <w:rFonts w:ascii="Cambria" w:hAnsi="Cambria"/>
          <w:b/>
          <w:i w:val="0"/>
        </w:rPr>
        <w:t>2.3 Phase 1 Start Date.</w:t>
      </w:r>
      <w:r>
        <w:rPr>
          <w:rFonts w:ascii="Cambria" w:hAnsi="Cambria"/>
          <w:b w:val="0"/>
          <w:i w:val="0"/>
        </w:rPr>
        <w:t xml:space="preserve"> Phase 1 commences on the later of (a) the Effective Date, (b) receipt of the M1 deposit under Clause 6.1, and (c) the date the Client Input Pack is received in full.</w:t>
      </w:r>
    </w:p>
    <w:p>
      <w:pPr>
        <w:spacing w:after="120"/>
      </w:pPr>
      <w:r>
        <w:rPr>
          <w:rFonts w:ascii="Cambria" w:hAnsi="Cambria"/>
          <w:b/>
          <w:i w:val="0"/>
        </w:rPr>
        <w:t>2.4 Non-exclusivity of the Consultant.</w:t>
      </w:r>
      <w:r>
        <w:rPr>
          <w:rFonts w:ascii="Cambria" w:hAnsi="Cambria"/>
          <w:b w:val="0"/>
          <w:i w:val="0"/>
        </w:rPr>
        <w:t xml:space="preserve"> The Consultant may provide services to other clients, including other companies, provided the Consultant does not act for a direct competitor of the Client in the same fundraising round without the Client's prior written consent.</w:t>
      </w:r>
    </w:p>
    <w:p>
      <w:pPr>
        <w:spacing w:after="120"/>
      </w:pPr>
      <w:r>
        <w:rPr>
          <w:rFonts w:ascii="Cambria" w:hAnsi="Cambria"/>
          <w:b/>
          <w:i w:val="0"/>
        </w:rPr>
        <w:t>2.5 Exclusivity of the Client.</w:t>
      </w:r>
      <w:r>
        <w:rPr>
          <w:rFonts w:ascii="Cambria" w:hAnsi="Cambria"/>
          <w:b w:val="0"/>
          <w:i w:val="0"/>
        </w:rPr>
        <w:t xml:space="preserve"> During Phase 2, the Client shall not appoint another advisor, agent, broker or intermediary to perform substantially the same Phase 2 fundraising process management services in respect of the Round, without the Consultant's prior written consent. This does not restrict the Client's own direct fundraising activity, which is expressly permitted and encouraged.</w:t>
      </w:r>
    </w:p>
    <w:p>
      <w:pPr>
        <w:spacing w:before="120" w:after="120"/>
        <w:pBdr>
          <w:bottom w:val="single" w:sz="6" w:space="1" w:color="C2CCD6"/>
        </w:pBdr>
      </w:pPr>
    </w:p>
    <w:p>
      <w:pPr>
        <w:keepNext/>
        <w:spacing w:before="320" w:after="100"/>
      </w:pPr>
      <w:r>
        <w:rPr>
          <w:rFonts w:ascii="Calibri" w:hAnsi="Calibri"/>
          <w:b/>
          <w:i w:val="0"/>
          <w:color w:val="0F2C4A"/>
          <w:sz w:val="27"/>
        </w:rPr>
        <w:t>3. Services</w:t>
      </w:r>
    </w:p>
    <w:p>
      <w:pPr>
        <w:spacing w:after="120"/>
      </w:pPr>
      <w:r>
        <w:rPr>
          <w:rFonts w:ascii="Cambria" w:hAnsi="Cambria"/>
          <w:b/>
          <w:i w:val="0"/>
        </w:rPr>
        <w:t>3.1 Scope.</w:t>
      </w:r>
      <w:r>
        <w:rPr>
          <w:rFonts w:ascii="Cambria" w:hAnsi="Cambria"/>
          <w:b w:val="0"/>
          <w:i w:val="0"/>
        </w:rPr>
        <w:t xml:space="preserve"> The Consultant shall provide the Services described at Part I §5, deliver the Deliverables listed at Part I §7 and Schedule A, and conduct the workshop programme at Part I §6 and Schedule B.</w:t>
      </w:r>
    </w:p>
    <w:p>
      <w:pPr>
        <w:spacing w:after="120"/>
      </w:pPr>
      <w:r>
        <w:rPr>
          <w:rFonts w:ascii="Cambria" w:hAnsi="Cambria"/>
          <w:b/>
          <w:i w:val="0"/>
        </w:rPr>
        <w:t>3.2 Standard of performance.</w:t>
      </w:r>
      <w:r>
        <w:rPr>
          <w:rFonts w:ascii="Cambria" w:hAnsi="Cambria"/>
          <w:b w:val="0"/>
          <w:i w:val="0"/>
        </w:rPr>
        <w:t xml:space="preserve"> The Consultant shall perform the Services with reasonable skill, care and diligence, in accordance with the standards of a competent professional investment advisor, and in the Client's best interests.</w:t>
      </w:r>
    </w:p>
    <w:p>
      <w:pPr>
        <w:spacing w:after="120"/>
      </w:pPr>
      <w:r>
        <w:rPr>
          <w:rFonts w:ascii="Cambria" w:hAnsi="Cambria"/>
          <w:b/>
          <w:i w:val="0"/>
        </w:rPr>
        <w:t>3.3 Method and personnel.</w:t>
      </w:r>
      <w:r>
        <w:rPr>
          <w:rFonts w:ascii="Cambria" w:hAnsi="Cambria"/>
          <w:b w:val="0"/>
          <w:i w:val="0"/>
        </w:rPr>
        <w:t xml:space="preserve"> The Consultant shall determine the manner and method of performing the Services, and may engage subcontractors or specialist support at the Consultant's own cost, remaining fully responsible for their work and bound by Clause 10.</w:t>
      </w:r>
    </w:p>
    <w:p>
      <w:pPr>
        <w:spacing w:after="120"/>
      </w:pPr>
      <w:r>
        <w:rPr>
          <w:rFonts w:ascii="Cambria" w:hAnsi="Cambria"/>
          <w:b/>
          <w:i w:val="0"/>
        </w:rPr>
        <w:t>3.4 Phase 1 completion.</w:t>
      </w:r>
      <w:r>
        <w:rPr>
          <w:rFonts w:ascii="Cambria" w:hAnsi="Cambria"/>
          <w:b w:val="0"/>
          <w:i w:val="0"/>
        </w:rPr>
        <w:t xml:space="preserve"> Phase 1 is complete on the earlier of (a) the Client's written sign-off of the diligence readiness review, or (b) five (5) Business Days after the Consultant submits the readiness review, where the Client has not raised specific written objections within that period.</w:t>
      </w:r>
    </w:p>
    <w:p>
      <w:pPr>
        <w:spacing w:after="120"/>
      </w:pPr>
      <w:r>
        <w:rPr>
          <w:rFonts w:ascii="Cambria" w:hAnsi="Cambria"/>
          <w:b/>
          <w:i w:val="0"/>
        </w:rPr>
        <w:t>3.5 Revisions.</w:t>
      </w:r>
      <w:r>
        <w:rPr>
          <w:rFonts w:ascii="Cambria" w:hAnsi="Cambria"/>
          <w:b w:val="0"/>
          <w:i w:val="0"/>
        </w:rPr>
        <w:t xml:space="preserve"> Each Deliverable includes two (2) rounds of revision at no additional cost, where requested within ten (10) Business Days of delivery. Further revisions, or revisions arising from a material change in the Client's business, strategy or data after a Deliverable has been approved, are chargeable at EGP </w:t>
      </w:r>
      <w:r>
        <w:rPr>
          <w:rFonts w:ascii="Cambria" w:hAnsi="Cambria"/>
          <w:b/>
          <w:i w:val="0"/>
        </w:rPr>
        <w:t>[ ___ ]</w:t>
      </w:r>
      <w:r>
        <w:rPr>
          <w:rFonts w:ascii="Cambria" w:hAnsi="Cambria"/>
          <w:b w:val="0"/>
          <w:i w:val="0"/>
        </w:rPr>
        <w:t xml:space="preserve"> per hour or by written variation.</w:t>
      </w:r>
    </w:p>
    <w:p>
      <w:pPr>
        <w:spacing w:after="120"/>
      </w:pPr>
      <w:r>
        <w:rPr>
          <w:rFonts w:ascii="Cambria" w:hAnsi="Cambria"/>
          <w:b/>
          <w:i w:val="0"/>
        </w:rPr>
        <w:t>3.6 Variation.</w:t>
      </w:r>
      <w:r>
        <w:rPr>
          <w:rFonts w:ascii="Cambria" w:hAnsi="Cambria"/>
          <w:b w:val="0"/>
          <w:i w:val="0"/>
        </w:rPr>
        <w:t xml:space="preserve"> Any change to scope, Deliverables, timeline or fees must be agreed in writing and signed by both Parties.</w:t>
      </w:r>
    </w:p>
    <w:p>
      <w:pPr>
        <w:spacing w:before="120" w:after="120"/>
        <w:pBdr>
          <w:bottom w:val="single" w:sz="6" w:space="1" w:color="C2CCD6"/>
        </w:pBdr>
      </w:pPr>
    </w:p>
    <w:p>
      <w:pPr>
        <w:keepNext/>
        <w:spacing w:before="320" w:after="100"/>
      </w:pPr>
      <w:r>
        <w:rPr>
          <w:rFonts w:ascii="Calibri" w:hAnsi="Calibri"/>
          <w:b/>
          <w:i w:val="0"/>
          <w:color w:val="0F2C4A"/>
          <w:sz w:val="27"/>
        </w:rPr>
        <w:t>4. Client Obligations</w:t>
      </w:r>
    </w:p>
    <w:p>
      <w:pPr>
        <w:spacing w:after="120"/>
      </w:pPr>
      <w:r>
        <w:rPr>
          <w:rFonts w:ascii="Cambria" w:hAnsi="Cambria"/>
          <w:b/>
          <w:i w:val="0"/>
        </w:rPr>
        <w:t>4.1 Client Input Pack.</w:t>
      </w:r>
      <w:r>
        <w:rPr>
          <w:rFonts w:ascii="Cambria" w:hAnsi="Cambria"/>
          <w:b w:val="0"/>
          <w:i w:val="0"/>
        </w:rPr>
        <w:t xml:space="preserve"> The Client shall deliver the Client Input Pack in full within five (5) Business Days of the Effective Date.</w:t>
      </w:r>
    </w:p>
    <w:p>
      <w:pPr>
        <w:spacing w:after="120"/>
      </w:pPr>
      <w:r>
        <w:rPr>
          <w:rFonts w:ascii="Cambria" w:hAnsi="Cambria"/>
          <w:b/>
          <w:i w:val="0"/>
        </w:rPr>
        <w:t>4.2 Information.</w:t>
      </w:r>
      <w:r>
        <w:rPr>
          <w:rFonts w:ascii="Cambria" w:hAnsi="Cambria"/>
          <w:b w:val="0"/>
          <w:i w:val="0"/>
        </w:rPr>
        <w:t xml:space="preserve"> The Client shall provide all information, documents, data and access reasonably required by the Consultant, within five (5) Business Days of each request, and shall ensure that all information provided is accurate, complete, current and not misleading.</w:t>
      </w:r>
    </w:p>
    <w:p>
      <w:pPr>
        <w:spacing w:after="120"/>
      </w:pPr>
      <w:r>
        <w:rPr>
          <w:rFonts w:ascii="Cambria" w:hAnsi="Cambria"/>
          <w:b/>
          <w:i w:val="0"/>
        </w:rPr>
        <w:t>4.3 Workshops.</w:t>
      </w:r>
      <w:r>
        <w:rPr>
          <w:rFonts w:ascii="Cambria" w:hAnsi="Cambria"/>
          <w:b w:val="0"/>
          <w:i w:val="0"/>
        </w:rPr>
        <w:t xml:space="preserve"> The Client shall ensure that the required attendees listed at Schedule B attend each workshop. A workshop may be rescheduled once by either Party on not less than twenty-four (24) hours' notice. A second or subsequent rescheduling by the Client, or non-attendance without notice, is chargeable at fifty percent (50%) of the allocated session value and extends the timeline under Clause 7.2.</w:t>
      </w:r>
    </w:p>
    <w:p>
      <w:pPr>
        <w:spacing w:after="120"/>
      </w:pPr>
      <w:r>
        <w:rPr>
          <w:rFonts w:ascii="Cambria" w:hAnsi="Cambria"/>
          <w:b/>
          <w:i w:val="0"/>
        </w:rPr>
        <w:t>4.4 Approvals.</w:t>
      </w:r>
      <w:r>
        <w:rPr>
          <w:rFonts w:ascii="Cambria" w:hAnsi="Cambria"/>
          <w:b w:val="0"/>
          <w:i w:val="0"/>
        </w:rPr>
        <w:t xml:space="preserve"> The Client shall review and either approve or comment on each Deliverable within three (3) Business Days of delivery. A Deliverable not responded to within five (5) Business Days is deemed approved.</w:t>
      </w:r>
    </w:p>
    <w:p>
      <w:pPr>
        <w:spacing w:after="120"/>
      </w:pPr>
      <w:r>
        <w:rPr>
          <w:rFonts w:ascii="Cambria" w:hAnsi="Cambria"/>
          <w:b/>
          <w:i w:val="0"/>
        </w:rPr>
        <w:t>4.5 Point of contact.</w:t>
      </w:r>
      <w:r>
        <w:rPr>
          <w:rFonts w:ascii="Cambria" w:hAnsi="Cambria"/>
          <w:b w:val="0"/>
          <w:i w:val="0"/>
        </w:rPr>
        <w:t xml:space="preserve"> The Client shall nominate one individual, empowered to make decisions and give approvals binding on the Client, as the single point of contact for the engagement. Nominated: </w:t>
      </w:r>
      <w:r>
        <w:rPr>
          <w:rFonts w:ascii="Cambria" w:hAnsi="Cambria"/>
          <w:b/>
          <w:i w:val="0"/>
        </w:rPr>
        <w:t>[ name ]</w:t>
      </w:r>
      <w:r>
        <w:rPr>
          <w:rFonts w:ascii="Cambria" w:hAnsi="Cambria"/>
          <w:b w:val="0"/>
          <w:i w:val="0"/>
        </w:rPr>
        <w:t xml:space="preserve">, </w:t>
      </w:r>
      <w:r>
        <w:rPr>
          <w:rFonts w:ascii="Cambria" w:hAnsi="Cambria"/>
          <w:b/>
          <w:i w:val="0"/>
        </w:rPr>
        <w:t>[ title ]</w:t>
      </w:r>
      <w:r>
        <w:rPr>
          <w:rFonts w:ascii="Cambria" w:hAnsi="Cambria"/>
          <w:b w:val="0"/>
          <w:i w:val="0"/>
        </w:rPr>
        <w:t xml:space="preserve">, </w:t>
      </w:r>
      <w:r>
        <w:rPr>
          <w:rFonts w:ascii="Cambria" w:hAnsi="Cambria"/>
          <w:b/>
          <w:i w:val="0"/>
        </w:rPr>
        <w:t>[ email ]</w:t>
      </w:r>
      <w:r>
        <w:rPr>
          <w:rFonts w:ascii="Cambria" w:hAnsi="Cambria"/>
          <w:b w:val="0"/>
          <w:i w:val="0"/>
        </w:rPr>
        <w:t xml:space="preserve">, </w:t>
      </w:r>
      <w:r>
        <w:rPr>
          <w:rFonts w:ascii="Cambria" w:hAnsi="Cambria"/>
          <w:b/>
          <w:i w:val="0"/>
        </w:rPr>
        <w:t>[ mobile ]</w:t>
      </w:r>
      <w:r>
        <w:rPr>
          <w:rFonts w:ascii="Cambria" w:hAnsi="Cambria"/>
          <w:b w:val="0"/>
          <w:i w:val="0"/>
        </w:rPr>
        <w:t>.</w:t>
      </w:r>
    </w:p>
    <w:p>
      <w:pPr>
        <w:spacing w:after="120"/>
      </w:pPr>
      <w:r>
        <w:rPr>
          <w:rFonts w:ascii="Cambria" w:hAnsi="Cambria"/>
          <w:b/>
          <w:i w:val="0"/>
        </w:rPr>
        <w:t>4.6 Accuracy and disclosure.</w:t>
      </w:r>
      <w:r>
        <w:rPr>
          <w:rFonts w:ascii="Cambria" w:hAnsi="Cambria"/>
          <w:b w:val="0"/>
          <w:i w:val="0"/>
        </w:rPr>
        <w:t xml:space="preserve"> The Client is solely responsible for the accuracy and completeness of all information it supplies, and for all statements made to Investors. The Client shall disclose to the Consultant any fact, dispute, liability, contingent liability, regulatory matter or circumstance that a reasonable Investor would consider material.</w:t>
      </w:r>
    </w:p>
    <w:p>
      <w:pPr>
        <w:spacing w:after="120"/>
      </w:pPr>
      <w:r>
        <w:rPr>
          <w:rFonts w:ascii="Cambria" w:hAnsi="Cambria"/>
          <w:b/>
          <w:i w:val="0"/>
        </w:rPr>
        <w:t>4.7 Third-party advisors.</w:t>
      </w:r>
      <w:r>
        <w:rPr>
          <w:rFonts w:ascii="Cambria" w:hAnsi="Cambria"/>
          <w:b w:val="0"/>
          <w:i w:val="0"/>
        </w:rPr>
        <w:t xml:space="preserve"> The Client shall appoint and pay for its own legal, audit and tax advisors as required, and shall procure their timely cooperation.</w:t>
      </w:r>
    </w:p>
    <w:p>
      <w:pPr>
        <w:spacing w:after="120"/>
      </w:pPr>
      <w:r>
        <w:rPr>
          <w:rFonts w:ascii="Cambria" w:hAnsi="Cambria"/>
          <w:b/>
          <w:i w:val="0"/>
        </w:rPr>
        <w:t>4.8 Cooperation in good faith.</w:t>
      </w:r>
      <w:r>
        <w:rPr>
          <w:rFonts w:ascii="Cambria" w:hAnsi="Cambria"/>
          <w:b w:val="0"/>
          <w:i w:val="0"/>
        </w:rPr>
        <w:t xml:space="preserve"> The Client shall not take any step, or omit to take any step, that frustrates the performance of the Services or the progress of the Round.</w:t>
      </w:r>
    </w:p>
    <w:p>
      <w:pPr>
        <w:spacing w:before="120" w:after="120"/>
        <w:pBdr>
          <w:bottom w:val="single" w:sz="6" w:space="1" w:color="C2CCD6"/>
        </w:pBdr>
      </w:pPr>
    </w:p>
    <w:p>
      <w:pPr>
        <w:keepNext/>
        <w:spacing w:before="320" w:after="100"/>
      </w:pPr>
      <w:r>
        <w:rPr>
          <w:rFonts w:ascii="Calibri" w:hAnsi="Calibri"/>
          <w:b/>
          <w:i w:val="0"/>
          <w:color w:val="0F2C4A"/>
          <w:sz w:val="27"/>
        </w:rPr>
        <w:t>5. Investor Introductions, Client Engagement and Attribution</w:t>
      </w:r>
    </w:p>
    <w:p>
      <w:pPr>
        <w:spacing w:before="140" w:after="180"/>
        <w:ind w:left="283" w:right="170"/>
        <w:pBdr>
          <w:left w:val="single" w:sz="18" w:space="8" w:color="0F2C4A"/>
        </w:pBdr>
        <w:shd w:val="clear" w:color="auto" w:fill="EEF3F8"/>
      </w:pPr>
      <w:r>
        <w:rPr>
          <w:rFonts w:ascii="Cambria" w:hAnsi="Cambria"/>
          <w:b w:val="0"/>
          <w:i w:val="0"/>
          <w:color w:val="1C3A55"/>
          <w:sz w:val="19"/>
        </w:rPr>
        <w:t>This Clause is the commercial core of Phase 2. It defines who counts as an investor the Consultant brought, what the Client must do when one appears, and what happens if the Client does not.</w:t>
      </w:r>
    </w:p>
    <w:p>
      <w:pPr>
        <w:spacing w:after="120"/>
      </w:pPr>
      <w:r>
        <w:rPr>
          <w:rFonts w:ascii="Cambria" w:hAnsi="Cambria"/>
          <w:b/>
          <w:i w:val="0"/>
        </w:rPr>
        <w:t>5.1 Introduced Investor.</w:t>
      </w:r>
      <w:r>
        <w:rPr>
          <w:rFonts w:ascii="Cambria" w:hAnsi="Cambria"/>
          <w:b w:val="0"/>
          <w:i w:val="0"/>
        </w:rPr>
        <w:t xml:space="preserve"> An Investor is an "Introduced Investor" if the Consultant was the effective cause of the Client's contact with that Investor, including where the Consultant:</w:t>
      </w:r>
    </w:p>
    <w:p>
      <w:pPr>
        <w:pStyle w:val="ListBullet"/>
        <w:spacing w:after="60"/>
        <w:ind w:left="397"/>
      </w:pPr>
      <w:r>
        <w:rPr>
          <w:rFonts w:ascii="Cambria" w:hAnsi="Cambria"/>
          <w:b/>
          <w:i w:val="0"/>
        </w:rPr>
        <w:t>(a)</w:t>
      </w:r>
      <w:r>
        <w:rPr>
          <w:rFonts w:ascii="Cambria" w:hAnsi="Cambria"/>
          <w:b w:val="0"/>
          <w:i w:val="0"/>
        </w:rPr>
        <w:t xml:space="preserve"> made or arranged an introduction, referral or first contact, directly or through a third party;</w:t>
      </w:r>
    </w:p>
    <w:p>
      <w:pPr>
        <w:pStyle w:val="ListBullet"/>
        <w:spacing w:after="60"/>
        <w:ind w:left="397"/>
      </w:pPr>
      <w:r>
        <w:rPr>
          <w:rFonts w:ascii="Cambria" w:hAnsi="Cambria"/>
          <w:b/>
          <w:i w:val="0"/>
        </w:rPr>
        <w:t>(b)</w:t>
      </w:r>
      <w:r>
        <w:rPr>
          <w:rFonts w:ascii="Cambria" w:hAnsi="Cambria"/>
          <w:b w:val="0"/>
          <w:i w:val="0"/>
        </w:rPr>
        <w:t xml:space="preserve"> included the Investor on the Target Investor Map;</w:t>
      </w:r>
    </w:p>
    <w:p>
      <w:pPr>
        <w:pStyle w:val="ListBullet"/>
        <w:spacing w:after="60"/>
        <w:ind w:left="397"/>
      </w:pPr>
      <w:r>
        <w:rPr>
          <w:rFonts w:ascii="Cambria" w:hAnsi="Cambria"/>
          <w:b/>
          <w:i w:val="0"/>
        </w:rPr>
        <w:t>(c)</w:t>
      </w:r>
      <w:r>
        <w:rPr>
          <w:rFonts w:ascii="Cambria" w:hAnsi="Cambria"/>
          <w:b w:val="0"/>
          <w:i w:val="0"/>
        </w:rPr>
        <w:t xml:space="preserve"> included the Investor in an outreach wave, communication or campaign conducted under Phase 2;</w:t>
      </w:r>
    </w:p>
    <w:p>
      <w:pPr>
        <w:pStyle w:val="ListBullet"/>
        <w:spacing w:after="60"/>
        <w:ind w:left="397"/>
      </w:pPr>
      <w:r>
        <w:rPr>
          <w:rFonts w:ascii="Cambria" w:hAnsi="Cambria"/>
          <w:b/>
          <w:i w:val="0"/>
        </w:rPr>
        <w:t>(d)</w:t>
      </w:r>
      <w:r>
        <w:rPr>
          <w:rFonts w:ascii="Cambria" w:hAnsi="Cambria"/>
          <w:b w:val="0"/>
          <w:i w:val="0"/>
        </w:rPr>
        <w:t xml:space="preserve"> provided the Client with the Investor's identity or contact details in circumstances where the Client was not already in active discussion with that Investor; or</w:t>
      </w:r>
    </w:p>
    <w:p>
      <w:pPr>
        <w:pStyle w:val="ListBullet"/>
        <w:spacing w:after="60"/>
        <w:ind w:left="397"/>
      </w:pPr>
      <w:r>
        <w:rPr>
          <w:rFonts w:ascii="Cambria" w:hAnsi="Cambria"/>
          <w:b/>
          <w:i w:val="0"/>
        </w:rPr>
        <w:t>(e)</w:t>
      </w:r>
      <w:r>
        <w:rPr>
          <w:rFonts w:ascii="Cambria" w:hAnsi="Cambria"/>
          <w:b w:val="0"/>
          <w:i w:val="0"/>
        </w:rPr>
        <w:t xml:space="preserve"> materially facilitated, brokered or re-activated the relationship where contact had previously lapsed,</w:t>
      </w:r>
    </w:p>
    <w:p>
      <w:pPr>
        <w:spacing w:after="120"/>
      </w:pPr>
      <w:r>
        <w:rPr>
          <w:rFonts w:ascii="Cambria" w:hAnsi="Cambria"/>
          <w:b w:val="0"/>
          <w:i w:val="0"/>
        </w:rPr>
        <w:t>in each case where the relevant event is recorded in the Investor Log in accordance with Clause 5.2.</w:t>
      </w:r>
    </w:p>
    <w:p>
      <w:pPr>
        <w:spacing w:after="120"/>
      </w:pPr>
      <w:r>
        <w:rPr>
          <w:rFonts w:ascii="Cambria" w:hAnsi="Cambria"/>
          <w:b/>
          <w:i w:val="0"/>
        </w:rPr>
        <w:t>5.2 Investor Log.</w:t>
      </w:r>
      <w:r>
        <w:rPr>
          <w:rFonts w:ascii="Cambria" w:hAnsi="Cambria"/>
          <w:b w:val="0"/>
          <w:i w:val="0"/>
        </w:rPr>
        <w:t xml:space="preserve"> The Consultant shall maintain the Investor Log in the form at Schedule E, recording for each Investor the name, source, date of first contact and attribution. The Investor Log shall be shared with the Client </w:t>
      </w:r>
      <w:r>
        <w:rPr>
          <w:rFonts w:ascii="Cambria" w:hAnsi="Cambria"/>
          <w:b/>
          <w:i w:val="0"/>
        </w:rPr>
        <w:t>weekly</w:t>
      </w:r>
      <w:r>
        <w:rPr>
          <w:rFonts w:ascii="Cambria" w:hAnsi="Cambria"/>
          <w:b w:val="0"/>
          <w:i w:val="0"/>
        </w:rPr>
        <w:t xml:space="preserve"> with the pipeline report. The Client may dispute any attribution entry by written notice within </w:t>
      </w:r>
      <w:r>
        <w:rPr>
          <w:rFonts w:ascii="Cambria" w:hAnsi="Cambria"/>
          <w:b/>
          <w:i w:val="0"/>
        </w:rPr>
        <w:t>seven (7) Business Days</w:t>
      </w:r>
      <w:r>
        <w:rPr>
          <w:rFonts w:ascii="Cambria" w:hAnsi="Cambria"/>
          <w:b w:val="0"/>
          <w:i w:val="0"/>
        </w:rPr>
        <w:t xml:space="preserve"> of receipt of the report in which it first appears; absent such notice, the entry is final and binding. This mechanism exists so that attribution is settled contemporaneously and never retrospectively.</w:t>
      </w:r>
    </w:p>
    <w:p>
      <w:pPr>
        <w:spacing w:after="120"/>
      </w:pPr>
      <w:r>
        <w:rPr>
          <w:rFonts w:ascii="Cambria" w:hAnsi="Cambria"/>
          <w:b/>
          <w:i w:val="0"/>
        </w:rPr>
        <w:t>5.3 Engagement Standard.</w:t>
      </w:r>
      <w:r>
        <w:rPr>
          <w:rFonts w:ascii="Cambria" w:hAnsi="Cambria"/>
          <w:b w:val="0"/>
          <w:i w:val="0"/>
        </w:rPr>
        <w:t xml:space="preserve"> In respect of every Introduced Investor, the Client shall:</w:t>
      </w:r>
    </w:p>
    <w:p>
      <w:pPr>
        <w:pStyle w:val="ListBullet"/>
        <w:spacing w:after="60"/>
        <w:ind w:left="397"/>
      </w:pPr>
      <w:r>
        <w:rPr>
          <w:rFonts w:ascii="Cambria" w:hAnsi="Cambria"/>
          <w:b/>
          <w:i w:val="0"/>
        </w:rPr>
        <w:t>(a)</w:t>
      </w:r>
      <w:r>
        <w:rPr>
          <w:rFonts w:ascii="Cambria" w:hAnsi="Cambria"/>
          <w:b w:val="0"/>
          <w:i w:val="0"/>
        </w:rPr>
        <w:t xml:space="preserve"> respond substantively to any communication within </w:t>
      </w:r>
      <w:r>
        <w:rPr>
          <w:rFonts w:ascii="Cambria" w:hAnsi="Cambria"/>
          <w:b/>
          <w:i w:val="0"/>
        </w:rPr>
        <w:t>three (3) Business Days</w:t>
      </w:r>
      <w:r>
        <w:rPr>
          <w:rFonts w:ascii="Cambria" w:hAnsi="Cambria"/>
          <w:b w:val="0"/>
          <w:i w:val="0"/>
        </w:rPr>
        <w:t>;</w:t>
      </w:r>
    </w:p>
    <w:p>
      <w:pPr>
        <w:pStyle w:val="ListBullet"/>
        <w:spacing w:after="60"/>
        <w:ind w:left="397"/>
      </w:pPr>
      <w:r>
        <w:rPr>
          <w:rFonts w:ascii="Cambria" w:hAnsi="Cambria"/>
          <w:b/>
          <w:i w:val="0"/>
        </w:rPr>
        <w:t>(b)</w:t>
      </w:r>
      <w:r>
        <w:rPr>
          <w:rFonts w:ascii="Cambria" w:hAnsi="Cambria"/>
          <w:b w:val="0"/>
          <w:i w:val="0"/>
        </w:rPr>
        <w:t xml:space="preserve"> attend scheduled meetings, subject to no more than one (1) rescheduling per Investor;</w:t>
      </w:r>
    </w:p>
    <w:p>
      <w:pPr>
        <w:pStyle w:val="ListBullet"/>
        <w:spacing w:after="60"/>
        <w:ind w:left="397"/>
      </w:pPr>
      <w:r>
        <w:rPr>
          <w:rFonts w:ascii="Cambria" w:hAnsi="Cambria"/>
          <w:b/>
          <w:i w:val="0"/>
        </w:rPr>
        <w:t>(c)</w:t>
      </w:r>
      <w:r>
        <w:rPr>
          <w:rFonts w:ascii="Cambria" w:hAnsi="Cambria"/>
          <w:b w:val="0"/>
          <w:i w:val="0"/>
        </w:rPr>
        <w:t xml:space="preserve"> provide requested diligence materials within </w:t>
      </w:r>
      <w:r>
        <w:rPr>
          <w:rFonts w:ascii="Cambria" w:hAnsi="Cambria"/>
          <w:b/>
          <w:i w:val="0"/>
        </w:rPr>
        <w:t>five (5) Business Days</w:t>
      </w:r>
      <w:r>
        <w:rPr>
          <w:rFonts w:ascii="Cambria" w:hAnsi="Cambria"/>
          <w:b w:val="0"/>
          <w:i w:val="0"/>
        </w:rPr>
        <w:t>;</w:t>
      </w:r>
    </w:p>
    <w:p>
      <w:pPr>
        <w:pStyle w:val="ListBullet"/>
        <w:spacing w:after="60"/>
        <w:ind w:left="397"/>
      </w:pPr>
      <w:r>
        <w:rPr>
          <w:rFonts w:ascii="Cambria" w:hAnsi="Cambria"/>
          <w:b/>
          <w:i w:val="0"/>
        </w:rPr>
        <w:t>(d)</w:t>
      </w:r>
      <w:r>
        <w:rPr>
          <w:rFonts w:ascii="Cambria" w:hAnsi="Cambria"/>
          <w:b w:val="0"/>
          <w:i w:val="0"/>
        </w:rPr>
        <w:t xml:space="preserve"> notify the Consultant within </w:t>
      </w:r>
      <w:r>
        <w:rPr>
          <w:rFonts w:ascii="Cambria" w:hAnsi="Cambria"/>
          <w:b/>
          <w:i w:val="0"/>
        </w:rPr>
        <w:t>two (2) Business Days</w:t>
      </w:r>
      <w:r>
        <w:rPr>
          <w:rFonts w:ascii="Cambria" w:hAnsi="Cambria"/>
          <w:b w:val="0"/>
          <w:i w:val="0"/>
        </w:rPr>
        <w:t xml:space="preserve"> of any direct contact with an Introduced Investor, and copy or brief the Consultant on material correspondence; and</w:t>
      </w:r>
    </w:p>
    <w:p>
      <w:pPr>
        <w:pStyle w:val="ListBullet"/>
        <w:spacing w:after="60"/>
        <w:ind w:left="397"/>
      </w:pPr>
      <w:r>
        <w:rPr>
          <w:rFonts w:ascii="Cambria" w:hAnsi="Cambria"/>
          <w:b/>
          <w:i w:val="0"/>
        </w:rPr>
        <w:t>(e)</w:t>
      </w:r>
      <w:r>
        <w:rPr>
          <w:rFonts w:ascii="Cambria" w:hAnsi="Cambria"/>
          <w:b w:val="0"/>
          <w:i w:val="0"/>
        </w:rPr>
        <w:t xml:space="preserve"> deal with each Introduced Investor professionally and in good faith.</w:t>
      </w:r>
    </w:p>
    <w:p>
      <w:pPr>
        <w:spacing w:after="120"/>
      </w:pPr>
      <w:r>
        <w:rPr>
          <w:rFonts w:ascii="Cambria" w:hAnsi="Cambria"/>
          <w:b/>
          <w:i w:val="0"/>
        </w:rPr>
        <w:t>5.4 Non-Engagement.</w:t>
      </w:r>
      <w:r>
        <w:rPr>
          <w:rFonts w:ascii="Cambria" w:hAnsi="Cambria"/>
          <w:b w:val="0"/>
          <w:i w:val="0"/>
        </w:rPr>
        <w:t xml:space="preserve"> Two (2) or more failures to meet the Engagement Standard, or any single failure continuing for more than ten (10) Business Days, constitutes "</w:t>
      </w:r>
      <w:r>
        <w:rPr>
          <w:rFonts w:ascii="Cambria" w:hAnsi="Cambria"/>
          <w:b/>
          <w:i w:val="0"/>
        </w:rPr>
        <w:t>Non-Engagement</w:t>
      </w:r>
      <w:r>
        <w:rPr>
          <w:rFonts w:ascii="Cambria" w:hAnsi="Cambria"/>
          <w:b w:val="0"/>
          <w:i w:val="0"/>
        </w:rPr>
        <w:t>". Non-Engagement is treated by the Parties as evidence that the Client is not seriously pursuing the Round. On Non-Engagement, the Consultant may, by written notice:</w:t>
      </w:r>
    </w:p>
    <w:p>
      <w:pPr>
        <w:pStyle w:val="ListBullet"/>
        <w:spacing w:after="60"/>
        <w:ind w:left="397"/>
      </w:pPr>
      <w:r>
        <w:rPr>
          <w:rFonts w:ascii="Cambria" w:hAnsi="Cambria"/>
          <w:b/>
          <w:i w:val="0"/>
        </w:rPr>
        <w:t>(a)</w:t>
      </w:r>
      <w:r>
        <w:rPr>
          <w:rFonts w:ascii="Cambria" w:hAnsi="Cambria"/>
          <w:b w:val="0"/>
          <w:i w:val="0"/>
        </w:rPr>
        <w:t xml:space="preserve"> suspend outreach and all Phase 2 activity, so as not to expose the Consultant's investor relationships to an unresponsive counterparty;</w:t>
      </w:r>
    </w:p>
    <w:p>
      <w:pPr>
        <w:pStyle w:val="ListBullet"/>
        <w:spacing w:after="60"/>
        <w:ind w:left="397"/>
      </w:pPr>
      <w:r>
        <w:rPr>
          <w:rFonts w:ascii="Cambria" w:hAnsi="Cambria"/>
          <w:b/>
          <w:i w:val="0"/>
        </w:rPr>
        <w:t>(b)</w:t>
      </w:r>
      <w:r>
        <w:rPr>
          <w:rFonts w:ascii="Cambria" w:hAnsi="Cambria"/>
          <w:b w:val="0"/>
          <w:i w:val="0"/>
        </w:rPr>
        <w:t xml:space="preserve"> stop the timeline clock under Clause 7.2, with all affected dates extending day-for-day;</w:t>
      </w:r>
    </w:p>
    <w:p>
      <w:pPr>
        <w:pStyle w:val="ListBullet"/>
        <w:spacing w:after="60"/>
        <w:ind w:left="397"/>
      </w:pPr>
      <w:r>
        <w:rPr>
          <w:rFonts w:ascii="Cambria" w:hAnsi="Cambria"/>
          <w:b/>
          <w:i w:val="0"/>
        </w:rPr>
        <w:t>(c)</w:t>
      </w:r>
      <w:r>
        <w:rPr>
          <w:rFonts w:ascii="Cambria" w:hAnsi="Cambria"/>
          <w:b w:val="0"/>
          <w:i w:val="0"/>
        </w:rPr>
        <w:t xml:space="preserve"> require the Client to cure within ten (10) Business Days; and</w:t>
      </w:r>
    </w:p>
    <w:p>
      <w:pPr>
        <w:pStyle w:val="ListBullet"/>
        <w:spacing w:after="60"/>
        <w:ind w:left="397"/>
      </w:pPr>
      <w:r>
        <w:rPr>
          <w:rFonts w:ascii="Cambria" w:hAnsi="Cambria"/>
          <w:b/>
          <w:i w:val="0"/>
        </w:rPr>
        <w:t>(d)</w:t>
      </w:r>
      <w:r>
        <w:rPr>
          <w:rFonts w:ascii="Cambria" w:hAnsi="Cambria"/>
          <w:b w:val="0"/>
          <w:i w:val="0"/>
        </w:rPr>
        <w:t xml:space="preserve"> if the Client does not cure, terminate under Clause 8.3, in which case all Fees accrued to the date of termination fall due immediately, and Clauses 6.2 and 9 continue to apply throughout the Tail Period.</w:t>
      </w:r>
    </w:p>
    <w:p>
      <w:pPr>
        <w:spacing w:after="120"/>
      </w:pPr>
      <w:r>
        <w:rPr>
          <w:rFonts w:ascii="Cambria" w:hAnsi="Cambria"/>
          <w:b/>
          <w:i w:val="0"/>
        </w:rPr>
        <w:t>5.5 Non-circumvention.</w:t>
      </w:r>
      <w:r>
        <w:rPr>
          <w:rFonts w:ascii="Cambria" w:hAnsi="Cambria"/>
          <w:b w:val="0"/>
          <w:i w:val="0"/>
        </w:rPr>
        <w:t xml:space="preserve"> The Client shall not, and shall procure that its founders, shareholders, officers, employees, affiliates and any entity under common control shall not, directly or indirectly, negotiate with, transact with, or accept investment from an Introduced Investor otherwise than under this Agreement, or in any manner structured to avoid or reduce the Success Fee. Any investment received in breach of this Clause is deemed to attract the Success Fee in full.</w:t>
      </w:r>
    </w:p>
    <w:p>
      <w:pPr>
        <w:spacing w:after="120"/>
      </w:pPr>
      <w:r>
        <w:rPr>
          <w:rFonts w:ascii="Cambria" w:hAnsi="Cambria"/>
          <w:b/>
          <w:i w:val="0"/>
        </w:rPr>
        <w:t>5.6 Attribution survives.</w:t>
      </w:r>
      <w:r>
        <w:rPr>
          <w:rFonts w:ascii="Cambria" w:hAnsi="Cambria"/>
          <w:b w:val="0"/>
          <w:i w:val="0"/>
        </w:rPr>
        <w:t xml:space="preserve"> The Success Fee is payable on any Ticket funded by an Introduced Investor whether the Ticket is funded during the Term or at any time within the Tail Period, and whether the final negotiation was conducted by the Consultant or by the Client.</w:t>
      </w:r>
    </w:p>
    <w:p>
      <w:pPr>
        <w:spacing w:after="120"/>
      </w:pPr>
      <w:r>
        <w:rPr>
          <w:rFonts w:ascii="Cambria" w:hAnsi="Cambria"/>
          <w:b/>
          <w:i w:val="0"/>
        </w:rPr>
        <w:t>5.7 No warranty as to Investors.</w:t>
      </w:r>
      <w:r>
        <w:rPr>
          <w:rFonts w:ascii="Cambria" w:hAnsi="Cambria"/>
          <w:b w:val="0"/>
          <w:i w:val="0"/>
        </w:rPr>
        <w:t xml:space="preserve"> The Consultant makes no representation or warranty as to the financial standing, willingness, capacity or conduct of any Investor. An introduction is not a recommendation to accept investment, and the Client is responsible for conducting its own diligence on any Investor before accepting funds.</w:t>
      </w:r>
    </w:p>
    <w:p>
      <w:pPr>
        <w:spacing w:after="120"/>
      </w:pPr>
      <w:r>
        <w:rPr>
          <w:rFonts w:ascii="Cambria" w:hAnsi="Cambria"/>
          <w:b/>
          <w:i w:val="0"/>
        </w:rPr>
        <w:t>5.8 Client-sourced investors.</w:t>
      </w:r>
      <w:r>
        <w:rPr>
          <w:rFonts w:ascii="Cambria" w:hAnsi="Cambria"/>
          <w:b w:val="0"/>
          <w:i w:val="0"/>
        </w:rPr>
        <w:t xml:space="preserve"> For the avoidance of doubt, an Investor sourced independently by the Client, not appearing on the Target Investor Map, not included in any outreach wave and not otherwise falling within Clause 5.1, is a "Client-Sourced Investor". </w:t>
      </w:r>
      <w:r>
        <w:rPr>
          <w:rFonts w:ascii="Cambria" w:hAnsi="Cambria"/>
          <w:b/>
          <w:i w:val="0"/>
        </w:rPr>
        <w:t>No Success Fee is payable on a Client-Sourced Investor's Ticket.</w:t>
      </w:r>
      <w:r>
        <w:rPr>
          <w:rFonts w:ascii="Cambria" w:hAnsi="Cambria"/>
          <w:b w:val="0"/>
          <w:i w:val="0"/>
        </w:rPr>
        <w:t xml:space="preserve"> The M3 Closing Milestone under Clause 6.1 remains payable regardless of whether the First Close arises from an Introduced Investor or a Client-Sourced Investor.</w:t>
      </w:r>
    </w:p>
    <w:p>
      <w:pPr>
        <w:spacing w:before="120" w:after="120"/>
        <w:pBdr>
          <w:bottom w:val="single" w:sz="6" w:space="1" w:color="C2CCD6"/>
        </w:pBdr>
      </w:pPr>
    </w:p>
    <w:p>
      <w:pPr>
        <w:keepNext/>
        <w:spacing w:before="320" w:after="100"/>
      </w:pPr>
      <w:r>
        <w:rPr>
          <w:rFonts w:ascii="Calibri" w:hAnsi="Calibri"/>
          <w:b/>
          <w:i w:val="0"/>
          <w:color w:val="0F2C4A"/>
          <w:sz w:val="27"/>
        </w:rPr>
        <w:t>6. Fees and Payment</w:t>
      </w:r>
    </w:p>
    <w:p>
      <w:pPr>
        <w:spacing w:after="120"/>
      </w:pPr>
      <w:r>
        <w:rPr>
          <w:rFonts w:ascii="Cambria" w:hAnsi="Cambria"/>
          <w:b/>
          <w:i w:val="0"/>
        </w:rPr>
        <w:t>6.1 Fixed Fee.</w:t>
      </w:r>
      <w:r>
        <w:rPr>
          <w:rFonts w:ascii="Cambria" w:hAnsi="Cambria"/>
          <w:b w:val="0"/>
          <w:i w:val="0"/>
        </w:rPr>
        <w:t xml:space="preserve"> The Client shall pay the Consultant a Fixed Fee of </w:t>
      </w:r>
      <w:r>
        <w:rPr>
          <w:rFonts w:ascii="Cambria" w:hAnsi="Cambria"/>
          <w:b/>
          <w:i w:val="0"/>
        </w:rPr>
        <w:t>EGP 150,000 (One Hundred and Fifty Thousand Egyptian Pounds)</w:t>
      </w:r>
      <w:r>
        <w:rPr>
          <w:rFonts w:ascii="Cambria" w:hAnsi="Cambria"/>
          <w:b w:val="0"/>
          <w:i w:val="0"/>
        </w:rPr>
        <w:t>, as follows: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r>
              <w:rPr>
                <w:rFonts w:ascii="Calibri" w:hAnsi="Calibri"/>
                <w:b/>
                <w:i w:val="0"/>
                <w:color w:val="FFFFFF"/>
                <w:sz w:val="17"/>
              </w:rPr>
              <w:t>Milestone</w:t>
            </w:r>
          </w:p>
        </w:tc>
        <w:tc>
          <w:tcPr>
            <w:tcW w:type="dxa" w:w="3213"/>
            <w:shd w:val="clear" w:color="auto" w:fill="0F2C4A"/>
          </w:tcPr>
          <w:p>
            <w:pPr>
              <w:spacing w:after="40" w:before="40"/>
            </w:pPr>
            <w:r/>
            <w:r>
              <w:rPr>
                <w:rFonts w:ascii="Calibri" w:hAnsi="Calibri"/>
                <w:b/>
                <w:i w:val="0"/>
                <w:color w:val="FFFFFF"/>
                <w:sz w:val="17"/>
              </w:rPr>
              <w:t>Trigger</w:t>
            </w:r>
          </w:p>
        </w:tc>
        <w:tc>
          <w:tcPr>
            <w:tcW w:type="dxa" w:w="3213"/>
            <w:shd w:val="clear" w:color="auto" w:fill="0F2C4A"/>
          </w:tcPr>
          <w:p>
            <w:pPr>
              <w:spacing w:after="40" w:before="40"/>
            </w:pPr>
            <w:r/>
            <w:r>
              <w:rPr>
                <w:rFonts w:ascii="Calibri" w:hAnsi="Calibri"/>
                <w:b/>
                <w:i w:val="0"/>
                <w:color w:val="FFFFFF"/>
                <w:sz w:val="17"/>
              </w:rPr>
              <w:t>Amount</w:t>
            </w:r>
          </w:p>
        </w:tc>
      </w:tr>
      <w:tr>
        <w:tc>
          <w:tcPr>
            <w:tcW w:type="dxa" w:w="3213"/>
          </w:tcPr>
          <w:p>
            <w:pPr>
              <w:spacing w:after="40" w:before="40"/>
            </w:pPr>
            <w:r/>
            <w:r>
              <w:rPr>
                <w:rFonts w:ascii="Cambria" w:hAnsi="Cambria"/>
                <w:b/>
                <w:i w:val="0"/>
                <w:sz w:val="17"/>
              </w:rPr>
              <w:t>M1 — Deposit</w:t>
            </w:r>
          </w:p>
        </w:tc>
        <w:tc>
          <w:tcPr>
            <w:tcW w:type="dxa" w:w="3213"/>
          </w:tcPr>
          <w:p>
            <w:pPr>
              <w:spacing w:after="40" w:before="40"/>
            </w:pPr>
            <w:r/>
            <w:r>
              <w:rPr>
                <w:rFonts w:ascii="Cambria" w:hAnsi="Cambria"/>
                <w:b w:val="0"/>
                <w:i w:val="0"/>
                <w:sz w:val="17"/>
              </w:rPr>
              <w:t>On signature of this Agreement</w:t>
            </w:r>
          </w:p>
        </w:tc>
        <w:tc>
          <w:tcPr>
            <w:tcW w:type="dxa" w:w="3213"/>
          </w:tcPr>
          <w:p>
            <w:pPr>
              <w:spacing w:after="40" w:before="40"/>
            </w:pPr>
            <w:r/>
            <w:r>
              <w:rPr>
                <w:rFonts w:ascii="Cambria" w:hAnsi="Cambria"/>
                <w:b/>
                <w:i w:val="0"/>
                <w:sz w:val="17"/>
              </w:rPr>
              <w:t>EGP 30,000</w:t>
            </w:r>
          </w:p>
        </w:tc>
      </w:tr>
      <w:tr>
        <w:tc>
          <w:tcPr>
            <w:tcW w:type="dxa" w:w="3213"/>
            <w:shd w:val="clear" w:color="auto" w:fill="F2F5F8"/>
          </w:tcPr>
          <w:p>
            <w:pPr>
              <w:spacing w:after="40" w:before="40"/>
            </w:pPr>
            <w:r/>
            <w:r>
              <w:rPr>
                <w:rFonts w:ascii="Cambria" w:hAnsi="Cambria"/>
                <w:b/>
                <w:i w:val="0"/>
                <w:sz w:val="17"/>
              </w:rPr>
              <w:t>M2 — Readiness</w:t>
            </w:r>
          </w:p>
        </w:tc>
        <w:tc>
          <w:tcPr>
            <w:tcW w:type="dxa" w:w="3213"/>
            <w:shd w:val="clear" w:color="auto" w:fill="F2F5F8"/>
          </w:tcPr>
          <w:p>
            <w:pPr>
              <w:spacing w:after="40" w:before="40"/>
            </w:pPr>
            <w:r/>
            <w:r>
              <w:rPr>
                <w:rFonts w:ascii="Cambria" w:hAnsi="Cambria"/>
                <w:b w:val="0"/>
                <w:i w:val="0"/>
                <w:sz w:val="17"/>
              </w:rPr>
              <w:t>On completion of Phase 1 under Clause 3.4</w:t>
            </w:r>
          </w:p>
        </w:tc>
        <w:tc>
          <w:tcPr>
            <w:tcW w:type="dxa" w:w="3213"/>
            <w:shd w:val="clear" w:color="auto" w:fill="F2F5F8"/>
          </w:tcPr>
          <w:p>
            <w:pPr>
              <w:spacing w:after="40" w:before="40"/>
            </w:pPr>
            <w:r/>
            <w:r>
              <w:rPr>
                <w:rFonts w:ascii="Cambria" w:hAnsi="Cambria"/>
                <w:b/>
                <w:i w:val="0"/>
                <w:sz w:val="17"/>
              </w:rPr>
              <w:t>EGP 30,000</w:t>
            </w:r>
          </w:p>
        </w:tc>
      </w:tr>
      <w:tr>
        <w:tc>
          <w:tcPr>
            <w:tcW w:type="dxa" w:w="3213"/>
          </w:tcPr>
          <w:p>
            <w:pPr>
              <w:spacing w:after="40" w:before="40"/>
            </w:pPr>
            <w:r/>
            <w:r>
              <w:rPr>
                <w:rFonts w:ascii="Cambria" w:hAnsi="Cambria"/>
                <w:b/>
                <w:i w:val="0"/>
                <w:sz w:val="17"/>
              </w:rPr>
              <w:t>M3 — Closing</w:t>
            </w:r>
          </w:p>
        </w:tc>
        <w:tc>
          <w:tcPr>
            <w:tcW w:type="dxa" w:w="3213"/>
          </w:tcPr>
          <w:p>
            <w:pPr>
              <w:spacing w:after="40" w:before="40"/>
            </w:pPr>
            <w:r/>
            <w:r>
              <w:rPr>
                <w:rFonts w:ascii="Cambria" w:hAnsi="Cambria"/>
                <w:b w:val="0"/>
                <w:i w:val="0"/>
                <w:sz w:val="17"/>
              </w:rPr>
              <w:t>On First Close</w:t>
            </w:r>
          </w:p>
        </w:tc>
        <w:tc>
          <w:tcPr>
            <w:tcW w:type="dxa" w:w="3213"/>
          </w:tcPr>
          <w:p>
            <w:pPr>
              <w:spacing w:after="40" w:before="40"/>
            </w:pPr>
            <w:r/>
            <w:r>
              <w:rPr>
                <w:rFonts w:ascii="Cambria" w:hAnsi="Cambria"/>
                <w:b/>
                <w:i w:val="0"/>
                <w:sz w:val="17"/>
              </w:rPr>
              <w:t>EGP 90,000</w:t>
            </w:r>
          </w:p>
        </w:tc>
      </w:tr>
    </w:tbl>
    <w:p>
      <w:pPr>
        <w:spacing w:after="40"/>
      </w:pPr>
    </w:p>
    <w:p>
      <w:pPr>
        <w:spacing w:after="120"/>
      </w:pPr>
      <w:r>
        <w:rPr>
          <w:rFonts w:ascii="Cambria" w:hAnsi="Cambria"/>
          <w:b/>
          <w:i w:val="0"/>
        </w:rPr>
        <w:t>(a)</w:t>
      </w:r>
      <w:r>
        <w:rPr>
          <w:rFonts w:ascii="Cambria" w:hAnsi="Cambria"/>
          <w:b w:val="0"/>
          <w:i w:val="0"/>
        </w:rPr>
        <w:t xml:space="preserve"> The M1 deposit is a non-refundable mobilisation fee and is payable before the Phase 1 Start Date.</w:t>
      </w:r>
    </w:p>
    <w:p>
      <w:pPr>
        <w:spacing w:after="120"/>
      </w:pPr>
      <w:r>
        <w:rPr>
          <w:rFonts w:ascii="Cambria" w:hAnsi="Cambria"/>
          <w:b/>
          <w:i w:val="0"/>
        </w:rPr>
        <w:t>(b)</w:t>
      </w:r>
      <w:r>
        <w:rPr>
          <w:rFonts w:ascii="Cambria" w:hAnsi="Cambria"/>
          <w:b w:val="0"/>
          <w:i w:val="0"/>
        </w:rPr>
        <w:t xml:space="preserve"> The M3 Closing Milestone Fee of EGP 90,000 shall become due upon First Close — being the date on which the first Investment Amount is received in cleared funds into the Client's bank account — irrespective of whether the Round remains open for subsequent tranches, and </w:t>
      </w:r>
      <w:r>
        <w:rPr>
          <w:rFonts w:ascii="Cambria" w:hAnsi="Cambria"/>
          <w:b/>
          <w:i w:val="0"/>
        </w:rPr>
        <w:t>irrespective of whether the closing Investor was an Introduced Investor or a Client-Sourced Investor</w:t>
      </w:r>
      <w:r>
        <w:rPr>
          <w:rFonts w:ascii="Cambria" w:hAnsi="Cambria"/>
          <w:b w:val="0"/>
          <w:i w:val="0"/>
        </w:rPr>
        <w:t>.</w:t>
      </w:r>
    </w:p>
    <w:p>
      <w:pPr>
        <w:spacing w:after="120"/>
      </w:pPr>
      <w:r>
        <w:rPr>
          <w:rFonts w:ascii="Cambria" w:hAnsi="Cambria"/>
          <w:b/>
          <w:i w:val="0"/>
        </w:rPr>
        <w:t>(c)</w:t>
      </w:r>
      <w:r>
        <w:rPr>
          <w:rFonts w:ascii="Cambria" w:hAnsi="Cambria"/>
          <w:b w:val="0"/>
          <w:i w:val="0"/>
        </w:rPr>
        <w:t xml:space="preserve"> If the Round has not reached First Close by the date this Agreement expires or is terminated other than under Clause 8.2, M3 remains payable on the first subsequent close occurring within the Tail Period.</w:t>
      </w:r>
    </w:p>
    <w:p>
      <w:pPr>
        <w:spacing w:after="120"/>
      </w:pPr>
      <w:r>
        <w:rPr>
          <w:rFonts w:ascii="Cambria" w:hAnsi="Cambria"/>
          <w:b/>
          <w:i w:val="0"/>
        </w:rPr>
        <w:t>6.2 Success Fee.</w:t>
      </w:r>
      <w:r>
        <w:rPr>
          <w:rFonts w:ascii="Cambria" w:hAnsi="Cambria"/>
          <w:b w:val="0"/>
          <w:i w:val="0"/>
        </w:rPr>
        <w:t xml:space="preserve"> In addition to the Fixed Fee, the Client shall pay the Consultant a Success Fee of </w:t>
      </w:r>
      <w:r>
        <w:rPr>
          <w:rFonts w:ascii="Cambria" w:hAnsi="Cambria"/>
          <w:b/>
          <w:i w:val="0"/>
        </w:rPr>
        <w:t>ten percent (10%) of the aggregate Investment Amount funded by Introduced Investors</w:t>
      </w:r>
      <w:r>
        <w:rPr>
          <w:rFonts w:ascii="Cambria" w:hAnsi="Cambria"/>
          <w:b w:val="0"/>
          <w:i w:val="0"/>
        </w:rPr>
        <w:t>.</w:t>
      </w:r>
    </w:p>
    <w:p>
      <w:pPr>
        <w:pStyle w:val="ListBullet"/>
        <w:spacing w:after="60"/>
        <w:ind w:left="397"/>
      </w:pPr>
      <w:r>
        <w:rPr>
          <w:rFonts w:ascii="Cambria" w:hAnsi="Cambria"/>
          <w:b/>
          <w:i w:val="0"/>
        </w:rPr>
        <w:t>(a)</w:t>
      </w:r>
      <w:r>
        <w:rPr>
          <w:rFonts w:ascii="Cambria" w:hAnsi="Cambria"/>
          <w:b w:val="0"/>
          <w:i w:val="0"/>
        </w:rPr>
        <w:t xml:space="preserve"> The Success Fee accrues per Ticket and is calculated on amounts actually received by the Client in cleared funds. Where a Ticket funds in tranches, the Success Fee is payable pro rata as each tranche is received.</w:t>
      </w:r>
    </w:p>
    <w:p>
      <w:pPr>
        <w:pStyle w:val="ListBullet"/>
        <w:spacing w:after="60"/>
        <w:ind w:left="397"/>
      </w:pPr>
      <w:r>
        <w:rPr>
          <w:rFonts w:ascii="Cambria" w:hAnsi="Cambria"/>
          <w:b/>
          <w:i w:val="0"/>
        </w:rPr>
        <w:t>(b)</w:t>
      </w:r>
      <w:r>
        <w:rPr>
          <w:rFonts w:ascii="Cambria" w:hAnsi="Cambria"/>
          <w:b w:val="0"/>
          <w:i w:val="0"/>
        </w:rPr>
        <w:t xml:space="preserve"> No Success Fee is payable in respect of a Client-Sourced Investor.</w:t>
      </w:r>
    </w:p>
    <w:p>
      <w:pPr>
        <w:pStyle w:val="ListBullet"/>
        <w:spacing w:after="60"/>
        <w:ind w:left="397"/>
      </w:pPr>
      <w:r>
        <w:rPr>
          <w:rFonts w:ascii="Cambria" w:hAnsi="Cambria"/>
          <w:b/>
          <w:i w:val="0"/>
        </w:rPr>
        <w:t>(c)</w:t>
      </w:r>
      <w:r>
        <w:rPr>
          <w:rFonts w:ascii="Cambria" w:hAnsi="Cambria"/>
          <w:b w:val="0"/>
          <w:i w:val="0"/>
        </w:rPr>
        <w:t xml:space="preserve"> Where consideration is received other than in cash, the Success Fee is calculated on the fair market value of that consideration as at the date of receipt, agreed between the Parties or, failing agreement within ten (10) Business Days, determined by an independent valuer jointly appointed and shared equally in cost.</w:t>
      </w:r>
    </w:p>
    <w:p>
      <w:pPr>
        <w:pStyle w:val="ListBullet"/>
        <w:spacing w:after="60"/>
        <w:ind w:left="397"/>
      </w:pPr>
      <w:r>
        <w:rPr>
          <w:rFonts w:ascii="Cambria" w:hAnsi="Cambria"/>
          <w:b/>
          <w:i w:val="0"/>
        </w:rPr>
        <w:t>(d)</w:t>
      </w:r>
      <w:r>
        <w:rPr>
          <w:rFonts w:ascii="Cambria" w:hAnsi="Cambria"/>
          <w:b w:val="0"/>
          <w:i w:val="0"/>
        </w:rPr>
        <w:t xml:space="preserve"> Where an Investment Amount is denominated in a currency other than Egyptian Pounds, it shall be converted at the Central Bank of Egypt mid-market rate on the date the funds are received in cleared funds.</w:t>
      </w:r>
    </w:p>
    <w:p>
      <w:pPr>
        <w:pStyle w:val="ListBullet"/>
        <w:spacing w:after="60"/>
        <w:ind w:left="397"/>
      </w:pPr>
      <w:r>
        <w:rPr>
          <w:rFonts w:ascii="Cambria" w:hAnsi="Cambria"/>
          <w:b/>
          <w:i w:val="0"/>
        </w:rPr>
        <w:t>(e)</w:t>
      </w:r>
      <w:r>
        <w:rPr>
          <w:rFonts w:ascii="Cambria" w:hAnsi="Cambria"/>
          <w:b w:val="0"/>
          <w:i w:val="0"/>
        </w:rPr>
        <w:t xml:space="preserve"> The Success Fee applies to Tickets funded during the Term and throughout the Tail Period, in accordance with Clauses 5.6 and 9.</w:t>
      </w:r>
    </w:p>
    <w:p>
      <w:pPr>
        <w:spacing w:after="120"/>
      </w:pPr>
      <w:r>
        <w:rPr>
          <w:rFonts w:ascii="Cambria" w:hAnsi="Cambria"/>
          <w:b/>
          <w:i w:val="0"/>
        </w:rPr>
        <w:t>6.3 Invoicing and payment.</w:t>
      </w:r>
      <w:r>
        <w:rPr>
          <w:rFonts w:ascii="Cambria" w:hAnsi="Cambria"/>
          <w:b w:val="0"/>
          <w:i w:val="0"/>
        </w:rPr>
        <w:t xml:space="preserve"> The Consultant shall issue an invoice on each Fee becoming due. Each invoice is payable within </w:t>
      </w:r>
      <w:r>
        <w:rPr>
          <w:rFonts w:ascii="Cambria" w:hAnsi="Cambria"/>
          <w:b/>
          <w:i w:val="0"/>
        </w:rPr>
        <w:t>seven (7) Business Days</w:t>
      </w:r>
      <w:r>
        <w:rPr>
          <w:rFonts w:ascii="Cambria" w:hAnsi="Cambria"/>
          <w:b w:val="0"/>
          <w:i w:val="0"/>
        </w:rPr>
        <w:t xml:space="preserve"> of receipt, by bank transfer to the account nominated by the Consultant in writing. Payment obligations are not conditional on the Client's receipt of any third-party funds other than as expressly stated in the relevant trigger.</w:t>
      </w:r>
    </w:p>
    <w:p>
      <w:pPr>
        <w:spacing w:after="120"/>
      </w:pPr>
      <w:r>
        <w:rPr>
          <w:rFonts w:ascii="Cambria" w:hAnsi="Cambria"/>
          <w:b/>
          <w:i w:val="0"/>
        </w:rPr>
        <w:t>6.4 Late payment.</w:t>
      </w:r>
      <w:r>
        <w:rPr>
          <w:rFonts w:ascii="Cambria" w:hAnsi="Cambria"/>
          <w:b w:val="0"/>
          <w:i w:val="0"/>
        </w:rPr>
        <w:t xml:space="preserve"> Sums unpaid after the due date carry interest at </w:t>
      </w:r>
      <w:r>
        <w:rPr>
          <w:rFonts w:ascii="Cambria" w:hAnsi="Cambria"/>
          <w:b/>
          <w:i w:val="0"/>
        </w:rPr>
        <w:t>one and a half percent (1.5%) per month</w:t>
      </w:r>
      <w:r>
        <w:rPr>
          <w:rFonts w:ascii="Cambria" w:hAnsi="Cambria"/>
          <w:b w:val="0"/>
          <w:i w:val="0"/>
        </w:rPr>
        <w:t xml:space="preserve"> on the outstanding balance, accruing daily from the due date until payment. Where any invoice remains unpaid for more than fifteen (15) Business Days, the Consultant may suspend the Services on written notice, without prejudice to any other right.</w:t>
      </w:r>
    </w:p>
    <w:p>
      <w:pPr>
        <w:spacing w:after="120"/>
      </w:pPr>
      <w:r>
        <w:rPr>
          <w:rFonts w:ascii="Cambria" w:hAnsi="Cambria"/>
          <w:b/>
          <w:i w:val="0"/>
        </w:rPr>
        <w:t>6.5 No set-off.</w:t>
      </w:r>
      <w:r>
        <w:rPr>
          <w:rFonts w:ascii="Cambria" w:hAnsi="Cambria"/>
          <w:b w:val="0"/>
          <w:i w:val="0"/>
        </w:rPr>
        <w:t xml:space="preserve"> All Fees are payable in full without set-off, counterclaim, deduction or withholding, save as required by law.</w:t>
      </w:r>
    </w:p>
    <w:p>
      <w:pPr>
        <w:spacing w:after="120"/>
      </w:pPr>
      <w:r>
        <w:rPr>
          <w:rFonts w:ascii="Cambria" w:hAnsi="Cambria"/>
          <w:b/>
          <w:i w:val="0"/>
        </w:rPr>
        <w:t>6.6 Taxes.</w:t>
      </w:r>
      <w:r>
        <w:rPr>
          <w:rFonts w:ascii="Cambria" w:hAnsi="Cambria"/>
          <w:b w:val="0"/>
          <w:i w:val="0"/>
        </w:rPr>
        <w:t xml:space="preserve"> All Fees are stated exclusive of Value Added Tax and any other applicable indirect tax, which the Client shall pay in addition where legally chargeable. Where the Client is required by Egyptian law to deduct withholding tax from a payment, it may do so, shall account for it to the Egyptian Tax Authority, and shall deliver to the Consultant the official withholding certificate within thirty (30) days of deduction. Each Party is responsible for its own income taxes.</w:t>
      </w:r>
    </w:p>
    <w:p>
      <w:pPr>
        <w:spacing w:after="120"/>
      </w:pPr>
      <w:r>
        <w:rPr>
          <w:rFonts w:ascii="Cambria" w:hAnsi="Cambria"/>
          <w:b/>
          <w:i w:val="0"/>
        </w:rPr>
        <w:t>6.7 Expenses.</w:t>
      </w:r>
      <w:r>
        <w:rPr>
          <w:rFonts w:ascii="Cambria" w:hAnsi="Cambria"/>
          <w:b w:val="0"/>
          <w:i w:val="0"/>
        </w:rPr>
        <w:t xml:space="preserve"> Fees exclude third-party costs — data room software subscriptions, paid market data, design licences, printing, and travel outside Greater Cairo. Such costs are chargeable at cost, and only where approved by the Client in writing in advance.</w:t>
      </w:r>
    </w:p>
    <w:p>
      <w:pPr>
        <w:spacing w:after="120"/>
      </w:pPr>
      <w:r>
        <w:rPr>
          <w:rFonts w:ascii="Cambria" w:hAnsi="Cambria"/>
          <w:b/>
          <w:i w:val="0"/>
        </w:rPr>
        <w:t>6.8 Currency.</w:t>
      </w:r>
      <w:r>
        <w:rPr>
          <w:rFonts w:ascii="Cambria" w:hAnsi="Cambria"/>
          <w:b w:val="0"/>
          <w:i w:val="0"/>
        </w:rPr>
        <w:t xml:space="preserve"> All Fees are payable in Egyptian Pounds unless otherwise agreed in writing.</w:t>
      </w:r>
    </w:p>
    <w:p>
      <w:pPr>
        <w:spacing w:before="120" w:after="120"/>
        <w:pBdr>
          <w:bottom w:val="single" w:sz="6" w:space="1" w:color="C2CCD6"/>
        </w:pBdr>
      </w:pPr>
    </w:p>
    <w:p>
      <w:pPr>
        <w:keepNext/>
        <w:spacing w:before="320" w:after="100"/>
      </w:pPr>
      <w:r>
        <w:rPr>
          <w:rFonts w:ascii="Calibri" w:hAnsi="Calibri"/>
          <w:b/>
          <w:i w:val="0"/>
          <w:color w:val="0F2C4A"/>
          <w:sz w:val="27"/>
        </w:rPr>
        <w:t>7. Timeline and Delay</w:t>
      </w:r>
    </w:p>
    <w:p>
      <w:pPr>
        <w:spacing w:after="120"/>
      </w:pPr>
      <w:r>
        <w:rPr>
          <w:rFonts w:ascii="Cambria" w:hAnsi="Cambria"/>
          <w:b/>
          <w:i w:val="0"/>
        </w:rPr>
        <w:t>7.1 Target timeline.</w:t>
      </w:r>
      <w:r>
        <w:rPr>
          <w:rFonts w:ascii="Cambria" w:hAnsi="Cambria"/>
          <w:b w:val="0"/>
          <w:i w:val="0"/>
        </w:rPr>
        <w:t xml:space="preserve"> The Parties target four (4) weeks for Phase 1 from the Phase 1 Start Date, and three (3) months for Phase 2, as set out at Part I §9.</w:t>
      </w:r>
    </w:p>
    <w:p>
      <w:pPr>
        <w:spacing w:after="120"/>
      </w:pPr>
      <w:r>
        <w:rPr>
          <w:rFonts w:ascii="Cambria" w:hAnsi="Cambria"/>
          <w:b/>
          <w:i w:val="0"/>
        </w:rPr>
        <w:t>7.2 Client-caused delay.</w:t>
      </w:r>
      <w:r>
        <w:rPr>
          <w:rFonts w:ascii="Cambria" w:hAnsi="Cambria"/>
          <w:b w:val="0"/>
          <w:i w:val="0"/>
        </w:rPr>
        <w:t xml:space="preserve"> Where the Client fails to meet any obligation at Clause 4 or Clause 5.3, every affected date and the overall Term extends </w:t>
      </w:r>
      <w:r>
        <w:rPr>
          <w:rFonts w:ascii="Cambria" w:hAnsi="Cambria"/>
          <w:b/>
          <w:i w:val="0"/>
        </w:rPr>
        <w:t>day-for-day</w:t>
      </w:r>
      <w:r>
        <w:rPr>
          <w:rFonts w:ascii="Cambria" w:hAnsi="Cambria"/>
          <w:b w:val="0"/>
          <w:i w:val="0"/>
        </w:rPr>
        <w:t xml:space="preserve"> by the period of delay, automatically and without the need for notice. The Consultant shall record delays in the weekly report.</w:t>
      </w:r>
    </w:p>
    <w:p>
      <w:pPr>
        <w:spacing w:after="120"/>
      </w:pPr>
      <w:r>
        <w:rPr>
          <w:rFonts w:ascii="Cambria" w:hAnsi="Cambria"/>
          <w:b/>
          <w:i w:val="0"/>
        </w:rPr>
        <w:t>7.3 Timeline is a target.</w:t>
      </w:r>
      <w:r>
        <w:rPr>
          <w:rFonts w:ascii="Cambria" w:hAnsi="Cambria"/>
          <w:b w:val="0"/>
          <w:i w:val="0"/>
        </w:rPr>
        <w:t xml:space="preserve"> The Client acknowledges that fundraising duration is materially affected by market conditions, investor availability and investor decision cycles, none of which are within the Consultant's control. The timelines in this Agreement are good-faith targets and are not conditions of the Agreement, warranties or guarantees, and failure to meet them does not of itself constitute a breach by the Consultant.</w:t>
      </w:r>
    </w:p>
    <w:p>
      <w:pPr>
        <w:spacing w:after="120"/>
      </w:pPr>
      <w:r>
        <w:rPr>
          <w:rFonts w:ascii="Cambria" w:hAnsi="Cambria"/>
          <w:b/>
          <w:i w:val="0"/>
        </w:rPr>
        <w:t>7.4 Extension.</w:t>
      </w:r>
      <w:r>
        <w:rPr>
          <w:rFonts w:ascii="Cambria" w:hAnsi="Cambria"/>
          <w:b w:val="0"/>
          <w:i w:val="0"/>
        </w:rPr>
        <w:t xml:space="preserve"> If the Round has not closed by the end of the Term, the Parties may extend Phase 2 by written agreement on terms to be agreed. Absent extension, Clauses 6.1(c), 6.2(e), 9 and 10 continue to apply.</w:t>
      </w:r>
    </w:p>
    <w:p>
      <w:pPr>
        <w:spacing w:before="120" w:after="120"/>
        <w:pBdr>
          <w:bottom w:val="single" w:sz="6" w:space="1" w:color="C2CCD6"/>
        </w:pBdr>
      </w:pPr>
    </w:p>
    <w:p>
      <w:pPr>
        <w:keepNext/>
        <w:spacing w:before="320" w:after="100"/>
      </w:pPr>
      <w:r>
        <w:rPr>
          <w:rFonts w:ascii="Calibri" w:hAnsi="Calibri"/>
          <w:b/>
          <w:i w:val="0"/>
          <w:color w:val="0F2C4A"/>
          <w:sz w:val="27"/>
        </w:rPr>
        <w:t>8. Suspension and Termination</w:t>
      </w:r>
    </w:p>
    <w:p>
      <w:pPr>
        <w:spacing w:after="120"/>
      </w:pPr>
      <w:r>
        <w:rPr>
          <w:rFonts w:ascii="Cambria" w:hAnsi="Cambria"/>
          <w:b/>
          <w:i w:val="0"/>
        </w:rPr>
        <w:t>8.1 Termination for convenience.</w:t>
      </w:r>
      <w:r>
        <w:rPr>
          <w:rFonts w:ascii="Cambria" w:hAnsi="Cambria"/>
          <w:b w:val="0"/>
          <w:i w:val="0"/>
        </w:rPr>
        <w:t xml:space="preserve"> Either Party may terminate on </w:t>
      </w:r>
      <w:r>
        <w:rPr>
          <w:rFonts w:ascii="Cambria" w:hAnsi="Cambria"/>
          <w:b/>
          <w:i w:val="0"/>
        </w:rPr>
        <w:t>thirty (30) days'</w:t>
      </w:r>
      <w:r>
        <w:rPr>
          <w:rFonts w:ascii="Cambria" w:hAnsi="Cambria"/>
          <w:b w:val="0"/>
          <w:i w:val="0"/>
        </w:rPr>
        <w:t xml:space="preserve"> written notice.</w:t>
      </w:r>
    </w:p>
    <w:p>
      <w:pPr>
        <w:spacing w:after="120"/>
      </w:pPr>
      <w:r>
        <w:rPr>
          <w:rFonts w:ascii="Cambria" w:hAnsi="Cambria"/>
          <w:b/>
          <w:i w:val="0"/>
        </w:rPr>
        <w:t>8.2 Termination by the Client for cause.</w:t>
      </w:r>
      <w:r>
        <w:rPr>
          <w:rFonts w:ascii="Cambria" w:hAnsi="Cambria"/>
          <w:b w:val="0"/>
          <w:i w:val="0"/>
        </w:rPr>
        <w:t xml:space="preserve"> The Client may terminate immediately on written notice if the Consultant commits a material breach that is not remedied within twenty (20) Business Days of written notice specifying the breach.</w:t>
      </w:r>
    </w:p>
    <w:p>
      <w:pPr>
        <w:spacing w:after="120"/>
      </w:pPr>
      <w:r>
        <w:rPr>
          <w:rFonts w:ascii="Cambria" w:hAnsi="Cambria"/>
          <w:b/>
          <w:i w:val="0"/>
        </w:rPr>
        <w:t>8.3 Termination by the Consultant for cause.</w:t>
      </w:r>
      <w:r>
        <w:rPr>
          <w:rFonts w:ascii="Cambria" w:hAnsi="Cambria"/>
          <w:b w:val="0"/>
          <w:i w:val="0"/>
        </w:rPr>
        <w:t xml:space="preserve"> The Consultant may terminate immediately on written notice if the Client:</w:t>
      </w:r>
    </w:p>
    <w:p>
      <w:pPr>
        <w:pStyle w:val="ListBullet"/>
        <w:spacing w:after="60"/>
        <w:ind w:left="397"/>
      </w:pPr>
      <w:r>
        <w:rPr>
          <w:rFonts w:ascii="Cambria" w:hAnsi="Cambria"/>
          <w:b/>
          <w:i w:val="0"/>
        </w:rPr>
        <w:t>(a)</w:t>
      </w:r>
      <w:r>
        <w:rPr>
          <w:rFonts w:ascii="Cambria" w:hAnsi="Cambria"/>
          <w:b w:val="0"/>
          <w:i w:val="0"/>
        </w:rPr>
        <w:t xml:space="preserve"> fails to pay any undisputed invoice within fifteen (15) Business Days of the due date;</w:t>
      </w:r>
    </w:p>
    <w:p>
      <w:pPr>
        <w:pStyle w:val="ListBullet"/>
        <w:spacing w:after="60"/>
        <w:ind w:left="397"/>
      </w:pPr>
      <w:r>
        <w:rPr>
          <w:rFonts w:ascii="Cambria" w:hAnsi="Cambria"/>
          <w:b/>
          <w:i w:val="0"/>
        </w:rPr>
        <w:t>(b)</w:t>
      </w:r>
      <w:r>
        <w:rPr>
          <w:rFonts w:ascii="Cambria" w:hAnsi="Cambria"/>
          <w:b w:val="0"/>
          <w:i w:val="0"/>
        </w:rPr>
        <w:t xml:space="preserve"> fails to cure Non-Engagement under Clause 5.4;</w:t>
      </w:r>
    </w:p>
    <w:p>
      <w:pPr>
        <w:pStyle w:val="ListBullet"/>
        <w:spacing w:after="60"/>
        <w:ind w:left="397"/>
      </w:pPr>
      <w:r>
        <w:rPr>
          <w:rFonts w:ascii="Cambria" w:hAnsi="Cambria"/>
          <w:b/>
          <w:i w:val="0"/>
        </w:rPr>
        <w:t>(c)</w:t>
      </w:r>
      <w:r>
        <w:rPr>
          <w:rFonts w:ascii="Cambria" w:hAnsi="Cambria"/>
          <w:b w:val="0"/>
          <w:i w:val="0"/>
        </w:rPr>
        <w:t xml:space="preserve"> breaches Clause 5.5 (non-circumvention);</w:t>
      </w:r>
    </w:p>
    <w:p>
      <w:pPr>
        <w:pStyle w:val="ListBullet"/>
        <w:spacing w:after="60"/>
        <w:ind w:left="397"/>
      </w:pPr>
      <w:r>
        <w:rPr>
          <w:rFonts w:ascii="Cambria" w:hAnsi="Cambria"/>
          <w:b/>
          <w:i w:val="0"/>
        </w:rPr>
        <w:t>(d)</w:t>
      </w:r>
      <w:r>
        <w:rPr>
          <w:rFonts w:ascii="Cambria" w:hAnsi="Cambria"/>
          <w:b w:val="0"/>
          <w:i w:val="0"/>
        </w:rPr>
        <w:t xml:space="preserve"> provides information the Consultant reasonably determines to be materially false or misleading; or</w:t>
      </w:r>
    </w:p>
    <w:p>
      <w:pPr>
        <w:pStyle w:val="ListBullet"/>
        <w:spacing w:after="60"/>
        <w:ind w:left="397"/>
      </w:pPr>
      <w:r>
        <w:rPr>
          <w:rFonts w:ascii="Cambria" w:hAnsi="Cambria"/>
          <w:b/>
          <w:i w:val="0"/>
        </w:rPr>
        <w:t>(e)</w:t>
      </w:r>
      <w:r>
        <w:rPr>
          <w:rFonts w:ascii="Cambria" w:hAnsi="Cambria"/>
          <w:b w:val="0"/>
          <w:i w:val="0"/>
        </w:rPr>
        <w:t xml:space="preserve"> requires the Consultant to act in a manner that is unlawful, or contrary to professional or ethical standards.</w:t>
      </w:r>
    </w:p>
    <w:p>
      <w:pPr>
        <w:spacing w:after="120"/>
      </w:pPr>
      <w:r>
        <w:rPr>
          <w:rFonts w:ascii="Cambria" w:hAnsi="Cambria"/>
          <w:b/>
          <w:i w:val="0"/>
        </w:rPr>
        <w:t>8.4 Insolvency.</w:t>
      </w:r>
      <w:r>
        <w:rPr>
          <w:rFonts w:ascii="Cambria" w:hAnsi="Cambria"/>
          <w:b w:val="0"/>
          <w:i w:val="0"/>
        </w:rPr>
        <w:t xml:space="preserve"> Either Party may terminate immediately if the other becomes insolvent, enters liquidation or bankruptcy, has a receiver appointed, or ceases to carry on business.</w:t>
      </w:r>
    </w:p>
    <w:p>
      <w:pPr>
        <w:spacing w:after="120"/>
      </w:pPr>
      <w:r>
        <w:rPr>
          <w:rFonts w:ascii="Cambria" w:hAnsi="Cambria"/>
          <w:b/>
          <w:i w:val="0"/>
        </w:rPr>
        <w:t>8.5 Consequences of termination.</w:t>
      </w:r>
      <w:r>
        <w:rPr>
          <w:rFonts w:ascii="Cambria" w:hAnsi="Cambria"/>
          <w:b w:val="0"/>
          <w:i w:val="0"/>
        </w:rPr>
        <w:t xml:space="preserve"> On termination:</w:t>
      </w:r>
    </w:p>
    <w:p>
      <w:pPr>
        <w:pStyle w:val="ListBullet"/>
        <w:spacing w:after="60"/>
        <w:ind w:left="397"/>
      </w:pPr>
      <w:r>
        <w:rPr>
          <w:rFonts w:ascii="Cambria" w:hAnsi="Cambria"/>
          <w:b/>
          <w:i w:val="0"/>
        </w:rPr>
        <w:t>(a)</w:t>
      </w:r>
      <w:r>
        <w:rPr>
          <w:rFonts w:ascii="Cambria" w:hAnsi="Cambria"/>
          <w:b w:val="0"/>
          <w:i w:val="0"/>
        </w:rPr>
        <w:t xml:space="preserve"> all Fees accrued or due to the date of termination become immediately payable, including any milestone already triggered;</w:t>
      </w:r>
    </w:p>
    <w:p>
      <w:pPr>
        <w:pStyle w:val="ListBullet"/>
        <w:spacing w:after="60"/>
        <w:ind w:left="397"/>
      </w:pPr>
      <w:r>
        <w:rPr>
          <w:rFonts w:ascii="Cambria" w:hAnsi="Cambria"/>
          <w:b/>
          <w:i w:val="0"/>
        </w:rPr>
        <w:t>(b)</w:t>
      </w:r>
      <w:r>
        <w:rPr>
          <w:rFonts w:ascii="Cambria" w:hAnsi="Cambria"/>
          <w:b w:val="0"/>
          <w:i w:val="0"/>
        </w:rPr>
        <w:t xml:space="preserve"> the M1 deposit is non-refundable in all circumstances;</w:t>
      </w:r>
    </w:p>
    <w:p>
      <w:pPr>
        <w:pStyle w:val="ListBullet"/>
        <w:spacing w:after="60"/>
        <w:ind w:left="397"/>
      </w:pPr>
      <w:r>
        <w:rPr>
          <w:rFonts w:ascii="Cambria" w:hAnsi="Cambria"/>
          <w:b/>
          <w:i w:val="0"/>
        </w:rPr>
        <w:t>(c)</w:t>
      </w:r>
      <w:r>
        <w:rPr>
          <w:rFonts w:ascii="Cambria" w:hAnsi="Cambria"/>
          <w:b w:val="0"/>
          <w:i w:val="0"/>
        </w:rPr>
        <w:t xml:space="preserve"> where termination occurs after Phase 1 is complete, M2 is payable in full;</w:t>
      </w:r>
    </w:p>
    <w:p>
      <w:pPr>
        <w:pStyle w:val="ListBullet"/>
        <w:spacing w:after="60"/>
        <w:ind w:left="397"/>
      </w:pPr>
      <w:r>
        <w:rPr>
          <w:rFonts w:ascii="Cambria" w:hAnsi="Cambria"/>
          <w:b/>
          <w:i w:val="0"/>
        </w:rPr>
        <w:t>(d)</w:t>
      </w:r>
      <w:r>
        <w:rPr>
          <w:rFonts w:ascii="Cambria" w:hAnsi="Cambria"/>
          <w:b w:val="0"/>
          <w:i w:val="0"/>
        </w:rPr>
        <w:t xml:space="preserve"> where the Client terminates under Clause 8.1, or the Consultant terminates under Clause 8.3, Clauses 5.5, 5.6, 6.1(c), 6.2 and 9 continue to apply for the Tail Period;</w:t>
      </w:r>
    </w:p>
    <w:p>
      <w:pPr>
        <w:pStyle w:val="ListBullet"/>
        <w:spacing w:after="60"/>
        <w:ind w:left="397"/>
      </w:pPr>
      <w:r>
        <w:rPr>
          <w:rFonts w:ascii="Cambria" w:hAnsi="Cambria"/>
          <w:b/>
          <w:i w:val="0"/>
        </w:rPr>
        <w:t>(e)</w:t>
      </w:r>
      <w:r>
        <w:rPr>
          <w:rFonts w:ascii="Cambria" w:hAnsi="Cambria"/>
          <w:b w:val="0"/>
          <w:i w:val="0"/>
        </w:rPr>
        <w:t xml:space="preserve"> where the Client terminates under Clause 8.2 for the Consultant's material breach, no further Fixed Fee milestone accrues after the date of termination, and the Success Fee remains payable only in respect of Tickets from Introduced Investors already recorded in the Investor Log at the date of termination;</w:t>
      </w:r>
    </w:p>
    <w:p>
      <w:pPr>
        <w:pStyle w:val="ListBullet"/>
        <w:spacing w:after="60"/>
        <w:ind w:left="397"/>
      </w:pPr>
      <w:r>
        <w:rPr>
          <w:rFonts w:ascii="Cambria" w:hAnsi="Cambria"/>
          <w:b/>
          <w:i w:val="0"/>
        </w:rPr>
        <w:t>(f)</w:t>
      </w:r>
      <w:r>
        <w:rPr>
          <w:rFonts w:ascii="Cambria" w:hAnsi="Cambria"/>
          <w:b w:val="0"/>
          <w:i w:val="0"/>
        </w:rPr>
        <w:t xml:space="preserve"> the Consultant shall deliver to the Client all completed Deliverables for which payment has been received, together with the data room and the Investor Log; and</w:t>
      </w:r>
    </w:p>
    <w:p>
      <w:pPr>
        <w:pStyle w:val="ListBullet"/>
        <w:spacing w:after="60"/>
        <w:ind w:left="397"/>
      </w:pPr>
      <w:r>
        <w:rPr>
          <w:rFonts w:ascii="Cambria" w:hAnsi="Cambria"/>
          <w:b/>
          <w:i w:val="0"/>
        </w:rPr>
        <w:t>(g)</w:t>
      </w:r>
      <w:r>
        <w:rPr>
          <w:rFonts w:ascii="Cambria" w:hAnsi="Cambria"/>
          <w:b w:val="0"/>
          <w:i w:val="0"/>
        </w:rPr>
        <w:t xml:space="preserve"> each Party shall return or destroy the other's Confidential Information on request, subject to Clause 10.5.</w:t>
      </w:r>
    </w:p>
    <w:p>
      <w:pPr>
        <w:spacing w:after="120"/>
      </w:pPr>
      <w:r>
        <w:rPr>
          <w:rFonts w:ascii="Cambria" w:hAnsi="Cambria"/>
          <w:b/>
          <w:i w:val="0"/>
        </w:rPr>
        <w:t>8.6 Suspension.</w:t>
      </w:r>
      <w:r>
        <w:rPr>
          <w:rFonts w:ascii="Cambria" w:hAnsi="Cambria"/>
          <w:b w:val="0"/>
          <w:i w:val="0"/>
        </w:rPr>
        <w:t xml:space="preserve"> The Consultant may suspend the Services under Clause 5.4(a) or Clause 6.4. Suspension does not relieve the Client of any accrued payment obligation, and the timeline extends by the period of suspension.</w:t>
      </w:r>
    </w:p>
    <w:p>
      <w:pPr>
        <w:spacing w:before="120" w:after="120"/>
        <w:pBdr>
          <w:bottom w:val="single" w:sz="6" w:space="1" w:color="C2CCD6"/>
        </w:pBdr>
      </w:pPr>
    </w:p>
    <w:p>
      <w:pPr>
        <w:keepNext/>
        <w:spacing w:before="320" w:after="100"/>
      </w:pPr>
      <w:r>
        <w:rPr>
          <w:rFonts w:ascii="Calibri" w:hAnsi="Calibri"/>
          <w:b/>
          <w:i w:val="0"/>
          <w:color w:val="0F2C4A"/>
          <w:sz w:val="27"/>
        </w:rPr>
        <w:t>9. Tail Period</w:t>
      </w:r>
    </w:p>
    <w:p>
      <w:pPr>
        <w:spacing w:after="120"/>
      </w:pPr>
      <w:r>
        <w:rPr>
          <w:rFonts w:ascii="Cambria" w:hAnsi="Cambria"/>
          <w:b/>
          <w:i w:val="0"/>
        </w:rPr>
        <w:t>9.1</w:t>
      </w:r>
      <w:r>
        <w:rPr>
          <w:rFonts w:ascii="Cambria" w:hAnsi="Cambria"/>
          <w:b w:val="0"/>
          <w:i w:val="0"/>
        </w:rPr>
        <w:t xml:space="preserve"> The Success Fee under Clause 6.2 and the Closing Milestone under Clause 6.1(c) remain payable in respect of any Ticket funded during the </w:t>
      </w:r>
      <w:r>
        <w:rPr>
          <w:rFonts w:ascii="Cambria" w:hAnsi="Cambria"/>
          <w:b/>
          <w:i w:val="0"/>
        </w:rPr>
        <w:t>Tail Period of twelve (12) months</w:t>
      </w:r>
      <w:r>
        <w:rPr>
          <w:rFonts w:ascii="Cambria" w:hAnsi="Cambria"/>
          <w:b w:val="0"/>
          <w:i w:val="0"/>
        </w:rPr>
        <w:t xml:space="preserve"> following expiry or termination of this Agreement, where the Investor is an Introduced Investor recorded in the Investor Log at the date of expiry or termination.</w:t>
      </w:r>
    </w:p>
    <w:p>
      <w:pPr>
        <w:spacing w:after="120"/>
      </w:pPr>
      <w:r>
        <w:rPr>
          <w:rFonts w:ascii="Cambria" w:hAnsi="Cambria"/>
          <w:b/>
          <w:i w:val="0"/>
        </w:rPr>
        <w:t>9.2</w:t>
      </w:r>
      <w:r>
        <w:rPr>
          <w:rFonts w:ascii="Cambria" w:hAnsi="Cambria"/>
          <w:b w:val="0"/>
          <w:i w:val="0"/>
        </w:rPr>
        <w:t xml:space="preserve"> The Client shall notify the Consultant in writing within </w:t>
      </w:r>
      <w:r>
        <w:rPr>
          <w:rFonts w:ascii="Cambria" w:hAnsi="Cambria"/>
          <w:b/>
          <w:i w:val="0"/>
        </w:rPr>
        <w:t>ten (10) Business Days</w:t>
      </w:r>
      <w:r>
        <w:rPr>
          <w:rFonts w:ascii="Cambria" w:hAnsi="Cambria"/>
          <w:b w:val="0"/>
          <w:i w:val="0"/>
        </w:rPr>
        <w:t xml:space="preserve"> of any Ticket funded during the Tail Period, stating the Investor, the amount and the funding date.</w:t>
      </w:r>
    </w:p>
    <w:p>
      <w:pPr>
        <w:spacing w:after="120"/>
      </w:pPr>
      <w:r>
        <w:rPr>
          <w:rFonts w:ascii="Cambria" w:hAnsi="Cambria"/>
          <w:b/>
          <w:i w:val="0"/>
        </w:rPr>
        <w:t>9.3</w:t>
      </w:r>
      <w:r>
        <w:rPr>
          <w:rFonts w:ascii="Cambria" w:hAnsi="Cambria"/>
          <w:b w:val="0"/>
          <w:i w:val="0"/>
        </w:rPr>
        <w:t xml:space="preserve"> The Consultant may, not more than twice during the Tail Period, request written confirmation from the Client of the status of the Round and of any Introduced Investor, and the Client shall respond within ten (10) Business Days.</w:t>
      </w:r>
    </w:p>
    <w:p>
      <w:pPr>
        <w:spacing w:before="120" w:after="120"/>
        <w:pBdr>
          <w:bottom w:val="single" w:sz="6" w:space="1" w:color="C2CCD6"/>
        </w:pBdr>
      </w:pPr>
    </w:p>
    <w:p>
      <w:pPr>
        <w:keepNext/>
        <w:spacing w:before="320" w:after="100"/>
      </w:pPr>
      <w:r>
        <w:rPr>
          <w:rFonts w:ascii="Calibri" w:hAnsi="Calibri"/>
          <w:b/>
          <w:i w:val="0"/>
          <w:color w:val="0F2C4A"/>
          <w:sz w:val="27"/>
        </w:rPr>
        <w:t>10. Confidentiality</w:t>
      </w:r>
    </w:p>
    <w:p>
      <w:pPr>
        <w:spacing w:after="120"/>
      </w:pPr>
      <w:r>
        <w:rPr>
          <w:rFonts w:ascii="Cambria" w:hAnsi="Cambria"/>
          <w:b/>
          <w:i w:val="0"/>
        </w:rPr>
        <w:t>10.1 Definition.</w:t>
      </w:r>
      <w:r>
        <w:rPr>
          <w:rFonts w:ascii="Cambria" w:hAnsi="Cambria"/>
          <w:b w:val="0"/>
          <w:i w:val="0"/>
        </w:rPr>
        <w:t xml:space="preserve"> "Confidential Information" means all non-public information disclosed by one Party to the other in connection with this Agreement, including business plans, financial data and models, cap tables, customer and user data, product and technical information, investor identities and correspondence, valuations, and the terms of this Agreement.</w:t>
      </w:r>
    </w:p>
    <w:p>
      <w:pPr>
        <w:spacing w:after="120"/>
      </w:pPr>
      <w:r>
        <w:rPr>
          <w:rFonts w:ascii="Cambria" w:hAnsi="Cambria"/>
          <w:b/>
          <w:i w:val="0"/>
        </w:rPr>
        <w:t>10.2 Obligations.</w:t>
      </w:r>
      <w:r>
        <w:rPr>
          <w:rFonts w:ascii="Cambria" w:hAnsi="Cambria"/>
          <w:b w:val="0"/>
          <w:i w:val="0"/>
        </w:rPr>
        <w:t xml:space="preserve"> Each Party shall keep the other's Confidential Information confidential, use it only for the purposes of this Agreement, and not disclose it to any third party without prior written consent, save to professional advisors bound by equivalent obligations.</w:t>
      </w:r>
    </w:p>
    <w:p>
      <w:pPr>
        <w:spacing w:after="120"/>
      </w:pPr>
      <w:r>
        <w:rPr>
          <w:rFonts w:ascii="Cambria" w:hAnsi="Cambria"/>
          <w:b/>
          <w:i w:val="0"/>
        </w:rPr>
        <w:t>10.3 Disclosure to Investors.</w:t>
      </w:r>
      <w:r>
        <w:rPr>
          <w:rFonts w:ascii="Cambria" w:hAnsi="Cambria"/>
          <w:b w:val="0"/>
          <w:i w:val="0"/>
        </w:rPr>
        <w:t xml:space="preserve"> The Client authorises the Consultant to disclose Client Confidential Information to prospective Investors to the extent necessary to conduct the Round. The Consultant shall use reasonable endeavours to procure that data room access is granted under access control and, where the Client requires it, subject to a non-disclosure undertaking.</w:t>
      </w:r>
    </w:p>
    <w:p>
      <w:pPr>
        <w:spacing w:after="120"/>
      </w:pPr>
      <w:r>
        <w:rPr>
          <w:rFonts w:ascii="Cambria" w:hAnsi="Cambria"/>
          <w:b/>
          <w:i w:val="0"/>
        </w:rPr>
        <w:t>10.4 Exclusions.</w:t>
      </w:r>
      <w:r>
        <w:rPr>
          <w:rFonts w:ascii="Cambria" w:hAnsi="Cambria"/>
          <w:b w:val="0"/>
          <w:i w:val="0"/>
        </w:rPr>
        <w:t xml:space="preserve"> Confidential Information does not include information that is or becomes public other than through breach, was lawfully known before disclosure, is independently developed, or is required to be disclosed by law, court or regulator — in which case the disclosing Party shall, where lawful, give prior notice.</w:t>
      </w:r>
    </w:p>
    <w:p>
      <w:pPr>
        <w:spacing w:after="120"/>
      </w:pPr>
      <w:r>
        <w:rPr>
          <w:rFonts w:ascii="Cambria" w:hAnsi="Cambria"/>
          <w:b/>
          <w:i w:val="0"/>
        </w:rPr>
        <w:t>10.5 Duration and retention.</w:t>
      </w:r>
      <w:r>
        <w:rPr>
          <w:rFonts w:ascii="Cambria" w:hAnsi="Cambria"/>
          <w:b w:val="0"/>
          <w:i w:val="0"/>
        </w:rPr>
        <w:t xml:space="preserve"> This Clause survives for </w:t>
      </w:r>
      <w:r>
        <w:rPr>
          <w:rFonts w:ascii="Cambria" w:hAnsi="Cambria"/>
          <w:b/>
          <w:i w:val="0"/>
        </w:rPr>
        <w:t>three (3) years</w:t>
      </w:r>
      <w:r>
        <w:rPr>
          <w:rFonts w:ascii="Cambria" w:hAnsi="Cambria"/>
          <w:b w:val="0"/>
          <w:i w:val="0"/>
        </w:rPr>
        <w:t xml:space="preserve"> after expiry or termination. The Consultant may retain one archival copy of engagement records for professional record-keeping and regulatory purposes, subject to continuing confidentiality.</w:t>
      </w:r>
    </w:p>
    <w:p>
      <w:pPr>
        <w:spacing w:after="120"/>
      </w:pPr>
      <w:r>
        <w:rPr>
          <w:rFonts w:ascii="Cambria" w:hAnsi="Cambria"/>
          <w:b/>
          <w:i w:val="0"/>
        </w:rPr>
        <w:t>10.6 Publicity.</w:t>
      </w:r>
      <w:r>
        <w:rPr>
          <w:rFonts w:ascii="Cambria" w:hAnsi="Cambria"/>
          <w:b w:val="0"/>
          <w:i w:val="0"/>
        </w:rPr>
        <w:t xml:space="preserve"> Neither Party shall make any public announcement regarding the Round without the other's prior written consent. </w:t>
      </w:r>
      <w:r>
        <w:rPr>
          <w:rFonts w:ascii="Cambria" w:hAnsi="Cambria"/>
          <w:b/>
          <w:i w:val="0"/>
        </w:rPr>
        <w:t>The Client grants the Consultant the right to identify the Client by name and logo as a client, and to describe the engagement in general terms, in the Consultant's portfolio, website and marketing materials, after First Close</w:t>
      </w:r>
      <w:r>
        <w:rPr>
          <w:rFonts w:ascii="Cambria" w:hAnsi="Cambria"/>
          <w:b w:val="0"/>
          <w:i w:val="0"/>
        </w:rPr>
        <w:t xml:space="preserve"> — provided no confidential financial detail is disclosed. The Client may withdraw this permission by written notice.</w:t>
      </w:r>
    </w:p>
    <w:p>
      <w:pPr>
        <w:spacing w:before="120" w:after="120"/>
        <w:pBdr>
          <w:bottom w:val="single" w:sz="6" w:space="1" w:color="C2CCD6"/>
        </w:pBdr>
      </w:pPr>
    </w:p>
    <w:p>
      <w:pPr>
        <w:keepNext/>
        <w:spacing w:before="320" w:after="100"/>
      </w:pPr>
      <w:r>
        <w:rPr>
          <w:rFonts w:ascii="Calibri" w:hAnsi="Calibri"/>
          <w:b/>
          <w:i w:val="0"/>
          <w:color w:val="0F2C4A"/>
          <w:sz w:val="27"/>
        </w:rPr>
        <w:t>11. Intellectual Property</w:t>
      </w:r>
    </w:p>
    <w:p>
      <w:pPr>
        <w:spacing w:after="120"/>
      </w:pPr>
      <w:r>
        <w:rPr>
          <w:rFonts w:ascii="Cambria" w:hAnsi="Cambria"/>
          <w:b/>
          <w:i w:val="0"/>
        </w:rPr>
        <w:t>11.1 Client materials.</w:t>
      </w:r>
      <w:r>
        <w:rPr>
          <w:rFonts w:ascii="Cambria" w:hAnsi="Cambria"/>
          <w:b w:val="0"/>
          <w:i w:val="0"/>
        </w:rPr>
        <w:t xml:space="preserve"> All intellectual property in materials supplied by the Client — including its brand, logos, product, screenshots, roadmap and business data — remains the Client's property. The Client grants the Consultant a non-exclusive licence to use those materials for the purposes of this Agreement.</w:t>
      </w:r>
    </w:p>
    <w:p>
      <w:pPr>
        <w:spacing w:after="120"/>
      </w:pPr>
      <w:r>
        <w:rPr>
          <w:rFonts w:ascii="Cambria" w:hAnsi="Cambria"/>
          <w:b/>
          <w:i w:val="0"/>
        </w:rPr>
        <w:t>11.2 Deliverables.</w:t>
      </w:r>
      <w:r>
        <w:rPr>
          <w:rFonts w:ascii="Cambria" w:hAnsi="Cambria"/>
          <w:b w:val="0"/>
          <w:i w:val="0"/>
        </w:rPr>
        <w:t xml:space="preserve"> On payment in full of the Fees due in respect of a Deliverable, all right, title and interest in that Deliverable transfers to the Client, and the Client may use, modify and distribute it without restriction.</w:t>
      </w:r>
    </w:p>
    <w:p>
      <w:pPr>
        <w:spacing w:after="120"/>
      </w:pPr>
      <w:r>
        <w:rPr>
          <w:rFonts w:ascii="Cambria" w:hAnsi="Cambria"/>
          <w:b/>
          <w:i w:val="0"/>
        </w:rPr>
        <w:t>11.3 Consultant know-how.</w:t>
      </w:r>
      <w:r>
        <w:rPr>
          <w:rFonts w:ascii="Cambria" w:hAnsi="Cambria"/>
          <w:b w:val="0"/>
          <w:i w:val="0"/>
        </w:rPr>
        <w:t xml:space="preserve"> The Consultant retains all rights in its pre-existing intellectual property, methodologies, model architectures, templates, frameworks and know-how, including as embodied in the Deliverables. Nothing in this Agreement transfers those rights. The Consultant grants the Client a perpetual, non-exclusive, royalty-free licence to use them to the extent embedded in a Deliverable, for the Client's own business purposes.</w:t>
      </w:r>
    </w:p>
    <w:p>
      <w:pPr>
        <w:spacing w:after="120"/>
      </w:pPr>
      <w:r>
        <w:rPr>
          <w:rFonts w:ascii="Cambria" w:hAnsi="Cambria"/>
          <w:b/>
          <w:i w:val="0"/>
        </w:rPr>
        <w:t>11.4 Retention of title pending payment.</w:t>
      </w:r>
      <w:r>
        <w:rPr>
          <w:rFonts w:ascii="Cambria" w:hAnsi="Cambria"/>
          <w:b w:val="0"/>
          <w:i w:val="0"/>
        </w:rPr>
        <w:t xml:space="preserve"> Until the Fees due in respect of a Deliverable are paid in full, the Consultant retains title in that Deliverable, and the Client shall not use it in any investor-facing communication.</w:t>
      </w:r>
    </w:p>
    <w:p>
      <w:pPr>
        <w:spacing w:before="120" w:after="120"/>
        <w:pBdr>
          <w:bottom w:val="single" w:sz="6" w:space="1" w:color="C2CCD6"/>
        </w:pBdr>
      </w:pPr>
    </w:p>
    <w:p>
      <w:pPr>
        <w:keepNext/>
        <w:spacing w:before="320" w:after="100"/>
      </w:pPr>
      <w:r>
        <w:rPr>
          <w:rFonts w:ascii="Calibri" w:hAnsi="Calibri"/>
          <w:b/>
          <w:i w:val="0"/>
          <w:color w:val="0F2C4A"/>
          <w:sz w:val="27"/>
        </w:rPr>
        <w:t>12. No Guarantee of Funding; Nature of the Services</w:t>
      </w:r>
    </w:p>
    <w:p>
      <w:pPr>
        <w:spacing w:after="120"/>
      </w:pPr>
      <w:r>
        <w:rPr>
          <w:rFonts w:ascii="Cambria" w:hAnsi="Cambria"/>
          <w:b/>
          <w:i w:val="0"/>
        </w:rPr>
        <w:t>12.1 No guarantee.</w:t>
      </w:r>
      <w:r>
        <w:rPr>
          <w:rFonts w:ascii="Cambria" w:hAnsi="Cambria"/>
          <w:b w:val="0"/>
          <w:i w:val="0"/>
        </w:rPr>
        <w:t xml:space="preserve"> The Consultant does not guarantee, warrant or represent that the Round will be funded, that any Investor will invest, that any particular valuation will be achieved, or that any specific amount will be raised. Investment outcomes depend on market conditions, investor discretion and the Client's own performance and conduct.</w:t>
      </w:r>
    </w:p>
    <w:p>
      <w:pPr>
        <w:spacing w:after="120"/>
      </w:pPr>
      <w:r>
        <w:rPr>
          <w:rFonts w:ascii="Cambria" w:hAnsi="Cambria"/>
          <w:b/>
          <w:i w:val="0"/>
        </w:rPr>
        <w:t>12.2 Not regulated investment advice.</w:t>
      </w:r>
      <w:r>
        <w:rPr>
          <w:rFonts w:ascii="Cambria" w:hAnsi="Cambria"/>
          <w:b w:val="0"/>
          <w:i w:val="0"/>
        </w:rPr>
        <w:t xml:space="preserve"> The Services are commercial advisory, preparation and process-management services. Nothing provided under this Agreement constitutes investment advice, a recommendation to invest, a securities offering, an inducement, or a solicitation to any person to buy or sell securities.</w:t>
      </w:r>
    </w:p>
    <w:p>
      <w:pPr>
        <w:spacing w:after="120"/>
      </w:pPr>
      <w:r>
        <w:rPr>
          <w:rFonts w:ascii="Cambria" w:hAnsi="Cambria"/>
          <w:b/>
          <w:i w:val="0"/>
        </w:rPr>
        <w:t>12.3 Not a licensed intermediary.</w:t>
      </w:r>
      <w:r>
        <w:rPr>
          <w:rFonts w:ascii="Cambria" w:hAnsi="Cambria"/>
          <w:b w:val="0"/>
          <w:i w:val="0"/>
        </w:rPr>
        <w:t xml:space="preserve"> The Consultant is not a licensed securities broker, dealer, placement agent, or regulated financial intermediary, and does not hold itself out as such. The Fees payable under Clause 6, including the Success Fee, are consideration for the advisory, preparation, coordination and process-management Services described in this Agreement, and are not consideration for the offer, sale or placement of securities. </w:t>
      </w:r>
      <w:r>
        <w:rPr>
          <w:rFonts w:ascii="Cambria" w:hAnsi="Cambria"/>
          <w:b/>
          <w:i w:val="0"/>
        </w:rPr>
        <w:t>Each Party has satisfied itself, and shall be responsible for satisfying itself, as to the treatment of this Agreement under applicable Egyptian financial services regulation, including the rules of the Financial Regulatory Authority, and each Party is advised to take its own independent legal advice on that question.</w:t>
      </w:r>
    </w:p>
    <w:p>
      <w:pPr>
        <w:spacing w:after="120"/>
      </w:pPr>
      <w:r>
        <w:rPr>
          <w:rFonts w:ascii="Cambria" w:hAnsi="Cambria"/>
          <w:b/>
          <w:i w:val="0"/>
        </w:rPr>
        <w:t>12.4 No legal, tax, audit or accounting advice.</w:t>
      </w:r>
      <w:r>
        <w:rPr>
          <w:rFonts w:ascii="Cambria" w:hAnsi="Cambria"/>
          <w:b w:val="0"/>
          <w:i w:val="0"/>
        </w:rPr>
        <w:t xml:space="preserve"> The Consultant does not provide legal, tax, audit, accounting or regulatory advice. The Client shall obtain such advice from appropriately licensed professionals. Any commercial commentary the Consultant provides on a term sheet or transaction document is commercial only and is not a substitute for legal advice.</w:t>
      </w:r>
    </w:p>
    <w:p>
      <w:pPr>
        <w:spacing w:after="120"/>
      </w:pPr>
      <w:r>
        <w:rPr>
          <w:rFonts w:ascii="Cambria" w:hAnsi="Cambria"/>
          <w:b/>
          <w:i w:val="0"/>
        </w:rPr>
        <w:t>12.5 Client decisions.</w:t>
      </w:r>
      <w:r>
        <w:rPr>
          <w:rFonts w:ascii="Cambria" w:hAnsi="Cambria"/>
          <w:b w:val="0"/>
          <w:i w:val="0"/>
        </w:rPr>
        <w:t xml:space="preserve"> All decisions as to whether to raise, from whom to raise, on what terms, and whether to accept any offer, rest exclusively with the Client.</w:t>
      </w:r>
    </w:p>
    <w:p>
      <w:pPr>
        <w:spacing w:before="120" w:after="120"/>
        <w:pBdr>
          <w:bottom w:val="single" w:sz="6" w:space="1" w:color="C2CCD6"/>
        </w:pBdr>
      </w:pPr>
    </w:p>
    <w:p>
      <w:pPr>
        <w:keepNext/>
        <w:spacing w:before="320" w:after="100"/>
      </w:pPr>
      <w:r>
        <w:rPr>
          <w:rFonts w:ascii="Calibri" w:hAnsi="Calibri"/>
          <w:b/>
          <w:i w:val="0"/>
          <w:color w:val="0F2C4A"/>
          <w:sz w:val="27"/>
        </w:rPr>
        <w:t>13. Independent Contractor</w:t>
      </w:r>
    </w:p>
    <w:p>
      <w:pPr>
        <w:spacing w:after="120"/>
      </w:pPr>
      <w:r>
        <w:rPr>
          <w:rFonts w:ascii="Cambria" w:hAnsi="Cambria"/>
          <w:b/>
          <w:i w:val="0"/>
        </w:rPr>
        <w:t>13.1</w:t>
      </w:r>
      <w:r>
        <w:rPr>
          <w:rFonts w:ascii="Cambria" w:hAnsi="Cambria"/>
          <w:b w:val="0"/>
          <w:i w:val="0"/>
        </w:rPr>
        <w:t xml:space="preserve"> The Consultant is an independent contractor. Nothing in this Agreement creates an employment relationship, partnership, joint venture, agency or fiduciary relationship between the Parties.</w:t>
      </w:r>
    </w:p>
    <w:p>
      <w:pPr>
        <w:spacing w:after="120"/>
      </w:pPr>
      <w:r>
        <w:rPr>
          <w:rFonts w:ascii="Cambria" w:hAnsi="Cambria"/>
          <w:b/>
          <w:i w:val="0"/>
        </w:rPr>
        <w:t>13.2</w:t>
      </w:r>
      <w:r>
        <w:rPr>
          <w:rFonts w:ascii="Cambria" w:hAnsi="Cambria"/>
          <w:b w:val="0"/>
          <w:i w:val="0"/>
        </w:rPr>
        <w:t xml:space="preserve"> The Consultant is not authorised to enter into any contract, incur any liability, make any representation or accept any offer on the Client's behalf, unless expressly authorised in writing for a specific purpose.</w:t>
      </w:r>
    </w:p>
    <w:p>
      <w:pPr>
        <w:spacing w:after="120"/>
      </w:pPr>
      <w:r>
        <w:rPr>
          <w:rFonts w:ascii="Cambria" w:hAnsi="Cambria"/>
          <w:b/>
          <w:i w:val="0"/>
        </w:rPr>
        <w:t>13.3</w:t>
      </w:r>
      <w:r>
        <w:rPr>
          <w:rFonts w:ascii="Cambria" w:hAnsi="Cambria"/>
          <w:b w:val="0"/>
          <w:i w:val="0"/>
        </w:rPr>
        <w:t xml:space="preserve"> The Consultant is responsible for the Consultant's own taxes, social insurance and statutory contributions.</w:t>
      </w:r>
    </w:p>
    <w:p>
      <w:pPr>
        <w:spacing w:before="120" w:after="120"/>
        <w:pBdr>
          <w:bottom w:val="single" w:sz="6" w:space="1" w:color="C2CCD6"/>
        </w:pBdr>
      </w:pPr>
    </w:p>
    <w:p>
      <w:pPr>
        <w:keepNext/>
        <w:spacing w:before="320" w:after="100"/>
      </w:pPr>
      <w:r>
        <w:rPr>
          <w:rFonts w:ascii="Calibri" w:hAnsi="Calibri"/>
          <w:b/>
          <w:i w:val="0"/>
          <w:color w:val="0F2C4A"/>
          <w:sz w:val="27"/>
        </w:rPr>
        <w:t>14. Warranties and Limitation of Liability</w:t>
      </w:r>
    </w:p>
    <w:p>
      <w:pPr>
        <w:spacing w:after="120"/>
      </w:pPr>
      <w:r>
        <w:rPr>
          <w:rFonts w:ascii="Cambria" w:hAnsi="Cambria"/>
          <w:b/>
          <w:i w:val="0"/>
        </w:rPr>
        <w:t>14.1 Consultant warranty.</w:t>
      </w:r>
      <w:r>
        <w:rPr>
          <w:rFonts w:ascii="Cambria" w:hAnsi="Cambria"/>
          <w:b w:val="0"/>
          <w:i w:val="0"/>
        </w:rPr>
        <w:t xml:space="preserve"> The Consultant warrants that it has the right, capacity and skill to provide the Services, and will perform them in accordance with Clause 3.2.</w:t>
      </w:r>
    </w:p>
    <w:p>
      <w:pPr>
        <w:spacing w:after="120"/>
      </w:pPr>
      <w:r>
        <w:rPr>
          <w:rFonts w:ascii="Cambria" w:hAnsi="Cambria"/>
          <w:b/>
          <w:i w:val="0"/>
        </w:rPr>
        <w:t>14.2 Client warranties.</w:t>
      </w:r>
      <w:r>
        <w:rPr>
          <w:rFonts w:ascii="Cambria" w:hAnsi="Cambria"/>
          <w:b w:val="0"/>
          <w:i w:val="0"/>
        </w:rPr>
        <w:t xml:space="preserve"> The Client warrants that it is duly incorporated and validly existing; that it has full authority to enter into this Agreement and to raise the Round; that the person signing is duly authorised; and that all information it supplies is accurate, complete and not misleading.</w:t>
      </w:r>
    </w:p>
    <w:p>
      <w:pPr>
        <w:spacing w:after="120"/>
      </w:pPr>
      <w:r>
        <w:rPr>
          <w:rFonts w:ascii="Cambria" w:hAnsi="Cambria"/>
          <w:b/>
          <w:i w:val="0"/>
        </w:rPr>
        <w:t>14.3 Reliance.</w:t>
      </w:r>
      <w:r>
        <w:rPr>
          <w:rFonts w:ascii="Cambria" w:hAnsi="Cambria"/>
          <w:b w:val="0"/>
          <w:i w:val="0"/>
        </w:rPr>
        <w:t xml:space="preserve"> The Consultant relies on information supplied by the Client without independent verification. The Consultant is not liable for any loss arising from information that is inaccurate, incomplete, out of date or misleading, and the Client shall indemnify the Consultant against any third-party claim arising from such information, including any claim by an Investor.</w:t>
      </w:r>
    </w:p>
    <w:p>
      <w:pPr>
        <w:spacing w:after="120"/>
      </w:pPr>
      <w:r>
        <w:rPr>
          <w:rFonts w:ascii="Cambria" w:hAnsi="Cambria"/>
          <w:b/>
          <w:i w:val="0"/>
        </w:rPr>
        <w:t>14.4 Cap on liability.</w:t>
      </w:r>
      <w:r>
        <w:rPr>
          <w:rFonts w:ascii="Cambria" w:hAnsi="Cambria"/>
          <w:b w:val="0"/>
          <w:i w:val="0"/>
        </w:rPr>
        <w:t xml:space="preserve"> Subject to Clause 14.6, the Consultant's total aggregate liability arising out of or in connection with this Agreement, whether in contract, tort (including negligence), breach of statutory duty or otherwise, shall not exceed </w:t>
      </w:r>
      <w:r>
        <w:rPr>
          <w:rFonts w:ascii="Cambria" w:hAnsi="Cambria"/>
          <w:b/>
          <w:i w:val="0"/>
        </w:rPr>
        <w:t>the total Fixed Fee actually paid by the Client to the Consultant under this Agreement</w:t>
      </w:r>
      <w:r>
        <w:rPr>
          <w:rFonts w:ascii="Cambria" w:hAnsi="Cambria"/>
          <w:b w:val="0"/>
          <w:i w:val="0"/>
        </w:rPr>
        <w:t>.</w:t>
      </w:r>
    </w:p>
    <w:p>
      <w:pPr>
        <w:spacing w:after="120"/>
      </w:pPr>
      <w:r>
        <w:rPr>
          <w:rFonts w:ascii="Cambria" w:hAnsi="Cambria"/>
          <w:b/>
          <w:i w:val="0"/>
        </w:rPr>
        <w:t>14.5 Excluded loss.</w:t>
      </w:r>
      <w:r>
        <w:rPr>
          <w:rFonts w:ascii="Cambria" w:hAnsi="Cambria"/>
          <w:b w:val="0"/>
          <w:i w:val="0"/>
        </w:rPr>
        <w:t xml:space="preserve"> Neither Party is liable for loss of profit, loss of revenue, loss of anticipated savings, loss of business opportunity, loss of funding, dilution, or any indirect or consequential loss.</w:t>
      </w:r>
    </w:p>
    <w:p>
      <w:pPr>
        <w:spacing w:after="120"/>
      </w:pPr>
      <w:r>
        <w:rPr>
          <w:rFonts w:ascii="Cambria" w:hAnsi="Cambria"/>
          <w:b/>
          <w:i w:val="0"/>
        </w:rPr>
        <w:t>14.6 Unlimited liability.</w:t>
      </w:r>
      <w:r>
        <w:rPr>
          <w:rFonts w:ascii="Cambria" w:hAnsi="Cambria"/>
          <w:b w:val="0"/>
          <w:i w:val="0"/>
        </w:rPr>
        <w:t xml:space="preserve"> Nothing in this Agreement limits liability for fraud, fraudulent misrepresentation, wilful misconduct, or any liability that cannot lawfully be limited.</w:t>
      </w:r>
    </w:p>
    <w:p>
      <w:pPr>
        <w:spacing w:before="120" w:after="120"/>
        <w:pBdr>
          <w:bottom w:val="single" w:sz="6" w:space="1" w:color="C2CCD6"/>
        </w:pBdr>
      </w:pPr>
    </w:p>
    <w:p>
      <w:pPr>
        <w:keepNext/>
        <w:spacing w:before="320" w:after="100"/>
      </w:pPr>
      <w:r>
        <w:rPr>
          <w:rFonts w:ascii="Calibri" w:hAnsi="Calibri"/>
          <w:b/>
          <w:i w:val="0"/>
          <w:color w:val="0F2C4A"/>
          <w:sz w:val="27"/>
        </w:rPr>
        <w:t>15. Force Majeure</w:t>
      </w:r>
    </w:p>
    <w:p>
      <w:pPr>
        <w:spacing w:after="120"/>
      </w:pPr>
      <w:r>
        <w:rPr>
          <w:rFonts w:ascii="Cambria" w:hAnsi="Cambria"/>
          <w:b/>
          <w:i w:val="0"/>
        </w:rPr>
        <w:t>15.1</w:t>
      </w:r>
      <w:r>
        <w:rPr>
          <w:rFonts w:ascii="Cambria" w:hAnsi="Cambria"/>
          <w:b w:val="0"/>
          <w:i w:val="0"/>
        </w:rPr>
        <w:t xml:space="preserve"> Neither Party is liable for failure or delay in performance caused by an event beyond its reasonable control, including act of God, natural disaster, epidemic or pandemic, war, civil unrest, terrorism, governmental action, currency restriction, banking system failure, or prolonged failure of telecommunications or internet infrastructure.</w:t>
      </w:r>
    </w:p>
    <w:p>
      <w:pPr>
        <w:spacing w:after="120"/>
      </w:pPr>
      <w:r>
        <w:rPr>
          <w:rFonts w:ascii="Cambria" w:hAnsi="Cambria"/>
          <w:b/>
          <w:i w:val="0"/>
        </w:rPr>
        <w:t>15.2</w:t>
      </w:r>
      <w:r>
        <w:rPr>
          <w:rFonts w:ascii="Cambria" w:hAnsi="Cambria"/>
          <w:b w:val="0"/>
          <w:i w:val="0"/>
        </w:rPr>
        <w:t xml:space="preserve"> The affected Party shall notify the other promptly. Performance is suspended for the duration of the event, and all timelines extend accordingly. If the event continues for more than sixty (60) consecutive days, either Party may terminate on written notice, and Clause 8.5 applies.</w:t>
      </w:r>
    </w:p>
    <w:p>
      <w:pPr>
        <w:spacing w:before="120" w:after="120"/>
        <w:pBdr>
          <w:bottom w:val="single" w:sz="6" w:space="1" w:color="C2CCD6"/>
        </w:pBdr>
      </w:pPr>
    </w:p>
    <w:p>
      <w:pPr>
        <w:keepNext/>
        <w:spacing w:before="320" w:after="100"/>
      </w:pPr>
      <w:r>
        <w:rPr>
          <w:rFonts w:ascii="Calibri" w:hAnsi="Calibri"/>
          <w:b/>
          <w:i w:val="0"/>
          <w:color w:val="0F2C4A"/>
          <w:sz w:val="27"/>
        </w:rPr>
        <w:t>16. Notices</w:t>
      </w:r>
    </w:p>
    <w:p>
      <w:pPr>
        <w:spacing w:after="120"/>
      </w:pPr>
      <w:r>
        <w:rPr>
          <w:rFonts w:ascii="Cambria" w:hAnsi="Cambria"/>
          <w:b/>
          <w:i w:val="0"/>
        </w:rPr>
        <w:t>16.1</w:t>
      </w:r>
      <w:r>
        <w:rPr>
          <w:rFonts w:ascii="Cambria" w:hAnsi="Cambria"/>
          <w:b w:val="0"/>
          <w:i w:val="0"/>
        </w:rPr>
        <w:t xml:space="preserve"> Notices under this Agreement shall be in writing and sent to the addresses below by email with confirmed delivery, by hand, or by registered post.</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p>
        </w:tc>
        <w:tc>
          <w:tcPr>
            <w:tcW w:type="dxa" w:w="3213"/>
            <w:shd w:val="clear" w:color="auto" w:fill="0F2C4A"/>
          </w:tcPr>
          <w:p>
            <w:pPr>
              <w:spacing w:after="40" w:before="40"/>
            </w:pPr>
            <w:r/>
            <w:r>
              <w:rPr>
                <w:rFonts w:ascii="Calibri" w:hAnsi="Calibri"/>
                <w:b/>
                <w:i w:val="0"/>
                <w:color w:val="FFFFFF"/>
                <w:sz w:val="17"/>
              </w:rPr>
              <w:t>Consultant</w:t>
            </w:r>
          </w:p>
        </w:tc>
        <w:tc>
          <w:tcPr>
            <w:tcW w:type="dxa" w:w="3213"/>
            <w:shd w:val="clear" w:color="auto" w:fill="0F2C4A"/>
          </w:tcPr>
          <w:p>
            <w:pPr>
              <w:spacing w:after="40" w:before="40"/>
            </w:pPr>
            <w:r/>
            <w:r>
              <w:rPr>
                <w:rFonts w:ascii="Calibri" w:hAnsi="Calibri"/>
                <w:b/>
                <w:i w:val="0"/>
                <w:color w:val="FFFFFF"/>
                <w:sz w:val="17"/>
              </w:rPr>
              <w:t>Client</w:t>
            </w:r>
          </w:p>
        </w:tc>
      </w:tr>
      <w:tr>
        <w:tc>
          <w:tcPr>
            <w:tcW w:type="dxa" w:w="3213"/>
          </w:tcPr>
          <w:p>
            <w:pPr>
              <w:spacing w:after="40" w:before="40"/>
            </w:pPr>
            <w:r/>
            <w:r>
              <w:rPr>
                <w:rFonts w:ascii="Cambria" w:hAnsi="Cambria"/>
                <w:b/>
                <w:i w:val="0"/>
                <w:sz w:val="17"/>
              </w:rPr>
              <w:t>For the attention of</w:t>
            </w:r>
          </w:p>
        </w:tc>
        <w:tc>
          <w:tcPr>
            <w:tcW w:type="dxa" w:w="3213"/>
          </w:tcPr>
          <w:p>
            <w:pPr>
              <w:spacing w:after="40" w:before="40"/>
            </w:pPr>
            <w:r/>
            <w:r>
              <w:rPr>
                <w:rFonts w:ascii="Cambria" w:hAnsi="Cambria"/>
                <w:b w:val="0"/>
                <w:i w:val="0"/>
                <w:sz w:val="17"/>
              </w:rPr>
              <w:t>Abdelrhman Soliman</w:t>
            </w:r>
          </w:p>
        </w:tc>
        <w:tc>
          <w:tcPr>
            <w:tcW w:type="dxa" w:w="3213"/>
          </w:tcPr>
          <w:p>
            <w:pPr>
              <w:spacing w:after="40" w:before="40"/>
            </w:pPr>
            <w:r/>
            <w:r>
              <w:rPr>
                <w:rFonts w:ascii="Cambria" w:hAnsi="Cambria"/>
                <w:b w:val="0"/>
                <w:i w:val="0"/>
                <w:sz w:val="17"/>
              </w:rPr>
              <w:t>[ name ]</w:t>
            </w:r>
          </w:p>
        </w:tc>
      </w:tr>
      <w:tr>
        <w:tc>
          <w:tcPr>
            <w:tcW w:type="dxa" w:w="3213"/>
            <w:shd w:val="clear" w:color="auto" w:fill="F2F5F8"/>
          </w:tcPr>
          <w:p>
            <w:pPr>
              <w:spacing w:after="40" w:before="40"/>
            </w:pPr>
            <w:r/>
            <w:r>
              <w:rPr>
                <w:rFonts w:ascii="Cambria" w:hAnsi="Cambria"/>
                <w:b/>
                <w:i w:val="0"/>
                <w:sz w:val="17"/>
              </w:rPr>
              <w:t>Email</w:t>
            </w:r>
          </w:p>
        </w:tc>
        <w:tc>
          <w:tcPr>
            <w:tcW w:type="dxa" w:w="3213"/>
            <w:shd w:val="clear" w:color="auto" w:fill="F2F5F8"/>
          </w:tcPr>
          <w:p>
            <w:pPr>
              <w:spacing w:after="40" w:before="40"/>
            </w:pPr>
            <w:r/>
            <w:r>
              <w:rPr>
                <w:rFonts w:ascii="Cambria" w:hAnsi="Cambria"/>
                <w:b w:val="0"/>
                <w:i w:val="0"/>
                <w:sz w:val="17"/>
              </w:rPr>
              <w:t>abdelrhmansoliman96@gmail.com</w:t>
            </w:r>
          </w:p>
        </w:tc>
        <w:tc>
          <w:tcPr>
            <w:tcW w:type="dxa" w:w="3213"/>
            <w:shd w:val="clear" w:color="auto" w:fill="F2F5F8"/>
          </w:tcPr>
          <w:p>
            <w:pPr>
              <w:spacing w:after="40" w:before="40"/>
            </w:pPr>
            <w:r/>
            <w:r>
              <w:rPr>
                <w:rFonts w:ascii="Cambria" w:hAnsi="Cambria"/>
                <w:b w:val="0"/>
                <w:i w:val="0"/>
                <w:sz w:val="17"/>
              </w:rPr>
              <w:t>[ email ]</w:t>
            </w:r>
          </w:p>
        </w:tc>
      </w:tr>
      <w:tr>
        <w:tc>
          <w:tcPr>
            <w:tcW w:type="dxa" w:w="3213"/>
          </w:tcPr>
          <w:p>
            <w:pPr>
              <w:spacing w:after="40" w:before="40"/>
            </w:pPr>
            <w:r/>
            <w:r>
              <w:rPr>
                <w:rFonts w:ascii="Cambria" w:hAnsi="Cambria"/>
                <w:b/>
                <w:i w:val="0"/>
                <w:sz w:val="17"/>
              </w:rPr>
              <w:t>Phone</w:t>
            </w:r>
          </w:p>
        </w:tc>
        <w:tc>
          <w:tcPr>
            <w:tcW w:type="dxa" w:w="3213"/>
          </w:tcPr>
          <w:p>
            <w:pPr>
              <w:spacing w:after="40" w:before="40"/>
            </w:pPr>
            <w:r/>
            <w:r>
              <w:rPr>
                <w:rFonts w:ascii="Cambria" w:hAnsi="Cambria"/>
                <w:b w:val="0"/>
                <w:i w:val="0"/>
                <w:sz w:val="17"/>
              </w:rPr>
              <w:t>+20 109 651 5287</w:t>
            </w:r>
          </w:p>
        </w:tc>
        <w:tc>
          <w:tcPr>
            <w:tcW w:type="dxa" w:w="3213"/>
          </w:tcPr>
          <w:p>
            <w:pPr>
              <w:spacing w:after="40" w:before="40"/>
            </w:pPr>
            <w:r/>
            <w:r>
              <w:rPr>
                <w:rFonts w:ascii="Cambria" w:hAnsi="Cambria"/>
                <w:b w:val="0"/>
                <w:i w:val="0"/>
                <w:sz w:val="17"/>
              </w:rPr>
              <w:t>[ phone ]</w:t>
            </w:r>
          </w:p>
        </w:tc>
      </w:tr>
      <w:tr>
        <w:tc>
          <w:tcPr>
            <w:tcW w:type="dxa" w:w="3213"/>
            <w:shd w:val="clear" w:color="auto" w:fill="F2F5F8"/>
          </w:tcPr>
          <w:p>
            <w:pPr>
              <w:spacing w:after="40" w:before="40"/>
            </w:pPr>
            <w:r/>
            <w:r>
              <w:rPr>
                <w:rFonts w:ascii="Cambria" w:hAnsi="Cambria"/>
                <w:b/>
                <w:i w:val="0"/>
                <w:sz w:val="17"/>
              </w:rPr>
              <w:t>Address</w:t>
            </w:r>
          </w:p>
        </w:tc>
        <w:tc>
          <w:tcPr>
            <w:tcW w:type="dxa" w:w="3213"/>
            <w:shd w:val="clear" w:color="auto" w:fill="F2F5F8"/>
          </w:tcPr>
          <w:p>
            <w:pPr>
              <w:spacing w:after="40" w:before="40"/>
            </w:pPr>
            <w:r/>
            <w:r>
              <w:rPr>
                <w:rFonts w:ascii="Cambria" w:hAnsi="Cambria"/>
                <w:b w:val="0"/>
                <w:i w:val="0"/>
                <w:sz w:val="17"/>
              </w:rPr>
              <w:t>Cairo, Arab Republic of Egypt</w:t>
            </w:r>
          </w:p>
        </w:tc>
        <w:tc>
          <w:tcPr>
            <w:tcW w:type="dxa" w:w="3213"/>
            <w:shd w:val="clear" w:color="auto" w:fill="F2F5F8"/>
          </w:tcPr>
          <w:p>
            <w:pPr>
              <w:spacing w:after="40" w:before="40"/>
            </w:pPr>
            <w:r/>
            <w:r>
              <w:rPr>
                <w:rFonts w:ascii="Cambria" w:hAnsi="Cambria"/>
                <w:b w:val="0"/>
                <w:i w:val="0"/>
                <w:sz w:val="17"/>
              </w:rPr>
              <w:t>[ address ]</w:t>
            </w:r>
          </w:p>
        </w:tc>
      </w:tr>
    </w:tbl>
    <w:p>
      <w:pPr>
        <w:spacing w:after="40"/>
      </w:pPr>
    </w:p>
    <w:p>
      <w:pPr>
        <w:spacing w:after="120"/>
      </w:pPr>
      <w:r>
        <w:rPr>
          <w:rFonts w:ascii="Cambria" w:hAnsi="Cambria"/>
          <w:b/>
          <w:i w:val="0"/>
        </w:rPr>
        <w:t>16.2</w:t>
      </w:r>
      <w:r>
        <w:rPr>
          <w:rFonts w:ascii="Cambria" w:hAnsi="Cambria"/>
          <w:b w:val="0"/>
          <w:i w:val="0"/>
        </w:rPr>
        <w:t xml:space="preserve"> A notice is deemed received: if by email, on the next Business Day after sending, absent a delivery failure notification; if by hand, on delivery; if by registered post, five (5) Business Days after posting.</w:t>
      </w:r>
    </w:p>
    <w:p>
      <w:pPr>
        <w:spacing w:after="120"/>
      </w:pPr>
      <w:r>
        <w:rPr>
          <w:rFonts w:ascii="Cambria" w:hAnsi="Cambria"/>
          <w:b/>
          <w:i w:val="0"/>
        </w:rPr>
        <w:t>16.3</w:t>
      </w:r>
      <w:r>
        <w:rPr>
          <w:rFonts w:ascii="Cambria" w:hAnsi="Cambria"/>
          <w:b w:val="0"/>
          <w:i w:val="0"/>
        </w:rPr>
        <w:t xml:space="preserve"> Routine operational communication, including weekly reports, the Investor Log and Deliverable delivery, may be conducted by email or the Parties' agreed project channel and does not require formal notice.</w:t>
      </w:r>
    </w:p>
    <w:p>
      <w:pPr>
        <w:spacing w:before="120" w:after="120"/>
        <w:pBdr>
          <w:bottom w:val="single" w:sz="6" w:space="1" w:color="C2CCD6"/>
        </w:pBdr>
      </w:pPr>
    </w:p>
    <w:p>
      <w:pPr>
        <w:keepNext/>
        <w:spacing w:before="320" w:after="100"/>
      </w:pPr>
      <w:r>
        <w:rPr>
          <w:rFonts w:ascii="Calibri" w:hAnsi="Calibri"/>
          <w:b/>
          <w:i w:val="0"/>
          <w:color w:val="0F2C4A"/>
          <w:sz w:val="27"/>
        </w:rPr>
        <w:t>17. General</w:t>
      </w:r>
    </w:p>
    <w:p>
      <w:pPr>
        <w:spacing w:after="120"/>
      </w:pPr>
      <w:r>
        <w:rPr>
          <w:rFonts w:ascii="Cambria" w:hAnsi="Cambria"/>
          <w:b/>
          <w:i w:val="0"/>
        </w:rPr>
        <w:t>17.1 Entire agreement.</w:t>
      </w:r>
      <w:r>
        <w:rPr>
          <w:rFonts w:ascii="Cambria" w:hAnsi="Cambria"/>
          <w:b w:val="0"/>
          <w:i w:val="0"/>
        </w:rPr>
        <w:t xml:space="preserve"> This Agreement, comprising Parts I, II and III, constitutes the entire agreement between the Parties and supersedes all prior proposals, discussions, understandings and representations, whether written or oral.</w:t>
      </w:r>
    </w:p>
    <w:p>
      <w:pPr>
        <w:spacing w:after="120"/>
      </w:pPr>
      <w:r>
        <w:rPr>
          <w:rFonts w:ascii="Cambria" w:hAnsi="Cambria"/>
          <w:b/>
          <w:i w:val="0"/>
        </w:rPr>
        <w:t>17.2 Amendment.</w:t>
      </w:r>
      <w:r>
        <w:rPr>
          <w:rFonts w:ascii="Cambria" w:hAnsi="Cambria"/>
          <w:b w:val="0"/>
          <w:i w:val="0"/>
        </w:rPr>
        <w:t xml:space="preserve"> No amendment is effective unless in writing and signed by both Parties.</w:t>
      </w:r>
    </w:p>
    <w:p>
      <w:pPr>
        <w:spacing w:after="120"/>
      </w:pPr>
      <w:r>
        <w:rPr>
          <w:rFonts w:ascii="Cambria" w:hAnsi="Cambria"/>
          <w:b/>
          <w:i w:val="0"/>
        </w:rPr>
        <w:t>17.3 Waiver.</w:t>
      </w:r>
      <w:r>
        <w:rPr>
          <w:rFonts w:ascii="Cambria" w:hAnsi="Cambria"/>
          <w:b w:val="0"/>
          <w:i w:val="0"/>
        </w:rPr>
        <w:t xml:space="preserve"> No failure or delay in exercising a right constitutes a waiver of it. A waiver of one breach is not a waiver of any other.</w:t>
      </w:r>
    </w:p>
    <w:p>
      <w:pPr>
        <w:spacing w:after="120"/>
      </w:pPr>
      <w:r>
        <w:rPr>
          <w:rFonts w:ascii="Cambria" w:hAnsi="Cambria"/>
          <w:b/>
          <w:i w:val="0"/>
        </w:rPr>
        <w:t>17.4 Severability.</w:t>
      </w:r>
      <w:r>
        <w:rPr>
          <w:rFonts w:ascii="Cambria" w:hAnsi="Cambria"/>
          <w:b w:val="0"/>
          <w:i w:val="0"/>
        </w:rPr>
        <w:t xml:space="preserve"> If any provision is held invalid, illegal or unenforceable, it shall be modified to the minimum extent necessary to make it enforceable, or if that is not possible, severed. The remaining provisions continue in full force.</w:t>
      </w:r>
    </w:p>
    <w:p>
      <w:pPr>
        <w:spacing w:after="120"/>
      </w:pPr>
      <w:r>
        <w:rPr>
          <w:rFonts w:ascii="Cambria" w:hAnsi="Cambria"/>
          <w:b/>
          <w:i w:val="0"/>
        </w:rPr>
        <w:t>17.5 Assignment.</w:t>
      </w:r>
      <w:r>
        <w:rPr>
          <w:rFonts w:ascii="Cambria" w:hAnsi="Cambria"/>
          <w:b w:val="0"/>
          <w:i w:val="0"/>
        </w:rPr>
        <w:t xml:space="preserve"> Neither Party may assign or transfer this Agreement without the other's prior written consent, save that the Client may assign to a successor entity arising from a corporate reorganisation on written notice, provided all obligations under Clauses 5, 6 and 9 transfer with it.</w:t>
      </w:r>
    </w:p>
    <w:p>
      <w:pPr>
        <w:spacing w:after="120"/>
      </w:pPr>
      <w:r>
        <w:rPr>
          <w:rFonts w:ascii="Cambria" w:hAnsi="Cambria"/>
          <w:b/>
          <w:i w:val="0"/>
        </w:rPr>
        <w:t>17.6 Third-party rights.</w:t>
      </w:r>
      <w:r>
        <w:rPr>
          <w:rFonts w:ascii="Cambria" w:hAnsi="Cambria"/>
          <w:b w:val="0"/>
          <w:i w:val="0"/>
        </w:rPr>
        <w:t xml:space="preserve"> No person other than a Party has any right to enforce any term of this Agreement.</w:t>
      </w:r>
    </w:p>
    <w:p>
      <w:pPr>
        <w:spacing w:after="120"/>
      </w:pPr>
      <w:r>
        <w:rPr>
          <w:rFonts w:ascii="Cambria" w:hAnsi="Cambria"/>
          <w:b/>
          <w:i w:val="0"/>
        </w:rPr>
        <w:t>17.7 Survival.</w:t>
      </w:r>
      <w:r>
        <w:rPr>
          <w:rFonts w:ascii="Cambria" w:hAnsi="Cambria"/>
          <w:b w:val="0"/>
          <w:i w:val="0"/>
        </w:rPr>
        <w:t xml:space="preserve"> Clauses 5.5, 5.6, 6, 8.5, 9, 10, 11, 12, 14, 18 and this Clause 17 survive expiry or termination.</w:t>
      </w:r>
    </w:p>
    <w:p>
      <w:pPr>
        <w:spacing w:after="120"/>
      </w:pPr>
      <w:r>
        <w:rPr>
          <w:rFonts w:ascii="Cambria" w:hAnsi="Cambria"/>
          <w:b/>
          <w:i w:val="0"/>
        </w:rPr>
        <w:t>17.8 Counterparts and electronic signature.</w:t>
      </w:r>
      <w:r>
        <w:rPr>
          <w:rFonts w:ascii="Cambria" w:hAnsi="Cambria"/>
          <w:b w:val="0"/>
          <w:i w:val="0"/>
        </w:rPr>
        <w:t xml:space="preserve"> This Agreement may be executed in counterparts, each of which is an original and which together constitute one instrument. The Parties agree that signatures transmitted electronically, and electronic signatures made in accordance with Egyptian Law No. 15 of 2004 on E-Signature, are valid and binding.</w:t>
      </w:r>
    </w:p>
    <w:p>
      <w:pPr>
        <w:spacing w:after="120"/>
      </w:pPr>
      <w:r>
        <w:rPr>
          <w:rFonts w:ascii="Cambria" w:hAnsi="Cambria"/>
          <w:b/>
          <w:i w:val="0"/>
        </w:rPr>
        <w:t>17.9 Language.</w:t>
      </w:r>
      <w:r>
        <w:rPr>
          <w:rFonts w:ascii="Cambria" w:hAnsi="Cambria"/>
          <w:b w:val="0"/>
          <w:i w:val="0"/>
        </w:rPr>
        <w:t xml:space="preserve"> This Agreement is executed in English. If an Arabic translation is produced, the Parties shall specify in writing which version prevails; absent such specification, the English version prevails.</w:t>
      </w:r>
    </w:p>
    <w:p>
      <w:pPr>
        <w:spacing w:before="120" w:after="120"/>
        <w:pBdr>
          <w:bottom w:val="single" w:sz="6" w:space="1" w:color="C2CCD6"/>
        </w:pBdr>
      </w:pPr>
    </w:p>
    <w:p>
      <w:pPr>
        <w:keepNext/>
        <w:spacing w:before="320" w:after="100"/>
      </w:pPr>
      <w:r>
        <w:rPr>
          <w:rFonts w:ascii="Calibri" w:hAnsi="Calibri"/>
          <w:b/>
          <w:i w:val="0"/>
          <w:color w:val="0F2C4A"/>
          <w:sz w:val="27"/>
        </w:rPr>
        <w:t>18. Governing Law and Dispute Resolution</w:t>
      </w:r>
    </w:p>
    <w:p>
      <w:pPr>
        <w:spacing w:after="120"/>
      </w:pPr>
      <w:r>
        <w:rPr>
          <w:rFonts w:ascii="Cambria" w:hAnsi="Cambria"/>
          <w:b/>
          <w:i w:val="0"/>
        </w:rPr>
        <w:t>18.1 Governing law.</w:t>
      </w:r>
      <w:r>
        <w:rPr>
          <w:rFonts w:ascii="Cambria" w:hAnsi="Cambria"/>
          <w:b w:val="0"/>
          <w:i w:val="0"/>
        </w:rPr>
        <w:t xml:space="preserve"> This Agreement and any dispute arising out of or in connection with it, including non-contractual disputes, are governed by the laws of the </w:t>
      </w:r>
      <w:r>
        <w:rPr>
          <w:rFonts w:ascii="Cambria" w:hAnsi="Cambria"/>
          <w:b/>
          <w:i w:val="0"/>
        </w:rPr>
        <w:t>Arab Republic of Egypt</w:t>
      </w:r>
      <w:r>
        <w:rPr>
          <w:rFonts w:ascii="Cambria" w:hAnsi="Cambria"/>
          <w:b w:val="0"/>
          <w:i w:val="0"/>
        </w:rPr>
        <w:t>.</w:t>
      </w:r>
    </w:p>
    <w:p>
      <w:pPr>
        <w:spacing w:after="120"/>
      </w:pPr>
      <w:r>
        <w:rPr>
          <w:rFonts w:ascii="Cambria" w:hAnsi="Cambria"/>
          <w:b/>
          <w:i w:val="0"/>
        </w:rPr>
        <w:t>18.2 Amicable settlement.</w:t>
      </w:r>
      <w:r>
        <w:rPr>
          <w:rFonts w:ascii="Cambria" w:hAnsi="Cambria"/>
          <w:b w:val="0"/>
          <w:i w:val="0"/>
        </w:rPr>
        <w:t xml:space="preserve"> The Parties shall first attempt in good faith to resolve any dispute by negotiation between senior representatives within </w:t>
      </w:r>
      <w:r>
        <w:rPr>
          <w:rFonts w:ascii="Cambria" w:hAnsi="Cambria"/>
          <w:b/>
          <w:i w:val="0"/>
        </w:rPr>
        <w:t>thirty (30) days</w:t>
      </w:r>
      <w:r>
        <w:rPr>
          <w:rFonts w:ascii="Cambria" w:hAnsi="Cambria"/>
          <w:b w:val="0"/>
          <w:i w:val="0"/>
        </w:rPr>
        <w:t xml:space="preserve"> of written notice of the dispute.</w:t>
      </w:r>
    </w:p>
    <w:p>
      <w:pPr>
        <w:spacing w:after="120"/>
      </w:pPr>
      <w:r>
        <w:rPr>
          <w:rFonts w:ascii="Cambria" w:hAnsi="Cambria"/>
          <w:b/>
          <w:i w:val="0"/>
        </w:rPr>
        <w:t>18.3 Jurisdiction.</w:t>
      </w:r>
      <w:r>
        <w:rPr>
          <w:rFonts w:ascii="Cambria" w:hAnsi="Cambria"/>
          <w:b w:val="0"/>
          <w:i w:val="0"/>
        </w:rPr>
        <w:t xml:space="preserve"> If the dispute is not resolved under Clause 18.2, it shall be submitted to the exclusive jurisdiction of the </w:t>
      </w:r>
      <w:r>
        <w:rPr>
          <w:rFonts w:ascii="Cambria" w:hAnsi="Cambria"/>
          <w:b/>
          <w:i w:val="0"/>
        </w:rPr>
        <w:t>competent Economic Courts of Cairo, Arab Republic of Egypt</w:t>
      </w:r>
      <w:r>
        <w:rPr>
          <w:rFonts w:ascii="Cambria" w:hAnsi="Cambria"/>
          <w:b w:val="0"/>
          <w:i w:val="0"/>
        </w:rPr>
        <w:t>.</w:t>
      </w:r>
    </w:p>
    <w:p>
      <w:pPr>
        <w:spacing w:before="140" w:after="180"/>
        <w:ind w:left="283" w:right="170"/>
        <w:pBdr>
          <w:left w:val="single" w:sz="18" w:space="8" w:color="0F2C4A"/>
        </w:pBdr>
        <w:shd w:val="clear" w:color="auto" w:fill="EEF3F8"/>
      </w:pPr>
      <w:r>
        <w:rPr>
          <w:rFonts w:ascii="Cambria" w:hAnsi="Cambria"/>
          <w:b w:val="0"/>
          <w:i w:val="0"/>
          <w:color w:val="1C3A55"/>
          <w:sz w:val="19"/>
        </w:rPr>
        <w:t>Alternative, to be selected before signature if preferred:</w:t>
      </w:r>
      <w:r>
        <w:rPr>
          <w:rFonts w:ascii="Cambria" w:hAnsi="Cambria"/>
          <w:b w:val="0"/>
          <w:i w:val="0"/>
          <w:color w:val="1C3A55"/>
          <w:sz w:val="19"/>
        </w:rPr>
        <w:t xml:space="preserve"> the dispute shall be finally settled by arbitration under the Rules of the Cairo Regional Centre for International Commercial Arbitration (CRCICA), before a sole arbitrator, seated in Cairo, conducted in English, with the award final and binding.</w:t>
      </w:r>
    </w:p>
    <w:p>
      <w:pPr>
        <w:spacing w:before="120" w:after="120"/>
        <w:pBdr>
          <w:bottom w:val="single" w:sz="6" w:space="1" w:color="C2CCD6"/>
        </w:pBdr>
      </w:pPr>
    </w:p>
    <w:p>
      <w:pPr>
        <w:keepNext/>
        <w:spacing w:before="320" w:after="100"/>
      </w:pPr>
      <w:r>
        <w:rPr>
          <w:rFonts w:ascii="Calibri" w:hAnsi="Calibri"/>
          <w:b/>
          <w:i w:val="0"/>
          <w:color w:val="0F2C4A"/>
          <w:sz w:val="27"/>
        </w:rPr>
        <w:t>19. Execution</w:t>
      </w:r>
    </w:p>
    <w:p>
      <w:pPr>
        <w:spacing w:after="120"/>
      </w:pPr>
      <w:r>
        <w:rPr>
          <w:rFonts w:ascii="Cambria" w:hAnsi="Cambria"/>
          <w:b/>
          <w:i w:val="0"/>
        </w:rPr>
        <w:t>IN WITNESS WHEREOF</w:t>
      </w:r>
      <w:r>
        <w:rPr>
          <w:rFonts w:ascii="Cambria" w:hAnsi="Cambria"/>
          <w:b w:val="0"/>
          <w:i w:val="0"/>
        </w:rPr>
        <w:t xml:space="preserve"> the Parties have executed this Agreement on the Effective Date first written above.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THE CONSULTANT</w:t>
            </w:r>
          </w:p>
        </w:tc>
        <w:tc>
          <w:tcPr>
            <w:tcW w:type="dxa" w:w="4819"/>
            <w:shd w:val="clear" w:color="auto" w:fill="0F2C4A"/>
          </w:tcPr>
          <w:p>
            <w:pPr>
              <w:spacing w:after="40" w:before="40"/>
            </w:pPr>
            <w:r/>
            <w:r>
              <w:rPr>
                <w:rFonts w:ascii="Calibri" w:hAnsi="Calibri"/>
                <w:b/>
                <w:i w:val="0"/>
                <w:color w:val="FFFFFF"/>
                <w:sz w:val="17"/>
              </w:rPr>
              <w:t>THE CLIENT</w:t>
            </w:r>
          </w:p>
        </w:tc>
      </w:tr>
      <w:tr>
        <w:tc>
          <w:tcPr>
            <w:tcW w:type="dxa" w:w="4819"/>
          </w:tcPr>
          <w:p>
            <w:pPr>
              <w:spacing w:after="40" w:before="40"/>
            </w:pPr>
            <w:r/>
            <w:r>
              <w:rPr>
                <w:rFonts w:ascii="Cambria" w:hAnsi="Cambria"/>
                <w:b/>
                <w:i w:val="0"/>
                <w:sz w:val="17"/>
              </w:rPr>
              <w:t>ABDELRHMAN SOLIMAN</w:t>
            </w:r>
          </w:p>
        </w:tc>
        <w:tc>
          <w:tcPr>
            <w:tcW w:type="dxa" w:w="4819"/>
          </w:tcPr>
          <w:p>
            <w:pPr>
              <w:spacing w:after="40" w:before="40"/>
            </w:pPr>
            <w:r/>
            <w:r>
              <w:rPr>
                <w:rFonts w:ascii="Cambria" w:hAnsi="Cambria"/>
                <w:b/>
                <w:i w:val="0"/>
                <w:sz w:val="17"/>
              </w:rPr>
              <w:t>[ FULL REGISTERED LEGAL NAME ]</w:t>
            </w:r>
            <w:r>
              <w:rPr>
                <w:rFonts w:ascii="Cambria" w:hAnsi="Cambria"/>
                <w:b w:val="0"/>
                <w:i w:val="0"/>
                <w:sz w:val="17"/>
              </w:rPr>
              <w:t xml:space="preserve"> trading as </w:t>
            </w:r>
            <w:r>
              <w:rPr>
                <w:rFonts w:ascii="Cambria" w:hAnsi="Cambria"/>
                <w:b/>
                <w:i w:val="0"/>
                <w:sz w:val="17"/>
              </w:rPr>
              <w:t>Btakka</w:t>
            </w:r>
          </w:p>
        </w:tc>
      </w:tr>
      <w:tr>
        <w:tc>
          <w:tcPr>
            <w:tcW w:type="dxa" w:w="4819"/>
            <w:shd w:val="clear" w:color="auto" w:fill="F2F5F8"/>
          </w:tcPr>
          <w:p>
            <w:pPr>
              <w:spacing w:after="40" w:before="40"/>
            </w:pPr>
            <w:r/>
            <w:r>
              <w:rPr>
                <w:rFonts w:ascii="Cambria" w:hAnsi="Cambria"/>
                <w:b w:val="0"/>
                <w:i w:val="0"/>
                <w:sz w:val="17"/>
              </w:rPr>
              <w:t>Independent Investment Advisor &amp; Consultant</w:t>
            </w:r>
          </w:p>
        </w:tc>
        <w:tc>
          <w:tcPr>
            <w:tcW w:type="dxa" w:w="4819"/>
            <w:shd w:val="clear" w:color="auto" w:fill="F2F5F8"/>
          </w:tcPr>
          <w:p>
            <w:pPr>
              <w:spacing w:after="40" w:before="40"/>
            </w:pPr>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Signature: .............................................</w:t>
            </w:r>
          </w:p>
        </w:tc>
        <w:tc>
          <w:tcPr>
            <w:tcW w:type="dxa" w:w="4819"/>
            <w:shd w:val="clear" w:color="auto" w:fill="F2F5F8"/>
          </w:tcPr>
          <w:p>
            <w:pPr>
              <w:spacing w:after="40" w:before="40"/>
            </w:pPr>
            <w:r/>
            <w:r>
              <w:rPr>
                <w:rFonts w:ascii="Cambria" w:hAnsi="Cambria"/>
                <w:b w:val="0"/>
                <w:i w:val="0"/>
                <w:sz w:val="17"/>
              </w:rPr>
              <w:t>Signature: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Name: Abdelrhman Soliman</w:t>
            </w:r>
          </w:p>
        </w:tc>
        <w:tc>
          <w:tcPr>
            <w:tcW w:type="dxa" w:w="4819"/>
            <w:shd w:val="clear" w:color="auto" w:fill="F2F5F8"/>
          </w:tcPr>
          <w:p>
            <w:pPr>
              <w:spacing w:after="40" w:before="40"/>
            </w:pPr>
            <w:r/>
            <w:r>
              <w:rPr>
                <w:rFonts w:ascii="Cambria" w:hAnsi="Cambria"/>
                <w:b w:val="0"/>
                <w:i w:val="0"/>
                <w:sz w:val="17"/>
              </w:rPr>
              <w:t>Name: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Title: Consultant</w:t>
            </w:r>
          </w:p>
        </w:tc>
        <w:tc>
          <w:tcPr>
            <w:tcW w:type="dxa" w:w="4819"/>
            <w:shd w:val="clear" w:color="auto" w:fill="F2F5F8"/>
          </w:tcPr>
          <w:p>
            <w:pPr>
              <w:spacing w:after="40" w:before="40"/>
            </w:pPr>
            <w:r/>
            <w:r>
              <w:rPr>
                <w:rFonts w:ascii="Cambria" w:hAnsi="Cambria"/>
                <w:b w:val="0"/>
                <w:i w:val="0"/>
                <w:sz w:val="17"/>
              </w:rPr>
              <w:t>Title: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r>
              <w:rPr>
                <w:rFonts w:ascii="Cambria" w:hAnsi="Cambria"/>
                <w:b w:val="0"/>
                <w:i w:val="0"/>
                <w:sz w:val="17"/>
              </w:rPr>
              <w:t>Date: .......................................................</w:t>
            </w:r>
          </w:p>
        </w:tc>
        <w:tc>
          <w:tcPr>
            <w:tcW w:type="dxa" w:w="4819"/>
            <w:shd w:val="clear" w:color="auto" w:fill="F2F5F8"/>
          </w:tcPr>
          <w:p>
            <w:pPr>
              <w:spacing w:after="40" w:before="40"/>
            </w:pPr>
            <w:r/>
            <w:r>
              <w:rPr>
                <w:rFonts w:ascii="Cambria" w:hAnsi="Cambria"/>
                <w:b w:val="0"/>
                <w:i w:val="0"/>
                <w:sz w:val="17"/>
              </w:rPr>
              <w:t>Date: .......................................................</w:t>
            </w:r>
          </w:p>
        </w:tc>
      </w:tr>
      <w:tr>
        <w:tc>
          <w:tcPr>
            <w:tcW w:type="dxa" w:w="4819"/>
          </w:tcPr>
          <w:p>
            <w:pPr>
              <w:spacing w:after="40" w:before="40"/>
            </w:pPr>
            <w:r/>
          </w:p>
        </w:tc>
        <w:tc>
          <w:tcPr>
            <w:tcW w:type="dxa" w:w="4819"/>
          </w:tcPr>
          <w:p>
            <w:pPr>
              <w:spacing w:after="40" w:before="40"/>
            </w:pPr>
            <w:r/>
          </w:p>
        </w:tc>
      </w:tr>
      <w:tr>
        <w:tc>
          <w:tcPr>
            <w:tcW w:type="dxa" w:w="4819"/>
            <w:shd w:val="clear" w:color="auto" w:fill="F2F5F8"/>
          </w:tcPr>
          <w:p>
            <w:pPr>
              <w:spacing w:after="40" w:before="40"/>
            </w:pPr>
            <w:r/>
          </w:p>
        </w:tc>
        <w:tc>
          <w:tcPr>
            <w:tcW w:type="dxa" w:w="4819"/>
            <w:shd w:val="clear" w:color="auto" w:fill="F2F5F8"/>
          </w:tcPr>
          <w:p>
            <w:pPr>
              <w:spacing w:after="40" w:before="40"/>
            </w:pPr>
            <w:r/>
            <w:r>
              <w:rPr>
                <w:rFonts w:ascii="Cambria" w:hAnsi="Cambria"/>
                <w:b w:val="0"/>
                <w:i w:val="0"/>
                <w:sz w:val="17"/>
              </w:rPr>
              <w:t>Company stamp:</w:t>
            </w:r>
          </w:p>
        </w:tc>
      </w:tr>
    </w:tbl>
    <w:p>
      <w:pPr>
        <w:spacing w:after="40"/>
      </w:pPr>
    </w:p>
    <w:p>
      <w:pPr>
        <w:spacing w:before="120" w:after="120"/>
        <w:pBdr>
          <w:bottom w:val="single" w:sz="6" w:space="1" w:color="C2CCD6"/>
        </w:pBdr>
      </w:pPr>
    </w:p>
    <w:p>
      <w:pPr>
        <w:spacing w:before="0" w:after="200"/>
        <w:keepNext/>
        <w:pBdr>
          <w:bottom w:val="single" w:sz="12" w:space="4" w:color="0F2C4A"/>
        </w:pBdr>
      </w:pPr>
      <w:r>
        <w:br w:type="page"/>
      </w:r>
      <w:r>
        <w:rPr>
          <w:rFonts w:ascii="Calibri" w:hAnsi="Calibri"/>
          <w:b/>
          <w:i w:val="0"/>
          <w:color w:val="0F2C4A"/>
          <w:sz w:val="38"/>
        </w:rPr>
        <w:t>PART III — SCHEDULES</w:t>
      </w:r>
    </w:p>
    <w:p>
      <w:pPr>
        <w:keepNext/>
        <w:spacing w:before="320" w:after="100"/>
      </w:pPr>
      <w:r>
        <w:rPr>
          <w:rFonts w:ascii="Calibri" w:hAnsi="Calibri"/>
          <w:b/>
          <w:i w:val="0"/>
          <w:color w:val="0F2C4A"/>
          <w:sz w:val="27"/>
        </w:rPr>
        <w:t>Schedule A — Data Room Scope and Responsibility Matrix</w:t>
      </w:r>
    </w:p>
    <w:p>
      <w:pPr>
        <w:spacing w:after="120"/>
      </w:pPr>
      <w:r>
        <w:rPr>
          <w:rFonts w:ascii="Cambria" w:hAnsi="Cambria"/>
          <w:b w:val="0"/>
          <w:i w:val="0"/>
        </w:rPr>
        <w:t>This Schedule maps every one of the 36 items in Btakka's Pre-Seed Round Data Room Checklist to an owner, so that there is no item without a name against it.</w:t>
      </w:r>
    </w:p>
    <w:p>
      <w:pPr>
        <w:spacing w:after="120"/>
      </w:pPr>
      <w:r>
        <w:rPr>
          <w:rFonts w:ascii="Cambria" w:hAnsi="Cambria"/>
          <w:b/>
          <w:i w:val="0"/>
        </w:rPr>
        <w:t>Owner key:</w:t>
      </w:r>
      <w:r>
        <w:rPr>
          <w:rFonts w:ascii="Cambria" w:hAnsi="Cambria"/>
          <w:b w:val="0"/>
          <w:i w:val="0"/>
        </w:rPr>
        <w:t xml:space="preserve"> </w:t>
      </w:r>
      <w:r>
        <w:rPr>
          <w:rFonts w:ascii="Cambria" w:hAnsi="Cambria"/>
          <w:b/>
          <w:i w:val="0"/>
        </w:rPr>
        <w:t>C</w:t>
      </w:r>
      <w:r>
        <w:rPr>
          <w:rFonts w:ascii="Cambria" w:hAnsi="Cambria"/>
          <w:b w:val="0"/>
          <w:i w:val="0"/>
        </w:rPr>
        <w:t xml:space="preserve"> = Consultant prepares · </w:t>
      </w:r>
      <w:r>
        <w:rPr>
          <w:rFonts w:ascii="Cambria" w:hAnsi="Cambria"/>
          <w:b/>
          <w:i w:val="0"/>
        </w:rPr>
        <w:t>B</w:t>
      </w:r>
      <w:r>
        <w:rPr>
          <w:rFonts w:ascii="Cambria" w:hAnsi="Cambria"/>
          <w:b w:val="0"/>
          <w:i w:val="0"/>
        </w:rPr>
        <w:t xml:space="preserve"> = Btakka provides · </w:t>
      </w:r>
      <w:r>
        <w:rPr>
          <w:rFonts w:ascii="Cambria" w:hAnsi="Cambria"/>
          <w:b/>
          <w:i w:val="0"/>
        </w:rPr>
        <w:t>C+B</w:t>
      </w:r>
      <w:r>
        <w:rPr>
          <w:rFonts w:ascii="Cambria" w:hAnsi="Cambria"/>
          <w:b w:val="0"/>
          <w:i w:val="0"/>
        </w:rPr>
        <w:t xml:space="preserve"> = jointly produced, Btakka supplies the raw input and the Consultant produces the investor-facing version.</w:t>
      </w:r>
    </w:p>
    <w:p>
      <w:pPr>
        <w:keepNext/>
        <w:spacing w:before="240" w:after="80"/>
      </w:pPr>
      <w:r>
        <w:rPr>
          <w:rFonts w:ascii="Calibri" w:hAnsi="Calibri"/>
          <w:b/>
          <w:i w:val="0"/>
          <w:color w:val="1C4A73"/>
          <w:sz w:val="23"/>
        </w:rPr>
        <w:t>A.1 Company &amp; Legal Documents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1</w:t>
            </w:r>
          </w:p>
        </w:tc>
        <w:tc>
          <w:tcPr>
            <w:tcW w:type="dxa" w:w="1928"/>
          </w:tcPr>
          <w:p>
            <w:pPr>
              <w:spacing w:after="40" w:before="40"/>
            </w:pPr>
            <w:r/>
            <w:r>
              <w:rPr>
                <w:rFonts w:ascii="Cambria" w:hAnsi="Cambria"/>
                <w:b w:val="0"/>
                <w:i w:val="0"/>
                <w:sz w:val="17"/>
              </w:rPr>
              <w:t>Certificate of Incorporation</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Btakka supplies current certificate; Consultant indexes and checks currency</w:t>
            </w:r>
          </w:p>
        </w:tc>
      </w:tr>
      <w:tr>
        <w:tc>
          <w:tcPr>
            <w:tcW w:type="dxa" w:w="1928"/>
            <w:shd w:val="clear" w:color="auto" w:fill="F2F5F8"/>
          </w:tcPr>
          <w:p>
            <w:pPr>
              <w:spacing w:after="40" w:before="40"/>
            </w:pPr>
            <w:r/>
            <w:r>
              <w:rPr>
                <w:rFonts w:ascii="Cambria" w:hAnsi="Cambria"/>
                <w:b w:val="0"/>
                <w:i w:val="0"/>
                <w:sz w:val="17"/>
              </w:rPr>
              <w:t>2</w:t>
            </w:r>
          </w:p>
        </w:tc>
        <w:tc>
          <w:tcPr>
            <w:tcW w:type="dxa" w:w="1928"/>
            <w:shd w:val="clear" w:color="auto" w:fill="F2F5F8"/>
          </w:tcPr>
          <w:p>
            <w:pPr>
              <w:spacing w:after="40" w:before="40"/>
            </w:pPr>
            <w:r/>
            <w:r>
              <w:rPr>
                <w:rFonts w:ascii="Cambria" w:hAnsi="Cambria"/>
                <w:b w:val="0"/>
                <w:i w:val="0"/>
                <w:sz w:val="17"/>
              </w:rPr>
              <w:t>Cap Table (current)</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ownership data and any prior instruments; Consultant builds the modelled cap table with founder equity, existing investors and post-money dilution</w:t>
            </w:r>
          </w:p>
        </w:tc>
      </w:tr>
      <w:tr>
        <w:tc>
          <w:tcPr>
            <w:tcW w:type="dxa" w:w="1928"/>
          </w:tcPr>
          <w:p>
            <w:pPr>
              <w:spacing w:after="40" w:before="40"/>
            </w:pPr>
            <w:r/>
            <w:r>
              <w:rPr>
                <w:rFonts w:ascii="Cambria" w:hAnsi="Cambria"/>
                <w:b w:val="0"/>
                <w:i w:val="0"/>
                <w:sz w:val="17"/>
              </w:rPr>
              <w:t>3</w:t>
            </w:r>
          </w:p>
        </w:tc>
        <w:tc>
          <w:tcPr>
            <w:tcW w:type="dxa" w:w="1928"/>
          </w:tcPr>
          <w:p>
            <w:pPr>
              <w:spacing w:after="40" w:before="40"/>
            </w:pPr>
            <w:r/>
            <w:r>
              <w:rPr>
                <w:rFonts w:ascii="Cambria" w:hAnsi="Cambria"/>
                <w:b w:val="0"/>
                <w:i w:val="0"/>
                <w:sz w:val="17"/>
              </w:rPr>
              <w:t>Founder Agreements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Btakka supplies, including vesting schedules; Consultant reviews for investor-readiness gaps and flags issues to counsel</w:t>
            </w:r>
          </w:p>
        </w:tc>
      </w:tr>
      <w:tr>
        <w:tc>
          <w:tcPr>
            <w:tcW w:type="dxa" w:w="1928"/>
            <w:shd w:val="clear" w:color="auto" w:fill="F2F5F8"/>
          </w:tcPr>
          <w:p>
            <w:pPr>
              <w:spacing w:after="40" w:before="40"/>
            </w:pPr>
            <w:r/>
            <w:r>
              <w:rPr>
                <w:rFonts w:ascii="Cambria" w:hAnsi="Cambria"/>
                <w:b w:val="0"/>
                <w:i w:val="0"/>
                <w:sz w:val="17"/>
              </w:rPr>
              <w:t>4</w:t>
            </w:r>
          </w:p>
        </w:tc>
        <w:tc>
          <w:tcPr>
            <w:tcW w:type="dxa" w:w="1928"/>
            <w:shd w:val="clear" w:color="auto" w:fill="F2F5F8"/>
          </w:tcPr>
          <w:p>
            <w:pPr>
              <w:spacing w:after="40" w:before="40"/>
            </w:pPr>
            <w:r/>
            <w:r>
              <w:rPr>
                <w:rFonts w:ascii="Cambria" w:hAnsi="Cambria"/>
                <w:b w:val="0"/>
                <w:i w:val="0"/>
                <w:sz w:val="17"/>
              </w:rPr>
              <w:t>Previous Funding Documents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Btakka supplies all SAFEs, convertible notes, friends-and-family or pre-seed instruments; Consultant reflects them in the cap table and flags conversion mechanics</w:t>
            </w:r>
          </w:p>
        </w:tc>
      </w:tr>
    </w:tbl>
    <w:p>
      <w:pPr>
        <w:spacing w:after="40"/>
      </w:pPr>
    </w:p>
    <w:p>
      <w:pPr>
        <w:keepNext/>
        <w:spacing w:before="240" w:after="80"/>
      </w:pPr>
      <w:r>
        <w:rPr>
          <w:rFonts w:ascii="Calibri" w:hAnsi="Calibri"/>
          <w:b/>
          <w:i w:val="0"/>
          <w:color w:val="1C4A73"/>
          <w:sz w:val="23"/>
        </w:rPr>
        <w:t>A.2 Financial Documents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5</w:t>
            </w:r>
          </w:p>
        </w:tc>
        <w:tc>
          <w:tcPr>
            <w:tcW w:type="dxa" w:w="1928"/>
          </w:tcPr>
          <w:p>
            <w:pPr>
              <w:spacing w:after="40" w:before="40"/>
            </w:pPr>
            <w:r/>
            <w:r>
              <w:rPr>
                <w:rFonts w:ascii="Cambria" w:hAnsi="Cambria"/>
                <w:b w:val="0"/>
                <w:i w:val="0"/>
                <w:sz w:val="17"/>
              </w:rPr>
              <w:t>Financial Statements (last 6–12 months)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records; Consultant structures management-prepared P&amp;L and cash flow to investor format</w:t>
            </w:r>
          </w:p>
        </w:tc>
      </w:tr>
      <w:tr>
        <w:tc>
          <w:tcPr>
            <w:tcW w:type="dxa" w:w="1928"/>
            <w:shd w:val="clear" w:color="auto" w:fill="F2F5F8"/>
          </w:tcPr>
          <w:p>
            <w:pPr>
              <w:spacing w:after="40" w:before="40"/>
            </w:pPr>
            <w:r/>
            <w:r>
              <w:rPr>
                <w:rFonts w:ascii="Cambria" w:hAnsi="Cambria"/>
                <w:b w:val="0"/>
                <w:i w:val="0"/>
                <w:sz w:val="17"/>
              </w:rPr>
              <w:t>6</w:t>
            </w:r>
          </w:p>
        </w:tc>
        <w:tc>
          <w:tcPr>
            <w:tcW w:type="dxa" w:w="1928"/>
            <w:shd w:val="clear" w:color="auto" w:fill="F2F5F8"/>
          </w:tcPr>
          <w:p>
            <w:pPr>
              <w:spacing w:after="40" w:before="40"/>
            </w:pPr>
            <w:r/>
            <w:r>
              <w:rPr>
                <w:rFonts w:ascii="Cambria" w:hAnsi="Cambria"/>
                <w:b w:val="0"/>
                <w:i w:val="0"/>
                <w:sz w:val="17"/>
              </w:rPr>
              <w:t>Financial Projections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Driver-based model, 3–5 years, monthly for years 1–2, focused on near-term milestones</w:t>
            </w:r>
          </w:p>
        </w:tc>
      </w:tr>
      <w:tr>
        <w:tc>
          <w:tcPr>
            <w:tcW w:type="dxa" w:w="1928"/>
          </w:tcPr>
          <w:p>
            <w:pPr>
              <w:spacing w:after="40" w:before="40"/>
            </w:pPr>
            <w:r/>
            <w:r>
              <w:rPr>
                <w:rFonts w:ascii="Cambria" w:hAnsi="Cambria"/>
                <w:b w:val="0"/>
                <w:i w:val="0"/>
                <w:sz w:val="17"/>
              </w:rPr>
              <w:t>7</w:t>
            </w:r>
          </w:p>
        </w:tc>
        <w:tc>
          <w:tcPr>
            <w:tcW w:type="dxa" w:w="1928"/>
          </w:tcPr>
          <w:p>
            <w:pPr>
              <w:spacing w:after="40" w:before="40"/>
            </w:pPr>
            <w:r/>
            <w:r>
              <w:rPr>
                <w:rFonts w:ascii="Cambria" w:hAnsi="Cambria"/>
                <w:b w:val="0"/>
                <w:i w:val="0"/>
                <w:sz w:val="17"/>
              </w:rPr>
              <w:t>Use of Funds Statement</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12–18 month runway with milestone mapping against the raise</w:t>
            </w:r>
          </w:p>
        </w:tc>
      </w:tr>
      <w:tr>
        <w:tc>
          <w:tcPr>
            <w:tcW w:type="dxa" w:w="1928"/>
            <w:shd w:val="clear" w:color="auto" w:fill="F2F5F8"/>
          </w:tcPr>
          <w:p>
            <w:pPr>
              <w:spacing w:after="40" w:before="40"/>
            </w:pPr>
            <w:r/>
            <w:r>
              <w:rPr>
                <w:rFonts w:ascii="Cambria" w:hAnsi="Cambria"/>
                <w:b w:val="0"/>
                <w:i w:val="0"/>
                <w:sz w:val="17"/>
              </w:rPr>
              <w:t>8</w:t>
            </w:r>
          </w:p>
        </w:tc>
        <w:tc>
          <w:tcPr>
            <w:tcW w:type="dxa" w:w="1928"/>
            <w:shd w:val="clear" w:color="auto" w:fill="F2F5F8"/>
          </w:tcPr>
          <w:p>
            <w:pPr>
              <w:spacing w:after="40" w:before="40"/>
            </w:pPr>
            <w:r/>
            <w:r>
              <w:rPr>
                <w:rFonts w:ascii="Cambria" w:hAnsi="Cambria"/>
                <w:b w:val="0"/>
                <w:i w:val="0"/>
                <w:sz w:val="17"/>
              </w:rPr>
              <w:t>Current Cash Position</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bank balances; Consultant produces burn rate and runway analysis</w:t>
            </w:r>
          </w:p>
        </w:tc>
      </w:tr>
      <w:tr>
        <w:tc>
          <w:tcPr>
            <w:tcW w:type="dxa" w:w="1928"/>
          </w:tcPr>
          <w:p>
            <w:pPr>
              <w:spacing w:after="40" w:before="40"/>
            </w:pPr>
            <w:r/>
            <w:r>
              <w:rPr>
                <w:rFonts w:ascii="Cambria" w:hAnsi="Cambria"/>
                <w:b w:val="0"/>
                <w:i w:val="0"/>
                <w:sz w:val="17"/>
              </w:rPr>
              <w:t>9</w:t>
            </w:r>
          </w:p>
        </w:tc>
        <w:tc>
          <w:tcPr>
            <w:tcW w:type="dxa" w:w="1928"/>
          </w:tcPr>
          <w:p>
            <w:pPr>
              <w:spacing w:after="40" w:before="40"/>
            </w:pPr>
            <w:r/>
            <w:r>
              <w:rPr>
                <w:rFonts w:ascii="Cambria" w:hAnsi="Cambria"/>
                <w:b w:val="0"/>
                <w:i w:val="0"/>
                <w:sz w:val="17"/>
              </w:rPr>
              <w:t>Revenue Model Overview</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Built from Btakka's business model across both product lines</w:t>
            </w:r>
          </w:p>
        </w:tc>
      </w:tr>
      <w:tr>
        <w:tc>
          <w:tcPr>
            <w:tcW w:type="dxa" w:w="1928"/>
            <w:shd w:val="clear" w:color="auto" w:fill="F2F5F8"/>
          </w:tcPr>
          <w:p>
            <w:pPr>
              <w:spacing w:after="40" w:before="40"/>
            </w:pPr>
            <w:r/>
            <w:r>
              <w:rPr>
                <w:rFonts w:ascii="Cambria" w:hAnsi="Cambria"/>
                <w:b w:val="0"/>
                <w:i w:val="0"/>
                <w:sz w:val="17"/>
              </w:rPr>
              <w:t>10</w:t>
            </w:r>
          </w:p>
        </w:tc>
        <w:tc>
          <w:tcPr>
            <w:tcW w:type="dxa" w:w="1928"/>
            <w:shd w:val="clear" w:color="auto" w:fill="F2F5F8"/>
          </w:tcPr>
          <w:p>
            <w:pPr>
              <w:spacing w:after="40" w:before="40"/>
            </w:pPr>
            <w:r/>
            <w:r>
              <w:rPr>
                <w:rFonts w:ascii="Cambria" w:hAnsi="Cambria"/>
                <w:b w:val="0"/>
                <w:i w:val="0"/>
                <w:sz w:val="17"/>
              </w:rPr>
              <w:t>Key Metrics Dashboard</w:t>
            </w:r>
          </w:p>
        </w:tc>
        <w:tc>
          <w:tcPr>
            <w:tcW w:type="dxa" w:w="1928"/>
            <w:shd w:val="clear" w:color="auto" w:fill="F2F5F8"/>
          </w:tcPr>
          <w:p>
            <w:pPr>
              <w:spacing w:after="40" w:before="40"/>
            </w:pPr>
            <w:r/>
            <w:r>
              <w:rPr>
                <w:rFonts w:ascii="Cambria" w:hAnsi="Cambria"/>
                <w:b w:val="0"/>
                <w:i w:val="0"/>
                <w:sz w:val="17"/>
              </w:rPr>
              <w:t>Medium</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Users, revenue, retention, engagement and unit economics, built from Btakka's data</w:t>
            </w:r>
          </w:p>
        </w:tc>
      </w:tr>
    </w:tbl>
    <w:p>
      <w:pPr>
        <w:spacing w:after="40"/>
      </w:pPr>
    </w:p>
    <w:p>
      <w:pPr>
        <w:keepNext/>
        <w:spacing w:before="240" w:after="80"/>
      </w:pPr>
      <w:r>
        <w:rPr>
          <w:rFonts w:ascii="Calibri" w:hAnsi="Calibri"/>
          <w:b/>
          <w:i w:val="0"/>
          <w:color w:val="1C4A73"/>
          <w:sz w:val="23"/>
        </w:rPr>
        <w:t>A.3 Product &amp; Technology</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11</w:t>
            </w:r>
          </w:p>
        </w:tc>
        <w:tc>
          <w:tcPr>
            <w:tcW w:type="dxa" w:w="1928"/>
          </w:tcPr>
          <w:p>
            <w:pPr>
              <w:spacing w:after="40" w:before="40"/>
            </w:pPr>
            <w:r/>
            <w:r>
              <w:rPr>
                <w:rFonts w:ascii="Cambria" w:hAnsi="Cambria"/>
                <w:b w:val="0"/>
                <w:i w:val="0"/>
                <w:sz w:val="17"/>
              </w:rPr>
              <w:t>Product Demo</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app screenshots and, if available, video; Consultant writes the demo script and walkthrough structure showing core functionality</w:t>
            </w:r>
          </w:p>
        </w:tc>
      </w:tr>
      <w:tr>
        <w:tc>
          <w:tcPr>
            <w:tcW w:type="dxa" w:w="1928"/>
            <w:shd w:val="clear" w:color="auto" w:fill="F2F5F8"/>
          </w:tcPr>
          <w:p>
            <w:pPr>
              <w:spacing w:after="40" w:before="40"/>
            </w:pPr>
            <w:r/>
            <w:r>
              <w:rPr>
                <w:rFonts w:ascii="Cambria" w:hAnsi="Cambria"/>
                <w:b w:val="0"/>
                <w:i w:val="0"/>
                <w:sz w:val="17"/>
              </w:rPr>
              <w:t>12</w:t>
            </w:r>
          </w:p>
        </w:tc>
        <w:tc>
          <w:tcPr>
            <w:tcW w:type="dxa" w:w="1928"/>
            <w:shd w:val="clear" w:color="auto" w:fill="F2F5F8"/>
          </w:tcPr>
          <w:p>
            <w:pPr>
              <w:spacing w:after="40" w:before="40"/>
            </w:pPr>
            <w:r/>
            <w:r>
              <w:rPr>
                <w:rFonts w:ascii="Cambria" w:hAnsi="Cambria"/>
                <w:b w:val="0"/>
                <w:i w:val="0"/>
                <w:sz w:val="17"/>
              </w:rPr>
              <w:t>Product Roadmap</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the roadmap; Consultant converts it to an investor-facing 6–12 month milestone view</w:t>
            </w:r>
          </w:p>
        </w:tc>
      </w:tr>
      <w:tr>
        <w:tc>
          <w:tcPr>
            <w:tcW w:type="dxa" w:w="1928"/>
          </w:tcPr>
          <w:p>
            <w:pPr>
              <w:spacing w:after="40" w:before="40"/>
            </w:pPr>
            <w:r/>
            <w:r>
              <w:rPr>
                <w:rFonts w:ascii="Cambria" w:hAnsi="Cambria"/>
                <w:b w:val="0"/>
                <w:i w:val="0"/>
                <w:sz w:val="17"/>
              </w:rPr>
              <w:t>13</w:t>
            </w:r>
          </w:p>
        </w:tc>
        <w:tc>
          <w:tcPr>
            <w:tcW w:type="dxa" w:w="1928"/>
          </w:tcPr>
          <w:p>
            <w:pPr>
              <w:spacing w:after="40" w:before="40"/>
            </w:pPr>
            <w:r/>
            <w:r>
              <w:rPr>
                <w:rFonts w:ascii="Cambria" w:hAnsi="Cambria"/>
                <w:b w:val="0"/>
                <w:i w:val="0"/>
                <w:sz w:val="17"/>
              </w:rPr>
              <w:t>User Feedback / Testimonials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Btakka supplies reviews, testimonials and early customer feedback; Consultant curates into a validation pack</w:t>
            </w:r>
          </w:p>
        </w:tc>
      </w:tr>
      <w:tr>
        <w:tc>
          <w:tcPr>
            <w:tcW w:type="dxa" w:w="1928"/>
            <w:shd w:val="clear" w:color="auto" w:fill="F2F5F8"/>
          </w:tcPr>
          <w:p>
            <w:pPr>
              <w:spacing w:after="40" w:before="40"/>
            </w:pPr>
            <w:r/>
            <w:r>
              <w:rPr>
                <w:rFonts w:ascii="Cambria" w:hAnsi="Cambria"/>
                <w:b w:val="0"/>
                <w:i w:val="0"/>
                <w:sz w:val="17"/>
              </w:rPr>
              <w:t>14</w:t>
            </w:r>
          </w:p>
        </w:tc>
        <w:tc>
          <w:tcPr>
            <w:tcW w:type="dxa" w:w="1928"/>
            <w:shd w:val="clear" w:color="auto" w:fill="F2F5F8"/>
          </w:tcPr>
          <w:p>
            <w:pPr>
              <w:spacing w:after="40" w:before="40"/>
            </w:pPr>
            <w:r/>
            <w:r>
              <w:rPr>
                <w:rFonts w:ascii="Cambria" w:hAnsi="Cambria"/>
                <w:b w:val="0"/>
                <w:i w:val="0"/>
                <w:sz w:val="17"/>
              </w:rPr>
              <w:t>Competitive Analysis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Competitor set, positioning map and differentiation thesis</w:t>
            </w:r>
          </w:p>
        </w:tc>
      </w:tr>
      <w:tr>
        <w:tc>
          <w:tcPr>
            <w:tcW w:type="dxa" w:w="1928"/>
          </w:tcPr>
          <w:p>
            <w:pPr>
              <w:spacing w:after="40" w:before="40"/>
            </w:pPr>
            <w:r/>
            <w:r>
              <w:rPr>
                <w:rFonts w:ascii="Cambria" w:hAnsi="Cambria"/>
                <w:b w:val="0"/>
                <w:i w:val="0"/>
                <w:sz w:val="17"/>
              </w:rPr>
              <w:t>15</w:t>
            </w:r>
          </w:p>
        </w:tc>
        <w:tc>
          <w:tcPr>
            <w:tcW w:type="dxa" w:w="1928"/>
          </w:tcPr>
          <w:p>
            <w:pPr>
              <w:spacing w:after="40" w:before="40"/>
            </w:pPr>
            <w:r/>
            <w:r>
              <w:rPr>
                <w:rFonts w:ascii="Cambria" w:hAnsi="Cambria"/>
                <w:b w:val="0"/>
                <w:i w:val="0"/>
                <w:sz w:val="17"/>
              </w:rPr>
              <w:t>Technical Overview</w:t>
            </w:r>
          </w:p>
        </w:tc>
        <w:tc>
          <w:tcPr>
            <w:tcW w:type="dxa" w:w="1928"/>
          </w:tcPr>
          <w:p>
            <w:pPr>
              <w:spacing w:after="40" w:before="40"/>
            </w:pPr>
            <w:r/>
            <w:r>
              <w:rPr>
                <w:rFonts w:ascii="Cambria" w:hAnsi="Cambria"/>
                <w:b w:val="0"/>
                <w:i w:val="0"/>
                <w:sz w:val="17"/>
              </w:rPr>
              <w:t>Medium</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Btakka's technical lead briefs; Consultant writes the high-level stack and architecture summary</w:t>
            </w:r>
          </w:p>
        </w:tc>
      </w:tr>
    </w:tbl>
    <w:p>
      <w:pPr>
        <w:spacing w:after="40"/>
      </w:pPr>
    </w:p>
    <w:p>
      <w:pPr>
        <w:keepNext/>
        <w:spacing w:before="240" w:after="80"/>
      </w:pPr>
      <w:r>
        <w:rPr>
          <w:rFonts w:ascii="Calibri" w:hAnsi="Calibri"/>
          <w:b/>
          <w:i w:val="0"/>
          <w:color w:val="1C4A73"/>
          <w:sz w:val="23"/>
        </w:rPr>
        <w:t>A.4 Market &amp; Traction</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16</w:t>
            </w:r>
          </w:p>
        </w:tc>
        <w:tc>
          <w:tcPr>
            <w:tcW w:type="dxa" w:w="1928"/>
          </w:tcPr>
          <w:p>
            <w:pPr>
              <w:spacing w:after="40" w:before="40"/>
            </w:pPr>
            <w:r/>
            <w:r>
              <w:rPr>
                <w:rFonts w:ascii="Cambria" w:hAnsi="Cambria"/>
                <w:b w:val="0"/>
                <w:i w:val="0"/>
                <w:sz w:val="17"/>
              </w:rPr>
              <w:t>Market Size Analysis (TAM / SAM / SOM)</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Sourced, defensible methodology focused on the addressable market</w:t>
            </w:r>
          </w:p>
        </w:tc>
      </w:tr>
      <w:tr>
        <w:tc>
          <w:tcPr>
            <w:tcW w:type="dxa" w:w="1928"/>
            <w:shd w:val="clear" w:color="auto" w:fill="F2F5F8"/>
          </w:tcPr>
          <w:p>
            <w:pPr>
              <w:spacing w:after="40" w:before="40"/>
            </w:pPr>
            <w:r/>
            <w:r>
              <w:rPr>
                <w:rFonts w:ascii="Cambria" w:hAnsi="Cambria"/>
                <w:b w:val="0"/>
                <w:i w:val="0"/>
                <w:sz w:val="17"/>
              </w:rPr>
              <w:t>17</w:t>
            </w:r>
          </w:p>
        </w:tc>
        <w:tc>
          <w:tcPr>
            <w:tcW w:type="dxa" w:w="1928"/>
            <w:shd w:val="clear" w:color="auto" w:fill="F2F5F8"/>
          </w:tcPr>
          <w:p>
            <w:pPr>
              <w:spacing w:after="40" w:before="40"/>
            </w:pPr>
            <w:r/>
            <w:r>
              <w:rPr>
                <w:rFonts w:ascii="Cambria" w:hAnsi="Cambria"/>
                <w:b w:val="0"/>
                <w:i w:val="0"/>
                <w:sz w:val="17"/>
              </w:rPr>
              <w:t>Early Traction Metrics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raw data; Consultant builds the growth and momentum narrative</w:t>
            </w:r>
          </w:p>
        </w:tc>
      </w:tr>
      <w:tr>
        <w:tc>
          <w:tcPr>
            <w:tcW w:type="dxa" w:w="1928"/>
          </w:tcPr>
          <w:p>
            <w:pPr>
              <w:spacing w:after="40" w:before="40"/>
            </w:pPr>
            <w:r/>
            <w:r>
              <w:rPr>
                <w:rFonts w:ascii="Cambria" w:hAnsi="Cambria"/>
                <w:b w:val="0"/>
                <w:i w:val="0"/>
                <w:sz w:val="17"/>
              </w:rPr>
              <w:t>18</w:t>
            </w:r>
          </w:p>
        </w:tc>
        <w:tc>
          <w:tcPr>
            <w:tcW w:type="dxa" w:w="1928"/>
          </w:tcPr>
          <w:p>
            <w:pPr>
              <w:spacing w:after="40" w:before="40"/>
            </w:pPr>
            <w:r/>
            <w:r>
              <w:rPr>
                <w:rFonts w:ascii="Cambria" w:hAnsi="Cambria"/>
                <w:b w:val="0"/>
                <w:i w:val="0"/>
                <w:sz w:val="17"/>
              </w:rPr>
              <w:t>Customer Development</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interviews and validation evidence; Consultant structures the discovery evidence pack</w:t>
            </w:r>
          </w:p>
        </w:tc>
      </w:tr>
      <w:tr>
        <w:tc>
          <w:tcPr>
            <w:tcW w:type="dxa" w:w="1928"/>
            <w:shd w:val="clear" w:color="auto" w:fill="F2F5F8"/>
          </w:tcPr>
          <w:p>
            <w:pPr>
              <w:spacing w:after="40" w:before="40"/>
            </w:pPr>
            <w:r/>
            <w:r>
              <w:rPr>
                <w:rFonts w:ascii="Cambria" w:hAnsi="Cambria"/>
                <w:b w:val="0"/>
                <w:i w:val="0"/>
                <w:sz w:val="17"/>
              </w:rPr>
              <w:t>19</w:t>
            </w:r>
          </w:p>
        </w:tc>
        <w:tc>
          <w:tcPr>
            <w:tcW w:type="dxa" w:w="1928"/>
            <w:shd w:val="clear" w:color="auto" w:fill="F2F5F8"/>
          </w:tcPr>
          <w:p>
            <w:pPr>
              <w:spacing w:after="40" w:before="40"/>
            </w:pPr>
            <w:r/>
            <w:r>
              <w:rPr>
                <w:rFonts w:ascii="Cambria" w:hAnsi="Cambria"/>
                <w:b w:val="0"/>
                <w:i w:val="0"/>
                <w:sz w:val="17"/>
              </w:rPr>
              <w:t>Go-to-Market Strategy</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Customer acquisition plan across both product lines</w:t>
            </w:r>
          </w:p>
        </w:tc>
      </w:tr>
      <w:tr>
        <w:tc>
          <w:tcPr>
            <w:tcW w:type="dxa" w:w="1928"/>
          </w:tcPr>
          <w:p>
            <w:pPr>
              <w:spacing w:after="40" w:before="40"/>
            </w:pPr>
            <w:r/>
            <w:r>
              <w:rPr>
                <w:rFonts w:ascii="Cambria" w:hAnsi="Cambria"/>
                <w:b w:val="0"/>
                <w:i w:val="0"/>
                <w:sz w:val="17"/>
              </w:rPr>
              <w:t>20</w:t>
            </w:r>
          </w:p>
        </w:tc>
        <w:tc>
          <w:tcPr>
            <w:tcW w:type="dxa" w:w="1928"/>
          </w:tcPr>
          <w:p>
            <w:pPr>
              <w:spacing w:after="40" w:before="40"/>
            </w:pPr>
            <w:r/>
            <w:r>
              <w:rPr>
                <w:rFonts w:ascii="Cambria" w:hAnsi="Cambria"/>
                <w:b w:val="0"/>
                <w:i w:val="0"/>
                <w:sz w:val="17"/>
              </w:rPr>
              <w:t>Early Customer List</w:t>
            </w:r>
          </w:p>
        </w:tc>
        <w:tc>
          <w:tcPr>
            <w:tcW w:type="dxa" w:w="1928"/>
          </w:tcPr>
          <w:p>
            <w:pPr>
              <w:spacing w:after="40" w:before="40"/>
            </w:pPr>
            <w:r/>
            <w:r>
              <w:rPr>
                <w:rFonts w:ascii="Cambria" w:hAnsi="Cambria"/>
                <w:b w:val="0"/>
                <w:i w:val="0"/>
                <w:sz w:val="17"/>
              </w:rPr>
              <w:t xml:space="preserve">Medium </w:t>
            </w:r>
            <w:r>
              <w:rPr>
                <w:rFonts w:ascii="Cambria" w:hAnsi="Cambria"/>
                <w:b w:val="0"/>
                <w:i/>
                <w:sz w:val="17"/>
              </w:rPr>
              <w:t>(optional)</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Pilot customers or early adopters, if applicable</w:t>
            </w:r>
          </w:p>
        </w:tc>
      </w:tr>
      <w:tr>
        <w:tc>
          <w:tcPr>
            <w:tcW w:type="dxa" w:w="1928"/>
            <w:shd w:val="clear" w:color="auto" w:fill="F2F5F8"/>
          </w:tcPr>
          <w:p>
            <w:pPr>
              <w:spacing w:after="40" w:before="40"/>
            </w:pPr>
            <w:r/>
            <w:r>
              <w:rPr>
                <w:rFonts w:ascii="Cambria" w:hAnsi="Cambria"/>
                <w:b w:val="0"/>
                <w:i w:val="0"/>
                <w:sz w:val="17"/>
              </w:rPr>
              <w:t>21</w:t>
            </w:r>
          </w:p>
        </w:tc>
        <w:tc>
          <w:tcPr>
            <w:tcW w:type="dxa" w:w="1928"/>
            <w:shd w:val="clear" w:color="auto" w:fill="F2F5F8"/>
          </w:tcPr>
          <w:p>
            <w:pPr>
              <w:spacing w:after="40" w:before="40"/>
            </w:pPr>
            <w:r/>
            <w:r>
              <w:rPr>
                <w:rFonts w:ascii="Cambria" w:hAnsi="Cambria"/>
                <w:b w:val="0"/>
                <w:i w:val="0"/>
                <w:sz w:val="17"/>
              </w:rPr>
              <w:t>Partnership Opportunities</w:t>
            </w:r>
          </w:p>
        </w:tc>
        <w:tc>
          <w:tcPr>
            <w:tcW w:type="dxa" w:w="1928"/>
            <w:shd w:val="clear" w:color="auto" w:fill="F2F5F8"/>
          </w:tcPr>
          <w:p>
            <w:pPr>
              <w:spacing w:after="40" w:before="40"/>
            </w:pPr>
            <w:r/>
            <w:r>
              <w:rPr>
                <w:rFonts w:ascii="Cambria" w:hAnsi="Cambria"/>
                <w:b w:val="0"/>
                <w:i w:val="0"/>
                <w:sz w:val="17"/>
              </w:rPr>
              <w:t xml:space="preserve">Low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Strategic partnerships, if relevant to the strategy</w:t>
            </w:r>
          </w:p>
        </w:tc>
      </w:tr>
    </w:tbl>
    <w:p>
      <w:pPr>
        <w:spacing w:after="40"/>
      </w:pPr>
    </w:p>
    <w:p>
      <w:pPr>
        <w:keepNext/>
        <w:spacing w:before="240" w:after="80"/>
      </w:pPr>
      <w:r>
        <w:rPr>
          <w:rFonts w:ascii="Calibri" w:hAnsi="Calibri"/>
          <w:b/>
          <w:i w:val="0"/>
          <w:color w:val="1C4A73"/>
          <w:sz w:val="23"/>
        </w:rPr>
        <w:t>A.5 Team &amp; Founders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22</w:t>
            </w:r>
          </w:p>
        </w:tc>
        <w:tc>
          <w:tcPr>
            <w:tcW w:type="dxa" w:w="1928"/>
          </w:tcPr>
          <w:p>
            <w:pPr>
              <w:spacing w:after="40" w:before="40"/>
            </w:pPr>
            <w:r/>
            <w:r>
              <w:rPr>
                <w:rFonts w:ascii="Cambria" w:hAnsi="Cambria"/>
                <w:b w:val="0"/>
                <w:i w:val="0"/>
                <w:sz w:val="17"/>
              </w:rPr>
              <w:t>Founder Bios / Resumes</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Btakka supplies CVs and photographs; Consultant writes investor-standard bios showing relevant experience</w:t>
            </w:r>
          </w:p>
        </w:tc>
      </w:tr>
      <w:tr>
        <w:tc>
          <w:tcPr>
            <w:tcW w:type="dxa" w:w="1928"/>
            <w:shd w:val="clear" w:color="auto" w:fill="F2F5F8"/>
          </w:tcPr>
          <w:p>
            <w:pPr>
              <w:spacing w:after="40" w:before="40"/>
            </w:pPr>
            <w:r/>
            <w:r>
              <w:rPr>
                <w:rFonts w:ascii="Cambria" w:hAnsi="Cambria"/>
                <w:b w:val="0"/>
                <w:i w:val="0"/>
                <w:sz w:val="17"/>
              </w:rPr>
              <w:t>23</w:t>
            </w:r>
          </w:p>
        </w:tc>
        <w:tc>
          <w:tcPr>
            <w:tcW w:type="dxa" w:w="1928"/>
            <w:shd w:val="clear" w:color="auto" w:fill="F2F5F8"/>
          </w:tcPr>
          <w:p>
            <w:pPr>
              <w:spacing w:after="40" w:before="40"/>
            </w:pPr>
            <w:r/>
            <w:r>
              <w:rPr>
                <w:rFonts w:ascii="Cambria" w:hAnsi="Cambria"/>
                <w:b w:val="0"/>
                <w:i w:val="0"/>
                <w:sz w:val="17"/>
              </w:rPr>
              <w:t>Key Hire Plan</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C+B</w:t>
            </w:r>
          </w:p>
        </w:tc>
        <w:tc>
          <w:tcPr>
            <w:tcW w:type="dxa" w:w="1928"/>
            <w:shd w:val="clear" w:color="auto" w:fill="F2F5F8"/>
          </w:tcPr>
          <w:p>
            <w:pPr>
              <w:spacing w:after="40" w:before="40"/>
            </w:pPr>
            <w:r/>
            <w:r>
              <w:rPr>
                <w:rFonts w:ascii="Cambria" w:hAnsi="Cambria"/>
                <w:b w:val="0"/>
                <w:i w:val="0"/>
                <w:sz w:val="17"/>
              </w:rPr>
              <w:t>Btakka supplies the HR plan; Consultant converts to a critical-roles hiring plan and costs it into the financial model</w:t>
            </w:r>
          </w:p>
        </w:tc>
      </w:tr>
      <w:tr>
        <w:tc>
          <w:tcPr>
            <w:tcW w:type="dxa" w:w="1928"/>
          </w:tcPr>
          <w:p>
            <w:pPr>
              <w:spacing w:after="40" w:before="40"/>
            </w:pPr>
            <w:r/>
            <w:r>
              <w:rPr>
                <w:rFonts w:ascii="Cambria" w:hAnsi="Cambria"/>
                <w:b w:val="0"/>
                <w:i w:val="0"/>
                <w:sz w:val="17"/>
              </w:rPr>
              <w:t>24</w:t>
            </w:r>
          </w:p>
        </w:tc>
        <w:tc>
          <w:tcPr>
            <w:tcW w:type="dxa" w:w="1928"/>
          </w:tcPr>
          <w:p>
            <w:pPr>
              <w:spacing w:after="40" w:before="40"/>
            </w:pPr>
            <w:r/>
            <w:r>
              <w:rPr>
                <w:rFonts w:ascii="Cambria" w:hAnsi="Cambria"/>
                <w:b w:val="0"/>
                <w:i w:val="0"/>
                <w:sz w:val="17"/>
              </w:rPr>
              <w:t>Organizational Chart</w:t>
            </w:r>
          </w:p>
        </w:tc>
        <w:tc>
          <w:tcPr>
            <w:tcW w:type="dxa" w:w="1928"/>
          </w:tcPr>
          <w:p>
            <w:pPr>
              <w:spacing w:after="40" w:before="40"/>
            </w:pPr>
            <w:r/>
            <w:r>
              <w:rPr>
                <w:rFonts w:ascii="Cambria" w:hAnsi="Cambria"/>
                <w:b w:val="0"/>
                <w:i w:val="0"/>
                <w:sz w:val="17"/>
              </w:rPr>
              <w:t>Medium</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Current structure plus post-raise structure</w:t>
            </w:r>
          </w:p>
        </w:tc>
      </w:tr>
      <w:tr>
        <w:tc>
          <w:tcPr>
            <w:tcW w:type="dxa" w:w="1928"/>
            <w:shd w:val="clear" w:color="auto" w:fill="F2F5F8"/>
          </w:tcPr>
          <w:p>
            <w:pPr>
              <w:spacing w:after="40" w:before="40"/>
            </w:pPr>
            <w:r/>
            <w:r>
              <w:rPr>
                <w:rFonts w:ascii="Cambria" w:hAnsi="Cambria"/>
                <w:b w:val="0"/>
                <w:i w:val="0"/>
                <w:sz w:val="17"/>
              </w:rPr>
              <w:t>25</w:t>
            </w:r>
          </w:p>
        </w:tc>
        <w:tc>
          <w:tcPr>
            <w:tcW w:type="dxa" w:w="1928"/>
            <w:shd w:val="clear" w:color="auto" w:fill="F2F5F8"/>
          </w:tcPr>
          <w:p>
            <w:pPr>
              <w:spacing w:after="40" w:before="40"/>
            </w:pPr>
            <w:r/>
            <w:r>
              <w:rPr>
                <w:rFonts w:ascii="Cambria" w:hAnsi="Cambria"/>
                <w:b w:val="0"/>
                <w:i w:val="0"/>
                <w:sz w:val="17"/>
              </w:rPr>
              <w:t>Advisor List</w:t>
            </w:r>
          </w:p>
        </w:tc>
        <w:tc>
          <w:tcPr>
            <w:tcW w:type="dxa" w:w="1928"/>
            <w:shd w:val="clear" w:color="auto" w:fill="F2F5F8"/>
          </w:tcPr>
          <w:p>
            <w:pPr>
              <w:spacing w:after="40" w:before="40"/>
            </w:pPr>
            <w:r/>
            <w:r>
              <w:rPr>
                <w:rFonts w:ascii="Cambria" w:hAnsi="Cambria"/>
                <w:b w:val="0"/>
                <w:i w:val="0"/>
                <w:sz w:val="17"/>
              </w:rPr>
              <w:t xml:space="preserve">Medium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Current advisors and backgrounds, if any</w:t>
            </w:r>
          </w:p>
        </w:tc>
      </w:tr>
    </w:tbl>
    <w:p>
      <w:pPr>
        <w:spacing w:after="40"/>
      </w:pPr>
    </w:p>
    <w:p>
      <w:pPr>
        <w:keepNext/>
        <w:spacing w:before="240" w:after="80"/>
      </w:pPr>
      <w:r>
        <w:rPr>
          <w:rFonts w:ascii="Calibri" w:hAnsi="Calibri"/>
          <w:b/>
          <w:i w:val="0"/>
          <w:color w:val="1C4A73"/>
          <w:sz w:val="23"/>
        </w:rPr>
        <w:t>A.6 Legal &amp; Compliance</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26</w:t>
            </w:r>
          </w:p>
        </w:tc>
        <w:tc>
          <w:tcPr>
            <w:tcW w:type="dxa" w:w="1928"/>
          </w:tcPr>
          <w:p>
            <w:pPr>
              <w:spacing w:after="40" w:before="40"/>
            </w:pPr>
            <w:r/>
            <w:r>
              <w:rPr>
                <w:rFonts w:ascii="Cambria" w:hAnsi="Cambria"/>
                <w:b w:val="0"/>
                <w:i w:val="0"/>
                <w:sz w:val="17"/>
              </w:rPr>
              <w:t>Legal Issues Disclosure</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Full transparency required. Btakka discloses any legal matter, dispute or contingent liability; Consultant formats the disclosure</w:t>
            </w:r>
          </w:p>
        </w:tc>
      </w:tr>
      <w:tr>
        <w:tc>
          <w:tcPr>
            <w:tcW w:type="dxa" w:w="1928"/>
            <w:shd w:val="clear" w:color="auto" w:fill="F2F5F8"/>
          </w:tcPr>
          <w:p>
            <w:pPr>
              <w:spacing w:after="40" w:before="40"/>
            </w:pPr>
            <w:r/>
            <w:r>
              <w:rPr>
                <w:rFonts w:ascii="Cambria" w:hAnsi="Cambria"/>
                <w:b w:val="0"/>
                <w:i w:val="0"/>
                <w:sz w:val="17"/>
              </w:rPr>
              <w:t>27</w:t>
            </w:r>
          </w:p>
        </w:tc>
        <w:tc>
          <w:tcPr>
            <w:tcW w:type="dxa" w:w="1928"/>
            <w:shd w:val="clear" w:color="auto" w:fill="F2F5F8"/>
          </w:tcPr>
          <w:p>
            <w:pPr>
              <w:spacing w:after="40" w:before="40"/>
            </w:pPr>
            <w:r/>
            <w:r>
              <w:rPr>
                <w:rFonts w:ascii="Cambria" w:hAnsi="Cambria"/>
                <w:b w:val="0"/>
                <w:i w:val="0"/>
                <w:sz w:val="17"/>
              </w:rPr>
              <w:t>Business Registration</w:t>
            </w:r>
          </w:p>
        </w:tc>
        <w:tc>
          <w:tcPr>
            <w:tcW w:type="dxa" w:w="1928"/>
            <w:shd w:val="clear" w:color="auto" w:fill="F2F5F8"/>
          </w:tcPr>
          <w:p>
            <w:pPr>
              <w:spacing w:after="40" w:before="40"/>
            </w:pPr>
            <w:r/>
            <w:r>
              <w:rPr>
                <w:rFonts w:ascii="Cambria" w:hAnsi="Cambria"/>
                <w:b w:val="0"/>
                <w:i w:val="0"/>
                <w:sz w:val="17"/>
              </w:rPr>
              <w:t>Medium</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Business licence and registration documents</w:t>
            </w:r>
          </w:p>
        </w:tc>
      </w:tr>
    </w:tbl>
    <w:p>
      <w:pPr>
        <w:spacing w:after="40"/>
      </w:pPr>
    </w:p>
    <w:p>
      <w:pPr>
        <w:keepNext/>
        <w:spacing w:before="240" w:after="80"/>
      </w:pPr>
      <w:r>
        <w:rPr>
          <w:rFonts w:ascii="Calibri" w:hAnsi="Calibri"/>
          <w:b/>
          <w:i w:val="0"/>
          <w:color w:val="1C4A73"/>
          <w:sz w:val="23"/>
        </w:rPr>
        <w:t>A.7 Investor Materials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28</w:t>
            </w:r>
          </w:p>
        </w:tc>
        <w:tc>
          <w:tcPr>
            <w:tcW w:type="dxa" w:w="1928"/>
          </w:tcPr>
          <w:p>
            <w:pPr>
              <w:spacing w:after="40" w:before="40"/>
            </w:pPr>
            <w:r/>
            <w:r>
              <w:rPr>
                <w:rFonts w:ascii="Cambria" w:hAnsi="Cambria"/>
                <w:b w:val="0"/>
                <w:i w:val="0"/>
                <w:sz w:val="17"/>
              </w:rPr>
              <w:t>Pitch Deck</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10–15 slides: problem, solution, market, product, traction, business model, competition, team, financials, the ask. Designed to Btakka's brand guidelines</w:t>
            </w:r>
          </w:p>
        </w:tc>
      </w:tr>
      <w:tr>
        <w:tc>
          <w:tcPr>
            <w:tcW w:type="dxa" w:w="1928"/>
            <w:shd w:val="clear" w:color="auto" w:fill="F2F5F8"/>
          </w:tcPr>
          <w:p>
            <w:pPr>
              <w:spacing w:after="40" w:before="40"/>
            </w:pPr>
            <w:r/>
            <w:r>
              <w:rPr>
                <w:rFonts w:ascii="Cambria" w:hAnsi="Cambria"/>
                <w:b w:val="0"/>
                <w:i w:val="0"/>
                <w:sz w:val="17"/>
              </w:rPr>
              <w:t>29</w:t>
            </w:r>
          </w:p>
        </w:tc>
        <w:tc>
          <w:tcPr>
            <w:tcW w:type="dxa" w:w="1928"/>
            <w:shd w:val="clear" w:color="auto" w:fill="F2F5F8"/>
          </w:tcPr>
          <w:p>
            <w:pPr>
              <w:spacing w:after="40" w:before="40"/>
            </w:pPr>
            <w:r/>
            <w:r>
              <w:rPr>
                <w:rFonts w:ascii="Cambria" w:hAnsi="Cambria"/>
                <w:b w:val="0"/>
                <w:i w:val="0"/>
                <w:sz w:val="17"/>
              </w:rPr>
              <w:t>Business Plan (all parts)</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Full narrative business plan carrying the investment thesis</w:t>
            </w:r>
          </w:p>
        </w:tc>
      </w:tr>
      <w:tr>
        <w:tc>
          <w:tcPr>
            <w:tcW w:type="dxa" w:w="1928"/>
          </w:tcPr>
          <w:p>
            <w:pPr>
              <w:spacing w:after="40" w:before="40"/>
            </w:pPr>
            <w:r/>
            <w:r>
              <w:rPr>
                <w:rFonts w:ascii="Cambria" w:hAnsi="Cambria"/>
                <w:b w:val="0"/>
                <w:i w:val="0"/>
                <w:sz w:val="17"/>
              </w:rPr>
              <w:t>30</w:t>
            </w:r>
          </w:p>
        </w:tc>
        <w:tc>
          <w:tcPr>
            <w:tcW w:type="dxa" w:w="1928"/>
          </w:tcPr>
          <w:p>
            <w:pPr>
              <w:spacing w:after="40" w:before="40"/>
            </w:pPr>
            <w:r/>
            <w:r>
              <w:rPr>
                <w:rFonts w:ascii="Cambria" w:hAnsi="Cambria"/>
                <w:b w:val="0"/>
                <w:i w:val="0"/>
                <w:sz w:val="17"/>
              </w:rPr>
              <w:t>Teaser</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One-page designed summary for first-touch outreach</w:t>
            </w:r>
          </w:p>
        </w:tc>
      </w:tr>
      <w:tr>
        <w:tc>
          <w:tcPr>
            <w:tcW w:type="dxa" w:w="1928"/>
            <w:shd w:val="clear" w:color="auto" w:fill="F2F5F8"/>
          </w:tcPr>
          <w:p>
            <w:pPr>
              <w:spacing w:after="40" w:before="40"/>
            </w:pPr>
            <w:r/>
            <w:r>
              <w:rPr>
                <w:rFonts w:ascii="Cambria" w:hAnsi="Cambria"/>
                <w:b w:val="0"/>
                <w:i w:val="0"/>
                <w:sz w:val="17"/>
              </w:rPr>
              <w:t>31</w:t>
            </w:r>
          </w:p>
        </w:tc>
        <w:tc>
          <w:tcPr>
            <w:tcW w:type="dxa" w:w="1928"/>
            <w:shd w:val="clear" w:color="auto" w:fill="F2F5F8"/>
          </w:tcPr>
          <w:p>
            <w:pPr>
              <w:spacing w:after="40" w:before="40"/>
            </w:pPr>
            <w:r/>
            <w:r>
              <w:rPr>
                <w:rFonts w:ascii="Cambria" w:hAnsi="Cambria"/>
                <w:b w:val="0"/>
                <w:i w:val="0"/>
                <w:sz w:val="17"/>
              </w:rPr>
              <w:t>Term Sheet Template</w:t>
            </w:r>
          </w:p>
        </w:tc>
        <w:tc>
          <w:tcPr>
            <w:tcW w:type="dxa" w:w="1928"/>
            <w:shd w:val="clear" w:color="auto" w:fill="F2F5F8"/>
          </w:tcPr>
          <w:p>
            <w:pPr>
              <w:spacing w:after="40" w:before="40"/>
            </w:pPr>
            <w:r/>
            <w:r>
              <w:rPr>
                <w:rFonts w:ascii="Cambria" w:hAnsi="Cambria"/>
                <w:b w:val="0"/>
                <w:i w:val="0"/>
                <w:sz w:val="17"/>
              </w:rPr>
              <w:t>High</w:t>
            </w:r>
          </w:p>
        </w:tc>
        <w:tc>
          <w:tcPr>
            <w:tcW w:type="dxa" w:w="1928"/>
            <w:shd w:val="clear" w:color="auto" w:fill="F2F5F8"/>
          </w:tcPr>
          <w:p>
            <w:pPr>
              <w:spacing w:after="40" w:before="40"/>
            </w:pPr>
            <w:r/>
            <w:r>
              <w:rPr>
                <w:rFonts w:ascii="Cambria" w:hAnsi="Cambria"/>
                <w:b/>
                <w:i w:val="0"/>
                <w:sz w:val="17"/>
              </w:rPr>
              <w:t>C</w:t>
            </w:r>
          </w:p>
        </w:tc>
        <w:tc>
          <w:tcPr>
            <w:tcW w:type="dxa" w:w="1928"/>
            <w:shd w:val="clear" w:color="auto" w:fill="F2F5F8"/>
          </w:tcPr>
          <w:p>
            <w:pPr>
              <w:spacing w:after="40" w:before="40"/>
            </w:pPr>
            <w:r/>
            <w:r>
              <w:rPr>
                <w:rFonts w:ascii="Cambria" w:hAnsi="Cambria"/>
                <w:b w:val="0"/>
                <w:i w:val="0"/>
                <w:sz w:val="17"/>
              </w:rPr>
              <w:t>Proposed terms reflecting Btakka's valuation expectations</w:t>
            </w:r>
          </w:p>
        </w:tc>
      </w:tr>
      <w:tr>
        <w:tc>
          <w:tcPr>
            <w:tcW w:type="dxa" w:w="1928"/>
          </w:tcPr>
          <w:p>
            <w:pPr>
              <w:spacing w:after="40" w:before="40"/>
            </w:pPr>
            <w:r/>
            <w:r>
              <w:rPr>
                <w:rFonts w:ascii="Cambria" w:hAnsi="Cambria"/>
                <w:b w:val="0"/>
                <w:i w:val="0"/>
                <w:sz w:val="17"/>
              </w:rPr>
              <w:t>32</w:t>
            </w:r>
          </w:p>
        </w:tc>
        <w:tc>
          <w:tcPr>
            <w:tcW w:type="dxa" w:w="1928"/>
          </w:tcPr>
          <w:p>
            <w:pPr>
              <w:spacing w:after="40" w:before="40"/>
            </w:pPr>
            <w:r/>
            <w:r>
              <w:rPr>
                <w:rFonts w:ascii="Cambria" w:hAnsi="Cambria"/>
                <w:b w:val="0"/>
                <w:i w:val="0"/>
                <w:sz w:val="17"/>
              </w:rPr>
              <w:t>Valuation</w:t>
            </w:r>
          </w:p>
        </w:tc>
        <w:tc>
          <w:tcPr>
            <w:tcW w:type="dxa" w:w="1928"/>
          </w:tcPr>
          <w:p>
            <w:pPr>
              <w:spacing w:after="40" w:before="40"/>
            </w:pPr>
            <w:r/>
            <w:r>
              <w:rPr>
                <w:rFonts w:ascii="Cambria" w:hAnsi="Cambria"/>
                <w:b w:val="0"/>
                <w:i w:val="0"/>
                <w:sz w:val="17"/>
              </w:rPr>
              <w:t>High</w:t>
            </w:r>
          </w:p>
        </w:tc>
        <w:tc>
          <w:tcPr>
            <w:tcW w:type="dxa" w:w="1928"/>
          </w:tcPr>
          <w:p>
            <w:pPr>
              <w:spacing w:after="40" w:before="40"/>
            </w:pPr>
            <w:r/>
            <w:r>
              <w:rPr>
                <w:rFonts w:ascii="Cambria" w:hAnsi="Cambria"/>
                <w:b/>
                <w:i w:val="0"/>
                <w:sz w:val="17"/>
              </w:rPr>
              <w:t>C</w:t>
            </w:r>
          </w:p>
        </w:tc>
        <w:tc>
          <w:tcPr>
            <w:tcW w:type="dxa" w:w="1928"/>
          </w:tcPr>
          <w:p>
            <w:pPr>
              <w:spacing w:after="40" w:before="40"/>
            </w:pPr>
            <w:r/>
            <w:r>
              <w:rPr>
                <w:rFonts w:ascii="Cambria" w:hAnsi="Cambria"/>
                <w:b w:val="0"/>
                <w:i w:val="0"/>
                <w:sz w:val="17"/>
              </w:rPr>
              <w:t>Pre-seed valuation with method, comparables and defensible range</w:t>
            </w:r>
          </w:p>
        </w:tc>
      </w:tr>
      <w:tr>
        <w:tc>
          <w:tcPr>
            <w:tcW w:type="dxa" w:w="1928"/>
            <w:shd w:val="clear" w:color="auto" w:fill="F2F5F8"/>
          </w:tcPr>
          <w:p>
            <w:pPr>
              <w:spacing w:after="40" w:before="40"/>
            </w:pPr>
            <w:r/>
            <w:r>
              <w:rPr>
                <w:rFonts w:ascii="Cambria" w:hAnsi="Cambria"/>
                <w:b w:val="0"/>
                <w:i w:val="0"/>
                <w:sz w:val="17"/>
              </w:rPr>
              <w:t>33</w:t>
            </w:r>
          </w:p>
        </w:tc>
        <w:tc>
          <w:tcPr>
            <w:tcW w:type="dxa" w:w="1928"/>
            <w:shd w:val="clear" w:color="auto" w:fill="F2F5F8"/>
          </w:tcPr>
          <w:p>
            <w:pPr>
              <w:spacing w:after="40" w:before="40"/>
            </w:pPr>
            <w:r/>
            <w:r>
              <w:rPr>
                <w:rFonts w:ascii="Cambria" w:hAnsi="Cambria"/>
                <w:b w:val="0"/>
                <w:i w:val="0"/>
                <w:sz w:val="17"/>
              </w:rPr>
              <w:t>References</w:t>
            </w:r>
          </w:p>
        </w:tc>
        <w:tc>
          <w:tcPr>
            <w:tcW w:type="dxa" w:w="1928"/>
            <w:shd w:val="clear" w:color="auto" w:fill="F2F5F8"/>
          </w:tcPr>
          <w:p>
            <w:pPr>
              <w:spacing w:after="40" w:before="40"/>
            </w:pPr>
            <w:r/>
            <w:r>
              <w:rPr>
                <w:rFonts w:ascii="Cambria" w:hAnsi="Cambria"/>
                <w:b w:val="0"/>
                <w:i w:val="0"/>
                <w:sz w:val="17"/>
              </w:rPr>
              <w:t xml:space="preserve">Medium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Customer and advisor references for third-party validation</w:t>
            </w:r>
          </w:p>
        </w:tc>
      </w:tr>
    </w:tbl>
    <w:p>
      <w:pPr>
        <w:spacing w:after="40"/>
      </w:pPr>
    </w:p>
    <w:p>
      <w:pPr>
        <w:keepNext/>
        <w:spacing w:before="240" w:after="80"/>
      </w:pPr>
      <w:r>
        <w:rPr>
          <w:rFonts w:ascii="Calibri" w:hAnsi="Calibri"/>
          <w:b/>
          <w:i w:val="0"/>
          <w:color w:val="1C4A73"/>
          <w:sz w:val="23"/>
        </w:rPr>
        <w:t>A.8 Operations</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F2C4A"/>
          </w:tcPr>
          <w:p>
            <w:pPr>
              <w:spacing w:after="40" w:before="40"/>
            </w:pPr>
            <w:r/>
            <w:r>
              <w:rPr>
                <w:rFonts w:ascii="Calibri" w:hAnsi="Calibri"/>
                <w:b/>
                <w:i w:val="0"/>
                <w:color w:val="FFFFFF"/>
                <w:sz w:val="17"/>
              </w:rPr>
              <w:t>#</w:t>
            </w:r>
          </w:p>
        </w:tc>
        <w:tc>
          <w:tcPr>
            <w:tcW w:type="dxa" w:w="1928"/>
            <w:shd w:val="clear" w:color="auto" w:fill="0F2C4A"/>
          </w:tcPr>
          <w:p>
            <w:pPr>
              <w:spacing w:after="40" w:before="40"/>
            </w:pPr>
            <w:r/>
            <w:r>
              <w:rPr>
                <w:rFonts w:ascii="Calibri" w:hAnsi="Calibri"/>
                <w:b/>
                <w:i w:val="0"/>
                <w:color w:val="FFFFFF"/>
                <w:sz w:val="17"/>
              </w:rPr>
              <w:t>Item</w:t>
            </w:r>
          </w:p>
        </w:tc>
        <w:tc>
          <w:tcPr>
            <w:tcW w:type="dxa" w:w="1928"/>
            <w:shd w:val="clear" w:color="auto" w:fill="0F2C4A"/>
          </w:tcPr>
          <w:p>
            <w:pPr>
              <w:spacing w:after="40" w:before="40"/>
            </w:pPr>
            <w:r/>
            <w:r>
              <w:rPr>
                <w:rFonts w:ascii="Calibri" w:hAnsi="Calibri"/>
                <w:b/>
                <w:i w:val="0"/>
                <w:color w:val="FFFFFF"/>
                <w:sz w:val="17"/>
              </w:rPr>
              <w:t>Priority</w:t>
            </w:r>
          </w:p>
        </w:tc>
        <w:tc>
          <w:tcPr>
            <w:tcW w:type="dxa" w:w="1928"/>
            <w:shd w:val="clear" w:color="auto" w:fill="0F2C4A"/>
          </w:tcPr>
          <w:p>
            <w:pPr>
              <w:spacing w:after="40" w:before="40"/>
            </w:pPr>
            <w:r/>
            <w:r>
              <w:rPr>
                <w:rFonts w:ascii="Calibri" w:hAnsi="Calibri"/>
                <w:b/>
                <w:i w:val="0"/>
                <w:color w:val="FFFFFF"/>
                <w:sz w:val="17"/>
              </w:rPr>
              <w:t>Owner</w:t>
            </w:r>
          </w:p>
        </w:tc>
        <w:tc>
          <w:tcPr>
            <w:tcW w:type="dxa" w:w="1928"/>
            <w:shd w:val="clear" w:color="auto" w:fill="0F2C4A"/>
          </w:tcPr>
          <w:p>
            <w:pPr>
              <w:spacing w:after="40" w:before="40"/>
            </w:pPr>
            <w:r/>
            <w:r>
              <w:rPr>
                <w:rFonts w:ascii="Calibri" w:hAnsi="Calibri"/>
                <w:b/>
                <w:i w:val="0"/>
                <w:color w:val="FFFFFF"/>
                <w:sz w:val="17"/>
              </w:rPr>
              <w:t>How it will be produced</w:t>
            </w:r>
          </w:p>
        </w:tc>
      </w:tr>
      <w:tr>
        <w:tc>
          <w:tcPr>
            <w:tcW w:type="dxa" w:w="1928"/>
          </w:tcPr>
          <w:p>
            <w:pPr>
              <w:spacing w:after="40" w:before="40"/>
            </w:pPr>
            <w:r/>
            <w:r>
              <w:rPr>
                <w:rFonts w:ascii="Cambria" w:hAnsi="Cambria"/>
                <w:b w:val="0"/>
                <w:i w:val="0"/>
                <w:sz w:val="17"/>
              </w:rPr>
              <w:t>34</w:t>
            </w:r>
          </w:p>
        </w:tc>
        <w:tc>
          <w:tcPr>
            <w:tcW w:type="dxa" w:w="1928"/>
          </w:tcPr>
          <w:p>
            <w:pPr>
              <w:spacing w:after="40" w:before="40"/>
            </w:pPr>
            <w:r/>
            <w:r>
              <w:rPr>
                <w:rFonts w:ascii="Cambria" w:hAnsi="Cambria"/>
                <w:b w:val="0"/>
                <w:i w:val="0"/>
                <w:sz w:val="17"/>
              </w:rPr>
              <w:t>Operational Metrics</w:t>
            </w:r>
          </w:p>
        </w:tc>
        <w:tc>
          <w:tcPr>
            <w:tcW w:type="dxa" w:w="1928"/>
          </w:tcPr>
          <w:p>
            <w:pPr>
              <w:spacing w:after="40" w:before="40"/>
            </w:pPr>
            <w:r/>
            <w:r>
              <w:rPr>
                <w:rFonts w:ascii="Cambria" w:hAnsi="Cambria"/>
                <w:b w:val="0"/>
                <w:i w:val="0"/>
                <w:sz w:val="17"/>
              </w:rPr>
              <w:t>Medium</w:t>
            </w:r>
          </w:p>
        </w:tc>
        <w:tc>
          <w:tcPr>
            <w:tcW w:type="dxa" w:w="1928"/>
          </w:tcPr>
          <w:p>
            <w:pPr>
              <w:spacing w:after="40" w:before="40"/>
            </w:pPr>
            <w:r/>
            <w:r>
              <w:rPr>
                <w:rFonts w:ascii="Cambria" w:hAnsi="Cambria"/>
                <w:b/>
                <w:i w:val="0"/>
                <w:sz w:val="17"/>
              </w:rPr>
              <w:t>C+B</w:t>
            </w:r>
          </w:p>
        </w:tc>
        <w:tc>
          <w:tcPr>
            <w:tcW w:type="dxa" w:w="1928"/>
          </w:tcPr>
          <w:p>
            <w:pPr>
              <w:spacing w:after="40" w:before="40"/>
            </w:pPr>
            <w:r/>
            <w:r>
              <w:rPr>
                <w:rFonts w:ascii="Cambria" w:hAnsi="Cambria"/>
                <w:b w:val="0"/>
                <w:i w:val="0"/>
                <w:sz w:val="17"/>
              </w:rPr>
              <w:t>Daily and weekly KPIs Btakka tracks; Consultant builds the reporting view</w:t>
            </w:r>
          </w:p>
        </w:tc>
      </w:tr>
      <w:tr>
        <w:tc>
          <w:tcPr>
            <w:tcW w:type="dxa" w:w="1928"/>
            <w:shd w:val="clear" w:color="auto" w:fill="F2F5F8"/>
          </w:tcPr>
          <w:p>
            <w:pPr>
              <w:spacing w:after="40" w:before="40"/>
            </w:pPr>
            <w:r/>
            <w:r>
              <w:rPr>
                <w:rFonts w:ascii="Cambria" w:hAnsi="Cambria"/>
                <w:b w:val="0"/>
                <w:i w:val="0"/>
                <w:sz w:val="17"/>
              </w:rPr>
              <w:t>35</w:t>
            </w:r>
          </w:p>
        </w:tc>
        <w:tc>
          <w:tcPr>
            <w:tcW w:type="dxa" w:w="1928"/>
            <w:shd w:val="clear" w:color="auto" w:fill="F2F5F8"/>
          </w:tcPr>
          <w:p>
            <w:pPr>
              <w:spacing w:after="40" w:before="40"/>
            </w:pPr>
            <w:r/>
            <w:r>
              <w:rPr>
                <w:rFonts w:ascii="Cambria" w:hAnsi="Cambria"/>
                <w:b w:val="0"/>
                <w:i w:val="0"/>
                <w:sz w:val="17"/>
              </w:rPr>
              <w:t>Key Vendor Agreements</w:t>
            </w:r>
          </w:p>
        </w:tc>
        <w:tc>
          <w:tcPr>
            <w:tcW w:type="dxa" w:w="1928"/>
            <w:shd w:val="clear" w:color="auto" w:fill="F2F5F8"/>
          </w:tcPr>
          <w:p>
            <w:pPr>
              <w:spacing w:after="40" w:before="40"/>
            </w:pPr>
            <w:r/>
            <w:r>
              <w:rPr>
                <w:rFonts w:ascii="Cambria" w:hAnsi="Cambria"/>
                <w:b w:val="0"/>
                <w:i w:val="0"/>
                <w:sz w:val="17"/>
              </w:rPr>
              <w:t xml:space="preserve">Low </w:t>
            </w:r>
            <w:r>
              <w:rPr>
                <w:rFonts w:ascii="Cambria" w:hAnsi="Cambria"/>
                <w:b w:val="0"/>
                <w:i/>
                <w:sz w:val="17"/>
              </w:rPr>
              <w:t>(optional)</w:t>
            </w:r>
          </w:p>
        </w:tc>
        <w:tc>
          <w:tcPr>
            <w:tcW w:type="dxa" w:w="1928"/>
            <w:shd w:val="clear" w:color="auto" w:fill="F2F5F8"/>
          </w:tcPr>
          <w:p>
            <w:pPr>
              <w:spacing w:after="40" w:before="40"/>
            </w:pPr>
            <w:r/>
            <w:r>
              <w:rPr>
                <w:rFonts w:ascii="Cambria" w:hAnsi="Cambria"/>
                <w:b/>
                <w:i w:val="0"/>
                <w:sz w:val="17"/>
              </w:rPr>
              <w:t>B</w:t>
            </w:r>
          </w:p>
        </w:tc>
        <w:tc>
          <w:tcPr>
            <w:tcW w:type="dxa" w:w="1928"/>
            <w:shd w:val="clear" w:color="auto" w:fill="F2F5F8"/>
          </w:tcPr>
          <w:p>
            <w:pPr>
              <w:spacing w:after="40" w:before="40"/>
            </w:pPr>
            <w:r/>
            <w:r>
              <w:rPr>
                <w:rFonts w:ascii="Cambria" w:hAnsi="Cambria"/>
                <w:b w:val="0"/>
                <w:i w:val="0"/>
                <w:sz w:val="17"/>
              </w:rPr>
              <w:t>Critical service providers, where dependencies are significant</w:t>
            </w:r>
          </w:p>
        </w:tc>
      </w:tr>
      <w:tr>
        <w:tc>
          <w:tcPr>
            <w:tcW w:type="dxa" w:w="1928"/>
          </w:tcPr>
          <w:p>
            <w:pPr>
              <w:spacing w:after="40" w:before="40"/>
            </w:pPr>
            <w:r/>
            <w:r>
              <w:rPr>
                <w:rFonts w:ascii="Cambria" w:hAnsi="Cambria"/>
                <w:b w:val="0"/>
                <w:i w:val="0"/>
                <w:sz w:val="17"/>
              </w:rPr>
              <w:t>36</w:t>
            </w:r>
          </w:p>
        </w:tc>
        <w:tc>
          <w:tcPr>
            <w:tcW w:type="dxa" w:w="1928"/>
          </w:tcPr>
          <w:p>
            <w:pPr>
              <w:spacing w:after="40" w:before="40"/>
            </w:pPr>
            <w:r/>
            <w:r>
              <w:rPr>
                <w:rFonts w:ascii="Cambria" w:hAnsi="Cambria"/>
                <w:b w:val="0"/>
                <w:i w:val="0"/>
                <w:sz w:val="17"/>
              </w:rPr>
              <w:t>Insurance Coverage</w:t>
            </w:r>
          </w:p>
        </w:tc>
        <w:tc>
          <w:tcPr>
            <w:tcW w:type="dxa" w:w="1928"/>
          </w:tcPr>
          <w:p>
            <w:pPr>
              <w:spacing w:after="40" w:before="40"/>
            </w:pPr>
            <w:r/>
            <w:r>
              <w:rPr>
                <w:rFonts w:ascii="Cambria" w:hAnsi="Cambria"/>
                <w:b w:val="0"/>
                <w:i w:val="0"/>
                <w:sz w:val="17"/>
              </w:rPr>
              <w:t xml:space="preserve">Low </w:t>
            </w:r>
            <w:r>
              <w:rPr>
                <w:rFonts w:ascii="Cambria" w:hAnsi="Cambria"/>
                <w:b w:val="0"/>
                <w:i/>
                <w:sz w:val="17"/>
              </w:rPr>
              <w:t>(optional)</w:t>
            </w:r>
          </w:p>
        </w:tc>
        <w:tc>
          <w:tcPr>
            <w:tcW w:type="dxa" w:w="1928"/>
          </w:tcPr>
          <w:p>
            <w:pPr>
              <w:spacing w:after="40" w:before="40"/>
            </w:pPr>
            <w:r/>
            <w:r>
              <w:rPr>
                <w:rFonts w:ascii="Cambria" w:hAnsi="Cambria"/>
                <w:b/>
                <w:i w:val="0"/>
                <w:sz w:val="17"/>
              </w:rPr>
              <w:t>B</w:t>
            </w:r>
          </w:p>
        </w:tc>
        <w:tc>
          <w:tcPr>
            <w:tcW w:type="dxa" w:w="1928"/>
          </w:tcPr>
          <w:p>
            <w:pPr>
              <w:spacing w:after="40" w:before="40"/>
            </w:pPr>
            <w:r/>
            <w:r>
              <w:rPr>
                <w:rFonts w:ascii="Cambria" w:hAnsi="Cambria"/>
                <w:b w:val="0"/>
                <w:i w:val="0"/>
                <w:sz w:val="17"/>
              </w:rPr>
              <w:t>Basic business insurance, if held</w:t>
            </w:r>
          </w:p>
        </w:tc>
      </w:tr>
    </w:tbl>
    <w:p>
      <w:pPr>
        <w:spacing w:after="40"/>
      </w:pPr>
    </w:p>
    <w:p>
      <w:pPr>
        <w:keepNext/>
        <w:spacing w:before="240" w:after="80"/>
      </w:pPr>
      <w:r>
        <w:rPr>
          <w:rFonts w:ascii="Calibri" w:hAnsi="Calibri"/>
          <w:b/>
          <w:i w:val="0"/>
          <w:color w:val="1C4A73"/>
          <w:sz w:val="23"/>
        </w:rPr>
        <w:t>A.9 Summary</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val="clear" w:color="auto" w:fill="0F2C4A"/>
          </w:tcPr>
          <w:p>
            <w:pPr>
              <w:spacing w:after="40" w:before="40"/>
            </w:pPr>
            <w:r/>
            <w:r>
              <w:rPr>
                <w:rFonts w:ascii="Calibri" w:hAnsi="Calibri"/>
                <w:b/>
                <w:i w:val="0"/>
                <w:color w:val="FFFFFF"/>
                <w:sz w:val="17"/>
              </w:rPr>
              <w:t>Ownership</w:t>
            </w:r>
          </w:p>
        </w:tc>
        <w:tc>
          <w:tcPr>
            <w:tcW w:type="dxa" w:w="3213"/>
            <w:shd w:val="clear" w:color="auto" w:fill="0F2C4A"/>
          </w:tcPr>
          <w:p>
            <w:pPr>
              <w:spacing w:after="40" w:before="40"/>
            </w:pPr>
            <w:r/>
            <w:r>
              <w:rPr>
                <w:rFonts w:ascii="Calibri" w:hAnsi="Calibri"/>
                <w:b/>
                <w:i w:val="0"/>
                <w:color w:val="FFFFFF"/>
                <w:sz w:val="17"/>
              </w:rPr>
              <w:t>Items</w:t>
            </w:r>
          </w:p>
        </w:tc>
        <w:tc>
          <w:tcPr>
            <w:tcW w:type="dxa" w:w="3213"/>
            <w:shd w:val="clear" w:color="auto" w:fill="0F2C4A"/>
          </w:tcPr>
          <w:p>
            <w:pPr>
              <w:spacing w:after="40" w:before="40"/>
            </w:pPr>
            <w:r/>
            <w:r>
              <w:rPr>
                <w:rFonts w:ascii="Calibri" w:hAnsi="Calibri"/>
                <w:b/>
                <w:i w:val="0"/>
                <w:color w:val="FFFFFF"/>
                <w:sz w:val="17"/>
              </w:rPr>
              <w:t>Count</w:t>
            </w:r>
          </w:p>
        </w:tc>
      </w:tr>
      <w:tr>
        <w:tc>
          <w:tcPr>
            <w:tcW w:type="dxa" w:w="3213"/>
          </w:tcPr>
          <w:p>
            <w:pPr>
              <w:spacing w:after="40" w:before="40"/>
            </w:pPr>
            <w:r/>
            <w:r>
              <w:rPr>
                <w:rFonts w:ascii="Cambria" w:hAnsi="Cambria"/>
                <w:b/>
                <w:i w:val="0"/>
                <w:sz w:val="17"/>
              </w:rPr>
              <w:t>Consultant prepares (C)</w:t>
            </w:r>
          </w:p>
        </w:tc>
        <w:tc>
          <w:tcPr>
            <w:tcW w:type="dxa" w:w="3213"/>
          </w:tcPr>
          <w:p>
            <w:pPr>
              <w:spacing w:after="40" w:before="40"/>
            </w:pPr>
            <w:r/>
            <w:r>
              <w:rPr>
                <w:rFonts w:ascii="Cambria" w:hAnsi="Cambria"/>
                <w:b w:val="0"/>
                <w:i w:val="0"/>
                <w:sz w:val="17"/>
              </w:rPr>
              <w:t>6, 7, 9, 10, 14, 16, 19, 28, 29, 30, 31, 32</w:t>
            </w:r>
          </w:p>
        </w:tc>
        <w:tc>
          <w:tcPr>
            <w:tcW w:type="dxa" w:w="3213"/>
          </w:tcPr>
          <w:p>
            <w:pPr>
              <w:spacing w:after="40" w:before="40"/>
            </w:pPr>
            <w:r/>
            <w:r>
              <w:rPr>
                <w:rFonts w:ascii="Cambria" w:hAnsi="Cambria"/>
                <w:b/>
                <w:i w:val="0"/>
                <w:sz w:val="17"/>
              </w:rPr>
              <w:t>12</w:t>
            </w:r>
          </w:p>
        </w:tc>
      </w:tr>
      <w:tr>
        <w:tc>
          <w:tcPr>
            <w:tcW w:type="dxa" w:w="3213"/>
            <w:shd w:val="clear" w:color="auto" w:fill="F2F5F8"/>
          </w:tcPr>
          <w:p>
            <w:pPr>
              <w:spacing w:after="40" w:before="40"/>
            </w:pPr>
            <w:r/>
            <w:r>
              <w:rPr>
                <w:rFonts w:ascii="Cambria" w:hAnsi="Cambria"/>
                <w:b/>
                <w:i w:val="0"/>
                <w:sz w:val="17"/>
              </w:rPr>
              <w:t>Jointly produced (C+B)</w:t>
            </w:r>
          </w:p>
        </w:tc>
        <w:tc>
          <w:tcPr>
            <w:tcW w:type="dxa" w:w="3213"/>
            <w:shd w:val="clear" w:color="auto" w:fill="F2F5F8"/>
          </w:tcPr>
          <w:p>
            <w:pPr>
              <w:spacing w:after="40" w:before="40"/>
            </w:pPr>
            <w:r/>
            <w:r>
              <w:rPr>
                <w:rFonts w:ascii="Cambria" w:hAnsi="Cambria"/>
                <w:b w:val="0"/>
                <w:i w:val="0"/>
                <w:sz w:val="17"/>
              </w:rPr>
              <w:t>2, 5, 8, 11, 12, 15, 17, 18, 22, 23, 24, 34</w:t>
            </w:r>
          </w:p>
        </w:tc>
        <w:tc>
          <w:tcPr>
            <w:tcW w:type="dxa" w:w="3213"/>
            <w:shd w:val="clear" w:color="auto" w:fill="F2F5F8"/>
          </w:tcPr>
          <w:p>
            <w:pPr>
              <w:spacing w:after="40" w:before="40"/>
            </w:pPr>
            <w:r/>
            <w:r>
              <w:rPr>
                <w:rFonts w:ascii="Cambria" w:hAnsi="Cambria"/>
                <w:b/>
                <w:i w:val="0"/>
                <w:sz w:val="17"/>
              </w:rPr>
              <w:t>12</w:t>
            </w:r>
          </w:p>
        </w:tc>
      </w:tr>
      <w:tr>
        <w:tc>
          <w:tcPr>
            <w:tcW w:type="dxa" w:w="3213"/>
          </w:tcPr>
          <w:p>
            <w:pPr>
              <w:spacing w:after="40" w:before="40"/>
            </w:pPr>
            <w:r/>
            <w:r>
              <w:rPr>
                <w:rFonts w:ascii="Cambria" w:hAnsi="Cambria"/>
                <w:b/>
                <w:i w:val="0"/>
                <w:sz w:val="17"/>
              </w:rPr>
              <w:t>Btakka provides (B)</w:t>
            </w:r>
          </w:p>
        </w:tc>
        <w:tc>
          <w:tcPr>
            <w:tcW w:type="dxa" w:w="3213"/>
          </w:tcPr>
          <w:p>
            <w:pPr>
              <w:spacing w:after="40" w:before="40"/>
            </w:pPr>
            <w:r/>
            <w:r>
              <w:rPr>
                <w:rFonts w:ascii="Cambria" w:hAnsi="Cambria"/>
                <w:b w:val="0"/>
                <w:i w:val="0"/>
                <w:sz w:val="17"/>
              </w:rPr>
              <w:t>1, 3, 4, 13, 20, 21, 25, 26, 27, 33, 35, 36</w:t>
            </w:r>
          </w:p>
        </w:tc>
        <w:tc>
          <w:tcPr>
            <w:tcW w:type="dxa" w:w="3213"/>
          </w:tcPr>
          <w:p>
            <w:pPr>
              <w:spacing w:after="40" w:before="40"/>
            </w:pPr>
            <w:r/>
            <w:r>
              <w:rPr>
                <w:rFonts w:ascii="Cambria" w:hAnsi="Cambria"/>
                <w:b/>
                <w:i w:val="0"/>
                <w:sz w:val="17"/>
              </w:rPr>
              <w:t>12</w:t>
            </w:r>
          </w:p>
        </w:tc>
      </w:tr>
      <w:tr>
        <w:tc>
          <w:tcPr>
            <w:tcW w:type="dxa" w:w="3213"/>
            <w:shd w:val="clear" w:color="auto" w:fill="F2F5F8"/>
          </w:tcPr>
          <w:p>
            <w:pPr>
              <w:spacing w:after="40" w:before="40"/>
            </w:pPr>
            <w:r/>
          </w:p>
        </w:tc>
        <w:tc>
          <w:tcPr>
            <w:tcW w:type="dxa" w:w="3213"/>
            <w:shd w:val="clear" w:color="auto" w:fill="F2F5F8"/>
          </w:tcPr>
          <w:p>
            <w:pPr>
              <w:spacing w:after="40" w:before="40"/>
            </w:pPr>
            <w:r/>
          </w:p>
        </w:tc>
        <w:tc>
          <w:tcPr>
            <w:tcW w:type="dxa" w:w="3213"/>
            <w:shd w:val="clear" w:color="auto" w:fill="F2F5F8"/>
          </w:tcPr>
          <w:p>
            <w:pPr>
              <w:spacing w:after="40" w:before="40"/>
            </w:pPr>
            <w:r/>
            <w:r>
              <w:rPr>
                <w:rFonts w:ascii="Cambria" w:hAnsi="Cambria"/>
                <w:b/>
                <w:i w:val="0"/>
                <w:sz w:val="17"/>
              </w:rPr>
              <w:t>36</w:t>
            </w:r>
          </w:p>
        </w:tc>
      </w:tr>
    </w:tbl>
    <w:p>
      <w:pPr>
        <w:spacing w:after="40"/>
      </w:pPr>
    </w:p>
    <w:p>
      <w:pPr>
        <w:spacing w:after="120"/>
      </w:pPr>
      <w:r>
        <w:rPr>
          <w:rFonts w:ascii="Cambria" w:hAnsi="Cambria"/>
          <w:b w:val="0"/>
          <w:i w:val="0"/>
        </w:rPr>
        <w:t xml:space="preserve">Of the 12 items Btakka provides outright, </w:t>
      </w:r>
      <w:r>
        <w:rPr>
          <w:rFonts w:ascii="Cambria" w:hAnsi="Cambria"/>
          <w:b/>
          <w:i w:val="0"/>
        </w:rPr>
        <w:t>7 are optional or conditional</w:t>
      </w:r>
      <w:r>
        <w:rPr>
          <w:rFonts w:ascii="Cambria" w:hAnsi="Cambria"/>
          <w:b w:val="0"/>
          <w:i w:val="0"/>
        </w:rPr>
        <w:t xml:space="preserve"> (20, 21, 25, 33, 35, 36 and, where none exist, 4). The mandatory Btakka-only burden is therefore limited to corporate documents, the legal disclosure and customer feedback.</w:t>
      </w:r>
    </w:p>
    <w:p>
      <w:pPr>
        <w:spacing w:before="120" w:after="120"/>
        <w:pBdr>
          <w:bottom w:val="single" w:sz="6" w:space="1" w:color="C2CCD6"/>
        </w:pBdr>
      </w:pPr>
    </w:p>
    <w:p>
      <w:pPr>
        <w:keepNext/>
        <w:spacing w:before="320" w:after="100"/>
      </w:pPr>
      <w:r>
        <w:rPr>
          <w:rFonts w:ascii="Calibri" w:hAnsi="Calibri"/>
          <w:b/>
          <w:i w:val="0"/>
          <w:color w:val="0F2C4A"/>
          <w:sz w:val="27"/>
        </w:rPr>
        <w:t>Schedule B — Workshop Programme</w:t>
      </w:r>
    </w:p>
    <w:p>
      <w:pPr>
        <w:keepNext/>
        <w:spacing w:before="240" w:after="80"/>
      </w:pPr>
      <w:r>
        <w:rPr>
          <w:rFonts w:ascii="Calibri" w:hAnsi="Calibri"/>
          <w:b/>
          <w:i w:val="0"/>
          <w:color w:val="1C4A73"/>
          <w:sz w:val="23"/>
        </w:rPr>
        <w:t>B.1 Schedule</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0F2C4A"/>
          </w:tcPr>
          <w:p>
            <w:pPr>
              <w:spacing w:after="40" w:before="40"/>
            </w:pPr>
            <w:r/>
            <w:r>
              <w:rPr>
                <w:rFonts w:ascii="Calibri" w:hAnsi="Calibri"/>
                <w:b/>
                <w:i w:val="0"/>
                <w:color w:val="FFFFFF"/>
                <w:sz w:val="17"/>
              </w:rPr>
              <w:t>#</w:t>
            </w:r>
          </w:p>
        </w:tc>
        <w:tc>
          <w:tcPr>
            <w:tcW w:type="dxa" w:w="1377"/>
            <w:shd w:val="clear" w:color="auto" w:fill="0F2C4A"/>
          </w:tcPr>
          <w:p>
            <w:pPr>
              <w:spacing w:after="40" w:before="40"/>
            </w:pPr>
            <w:r/>
            <w:r>
              <w:rPr>
                <w:rFonts w:ascii="Calibri" w:hAnsi="Calibri"/>
                <w:b/>
                <w:i w:val="0"/>
                <w:color w:val="FFFFFF"/>
                <w:sz w:val="17"/>
              </w:rPr>
              <w:t>Workshop</w:t>
            </w:r>
          </w:p>
        </w:tc>
        <w:tc>
          <w:tcPr>
            <w:tcW w:type="dxa" w:w="1377"/>
            <w:shd w:val="clear" w:color="auto" w:fill="0F2C4A"/>
          </w:tcPr>
          <w:p>
            <w:pPr>
              <w:spacing w:after="40" w:before="40"/>
            </w:pPr>
            <w:r/>
            <w:r>
              <w:rPr>
                <w:rFonts w:ascii="Calibri" w:hAnsi="Calibri"/>
                <w:b/>
                <w:i w:val="0"/>
                <w:color w:val="FFFFFF"/>
                <w:sz w:val="17"/>
              </w:rPr>
              <w:t>Week</w:t>
            </w:r>
          </w:p>
        </w:tc>
        <w:tc>
          <w:tcPr>
            <w:tcW w:type="dxa" w:w="1377"/>
            <w:shd w:val="clear" w:color="auto" w:fill="0F2C4A"/>
          </w:tcPr>
          <w:p>
            <w:pPr>
              <w:spacing w:after="40" w:before="40"/>
            </w:pPr>
            <w:r/>
            <w:r>
              <w:rPr>
                <w:rFonts w:ascii="Calibri" w:hAnsi="Calibri"/>
                <w:b/>
                <w:i w:val="0"/>
                <w:color w:val="FFFFFF"/>
                <w:sz w:val="17"/>
              </w:rPr>
              <w:t>Duration</w:t>
            </w:r>
          </w:p>
        </w:tc>
        <w:tc>
          <w:tcPr>
            <w:tcW w:type="dxa" w:w="1377"/>
            <w:shd w:val="clear" w:color="auto" w:fill="0F2C4A"/>
          </w:tcPr>
          <w:p>
            <w:pPr>
              <w:spacing w:after="40" w:before="40"/>
            </w:pPr>
            <w:r/>
            <w:r>
              <w:rPr>
                <w:rFonts w:ascii="Calibri" w:hAnsi="Calibri"/>
                <w:b/>
                <w:i w:val="0"/>
                <w:color w:val="FFFFFF"/>
                <w:sz w:val="17"/>
              </w:rPr>
              <w:t>Required attendees</w:t>
            </w:r>
          </w:p>
        </w:tc>
        <w:tc>
          <w:tcPr>
            <w:tcW w:type="dxa" w:w="1377"/>
            <w:shd w:val="clear" w:color="auto" w:fill="0F2C4A"/>
          </w:tcPr>
          <w:p>
            <w:pPr>
              <w:spacing w:after="40" w:before="40"/>
            </w:pPr>
            <w:r/>
            <w:r>
              <w:rPr>
                <w:rFonts w:ascii="Calibri" w:hAnsi="Calibri"/>
                <w:b/>
                <w:i w:val="0"/>
                <w:color w:val="FFFFFF"/>
                <w:sz w:val="17"/>
              </w:rPr>
              <w:t>Agenda</w:t>
            </w:r>
          </w:p>
        </w:tc>
        <w:tc>
          <w:tcPr>
            <w:tcW w:type="dxa" w:w="1377"/>
            <w:shd w:val="clear" w:color="auto" w:fill="0F2C4A"/>
          </w:tcPr>
          <w:p>
            <w:pPr>
              <w:spacing w:after="40" w:before="40"/>
            </w:pPr>
            <w:r/>
            <w:r>
              <w:rPr>
                <w:rFonts w:ascii="Calibri" w:hAnsi="Calibri"/>
                <w:b/>
                <w:i w:val="0"/>
                <w:color w:val="FFFFFF"/>
                <w:sz w:val="17"/>
              </w:rPr>
              <w:t>Output</w:t>
            </w:r>
          </w:p>
        </w:tc>
      </w:tr>
      <w:tr>
        <w:tc>
          <w:tcPr>
            <w:tcW w:type="dxa" w:w="1377"/>
          </w:tcPr>
          <w:p>
            <w:pPr>
              <w:spacing w:after="40" w:before="40"/>
            </w:pPr>
            <w:r/>
            <w:r>
              <w:rPr>
                <w:rFonts w:ascii="Cambria" w:hAnsi="Cambria"/>
                <w:b/>
                <w:i w:val="0"/>
                <w:sz w:val="17"/>
              </w:rPr>
              <w:t>W1</w:t>
            </w:r>
          </w:p>
        </w:tc>
        <w:tc>
          <w:tcPr>
            <w:tcW w:type="dxa" w:w="1377"/>
          </w:tcPr>
          <w:p>
            <w:pPr>
              <w:spacing w:after="40" w:before="40"/>
            </w:pPr>
            <w:r/>
            <w:r>
              <w:rPr>
                <w:rFonts w:ascii="Cambria" w:hAnsi="Cambria"/>
                <w:b w:val="0"/>
                <w:i w:val="0"/>
                <w:sz w:val="17"/>
              </w:rPr>
              <w:t>Discovery &amp; Story Session</w:t>
            </w:r>
          </w:p>
        </w:tc>
        <w:tc>
          <w:tcPr>
            <w:tcW w:type="dxa" w:w="1377"/>
          </w:tcPr>
          <w:p>
            <w:pPr>
              <w:spacing w:after="40" w:before="40"/>
            </w:pPr>
            <w:r/>
            <w:r>
              <w:rPr>
                <w:rFonts w:ascii="Cambria" w:hAnsi="Cambria"/>
                <w:b w:val="0"/>
                <w:i w:val="0"/>
                <w:sz w:val="17"/>
              </w:rPr>
              <w:t>1</w:t>
            </w:r>
          </w:p>
        </w:tc>
        <w:tc>
          <w:tcPr>
            <w:tcW w:type="dxa" w:w="1377"/>
          </w:tcPr>
          <w:p>
            <w:pPr>
              <w:spacing w:after="40" w:before="40"/>
            </w:pPr>
            <w:r/>
            <w:r>
              <w:rPr>
                <w:rFonts w:ascii="Cambria" w:hAnsi="Cambria"/>
                <w:b w:val="0"/>
                <w:i w:val="0"/>
                <w:sz w:val="17"/>
              </w:rPr>
              <w:t>3 hrs</w:t>
            </w:r>
          </w:p>
        </w:tc>
        <w:tc>
          <w:tcPr>
            <w:tcW w:type="dxa" w:w="1377"/>
          </w:tcPr>
          <w:p>
            <w:pPr>
              <w:spacing w:after="40" w:before="40"/>
            </w:pPr>
            <w:r/>
            <w:r>
              <w:rPr>
                <w:rFonts w:ascii="Cambria" w:hAnsi="Cambria"/>
                <w:b w:val="0"/>
                <w:i w:val="0"/>
                <w:sz w:val="17"/>
              </w:rPr>
              <w:t>All founders</w:t>
            </w:r>
          </w:p>
        </w:tc>
        <w:tc>
          <w:tcPr>
            <w:tcW w:type="dxa" w:w="1377"/>
          </w:tcPr>
          <w:p>
            <w:pPr>
              <w:spacing w:after="40" w:before="40"/>
            </w:pPr>
            <w:r/>
            <w:r>
              <w:rPr>
                <w:rFonts w:ascii="Cambria" w:hAnsi="Cambria"/>
                <w:b w:val="0"/>
                <w:i w:val="0"/>
                <w:sz w:val="17"/>
              </w:rPr>
              <w:t>Company history and origin; the problem and why now; product walkthrough of both apps; current traction and revenue; team; the raise and what it must achieve</w:t>
            </w:r>
          </w:p>
        </w:tc>
        <w:tc>
          <w:tcPr>
            <w:tcW w:type="dxa" w:w="1377"/>
          </w:tcPr>
          <w:p>
            <w:pPr>
              <w:spacing w:after="40" w:before="40"/>
            </w:pPr>
            <w:r/>
            <w:r>
              <w:rPr>
                <w:rFonts w:ascii="Cambria" w:hAnsi="Cambria"/>
                <w:b w:val="0"/>
                <w:i w:val="0"/>
                <w:sz w:val="17"/>
              </w:rPr>
              <w:t>Confirmed business understanding; investment thesis draft; consolidated information request list</w:t>
            </w:r>
          </w:p>
        </w:tc>
      </w:tr>
      <w:tr>
        <w:tc>
          <w:tcPr>
            <w:tcW w:type="dxa" w:w="1377"/>
            <w:shd w:val="clear" w:color="auto" w:fill="F2F5F8"/>
          </w:tcPr>
          <w:p>
            <w:pPr>
              <w:spacing w:after="40" w:before="40"/>
            </w:pPr>
            <w:r/>
            <w:r>
              <w:rPr>
                <w:rFonts w:ascii="Cambria" w:hAnsi="Cambria"/>
                <w:b/>
                <w:i w:val="0"/>
                <w:sz w:val="17"/>
              </w:rPr>
              <w:t>W2</w:t>
            </w:r>
          </w:p>
        </w:tc>
        <w:tc>
          <w:tcPr>
            <w:tcW w:type="dxa" w:w="1377"/>
            <w:shd w:val="clear" w:color="auto" w:fill="F2F5F8"/>
          </w:tcPr>
          <w:p>
            <w:pPr>
              <w:spacing w:after="40" w:before="40"/>
            </w:pPr>
            <w:r/>
            <w:r>
              <w:rPr>
                <w:rFonts w:ascii="Cambria" w:hAnsi="Cambria"/>
                <w:b w:val="0"/>
                <w:i w:val="0"/>
                <w:sz w:val="17"/>
              </w:rPr>
              <w:t>Financial Modelling — Session 1</w:t>
            </w:r>
          </w:p>
        </w:tc>
        <w:tc>
          <w:tcPr>
            <w:tcW w:type="dxa" w:w="1377"/>
            <w:shd w:val="clear" w:color="auto" w:fill="F2F5F8"/>
          </w:tcPr>
          <w:p>
            <w:pPr>
              <w:spacing w:after="40" w:before="40"/>
            </w:pPr>
            <w:r/>
            <w:r>
              <w:rPr>
                <w:rFonts w:ascii="Cambria" w:hAnsi="Cambria"/>
                <w:b w:val="0"/>
                <w:i w:val="0"/>
                <w:sz w:val="17"/>
              </w:rPr>
              <w:t>2</w:t>
            </w:r>
          </w:p>
        </w:tc>
        <w:tc>
          <w:tcPr>
            <w:tcW w:type="dxa" w:w="1377"/>
            <w:shd w:val="clear" w:color="auto" w:fill="F2F5F8"/>
          </w:tcPr>
          <w:p>
            <w:pPr>
              <w:spacing w:after="40" w:before="40"/>
            </w:pPr>
            <w:r/>
            <w:r>
              <w:rPr>
                <w:rFonts w:ascii="Cambria" w:hAnsi="Cambria"/>
                <w:b w:val="0"/>
                <w:i w:val="0"/>
                <w:sz w:val="17"/>
              </w:rPr>
              <w:t>3 hrs</w:t>
            </w:r>
          </w:p>
        </w:tc>
        <w:tc>
          <w:tcPr>
            <w:tcW w:type="dxa" w:w="1377"/>
            <w:shd w:val="clear" w:color="auto" w:fill="F2F5F8"/>
          </w:tcPr>
          <w:p>
            <w:pPr>
              <w:spacing w:after="40" w:before="40"/>
            </w:pPr>
            <w:r/>
            <w:r>
              <w:rPr>
                <w:rFonts w:ascii="Cambria" w:hAnsi="Cambria"/>
                <w:b w:val="0"/>
                <w:i w:val="0"/>
                <w:sz w:val="17"/>
              </w:rPr>
              <w:t>Founders + finance lead</w:t>
            </w:r>
          </w:p>
        </w:tc>
        <w:tc>
          <w:tcPr>
            <w:tcW w:type="dxa" w:w="1377"/>
            <w:shd w:val="clear" w:color="auto" w:fill="F2F5F8"/>
          </w:tcPr>
          <w:p>
            <w:pPr>
              <w:spacing w:after="40" w:before="40"/>
            </w:pPr>
            <w:r/>
            <w:r>
              <w:rPr>
                <w:rFonts w:ascii="Cambria" w:hAnsi="Cambria"/>
                <w:b w:val="0"/>
                <w:i w:val="0"/>
                <w:sz w:val="17"/>
              </w:rPr>
              <w:t>Revenue engine and pricing; unit economics — CAC, payback, contribution margin, LTV; cost structure; headcount from the HR plan; the driver tree</w:t>
            </w:r>
          </w:p>
        </w:tc>
        <w:tc>
          <w:tcPr>
            <w:tcW w:type="dxa" w:w="1377"/>
            <w:shd w:val="clear" w:color="auto" w:fill="F2F5F8"/>
          </w:tcPr>
          <w:p>
            <w:pPr>
              <w:spacing w:after="40" w:before="40"/>
            </w:pPr>
            <w:r/>
            <w:r>
              <w:rPr>
                <w:rFonts w:ascii="Cambria" w:hAnsi="Cambria"/>
                <w:b w:val="0"/>
                <w:i w:val="0"/>
                <w:sz w:val="17"/>
              </w:rPr>
              <w:t>Driver tree agreed; assumption book v1 signed off</w:t>
            </w:r>
          </w:p>
        </w:tc>
      </w:tr>
      <w:tr>
        <w:tc>
          <w:tcPr>
            <w:tcW w:type="dxa" w:w="1377"/>
          </w:tcPr>
          <w:p>
            <w:pPr>
              <w:spacing w:after="40" w:before="40"/>
            </w:pPr>
            <w:r/>
            <w:r>
              <w:rPr>
                <w:rFonts w:ascii="Cambria" w:hAnsi="Cambria"/>
                <w:b/>
                <w:i w:val="0"/>
                <w:sz w:val="17"/>
              </w:rPr>
              <w:t>W3</w:t>
            </w:r>
          </w:p>
        </w:tc>
        <w:tc>
          <w:tcPr>
            <w:tcW w:type="dxa" w:w="1377"/>
          </w:tcPr>
          <w:p>
            <w:pPr>
              <w:spacing w:after="40" w:before="40"/>
            </w:pPr>
            <w:r/>
            <w:r>
              <w:rPr>
                <w:rFonts w:ascii="Cambria" w:hAnsi="Cambria"/>
                <w:b w:val="0"/>
                <w:i w:val="0"/>
                <w:sz w:val="17"/>
              </w:rPr>
              <w:t>Financial Modelling — Session 2</w:t>
            </w:r>
          </w:p>
        </w:tc>
        <w:tc>
          <w:tcPr>
            <w:tcW w:type="dxa" w:w="1377"/>
          </w:tcPr>
          <w:p>
            <w:pPr>
              <w:spacing w:after="40" w:before="40"/>
            </w:pPr>
            <w:r/>
            <w:r>
              <w:rPr>
                <w:rFonts w:ascii="Cambria" w:hAnsi="Cambria"/>
                <w:b w:val="0"/>
                <w:i w:val="0"/>
                <w:sz w:val="17"/>
              </w:rPr>
              <w:t>3</w:t>
            </w:r>
          </w:p>
        </w:tc>
        <w:tc>
          <w:tcPr>
            <w:tcW w:type="dxa" w:w="1377"/>
          </w:tcPr>
          <w:p>
            <w:pPr>
              <w:spacing w:after="40" w:before="40"/>
            </w:pPr>
            <w:r/>
            <w:r>
              <w:rPr>
                <w:rFonts w:ascii="Cambria" w:hAnsi="Cambria"/>
                <w:b w:val="0"/>
                <w:i w:val="0"/>
                <w:sz w:val="17"/>
              </w:rPr>
              <w:t>3 hrs</w:t>
            </w:r>
          </w:p>
        </w:tc>
        <w:tc>
          <w:tcPr>
            <w:tcW w:type="dxa" w:w="1377"/>
          </w:tcPr>
          <w:p>
            <w:pPr>
              <w:spacing w:after="40" w:before="40"/>
            </w:pPr>
            <w:r/>
            <w:r>
              <w:rPr>
                <w:rFonts w:ascii="Cambria" w:hAnsi="Cambria"/>
                <w:b w:val="0"/>
                <w:i w:val="0"/>
                <w:sz w:val="17"/>
              </w:rPr>
              <w:t>Founders + finance lead</w:t>
            </w:r>
          </w:p>
        </w:tc>
        <w:tc>
          <w:tcPr>
            <w:tcW w:type="dxa" w:w="1377"/>
          </w:tcPr>
          <w:p>
            <w:pPr>
              <w:spacing w:after="40" w:before="40"/>
            </w:pPr>
            <w:r/>
            <w:r>
              <w:rPr>
                <w:rFonts w:ascii="Cambria" w:hAnsi="Cambria"/>
                <w:b w:val="0"/>
                <w:i w:val="0"/>
                <w:sz w:val="17"/>
              </w:rPr>
              <w:t>Model walkthrough and challenge; base / conservative / upside scenarios; sensitivity testing; use of funds and milestone mapping; valuation method and range; cap table and dilution</w:t>
            </w:r>
          </w:p>
        </w:tc>
        <w:tc>
          <w:tcPr>
            <w:tcW w:type="dxa" w:w="1377"/>
          </w:tcPr>
          <w:p>
            <w:pPr>
              <w:spacing w:after="40" w:before="40"/>
            </w:pPr>
            <w:r/>
            <w:r>
              <w:rPr>
                <w:rFonts w:ascii="Cambria" w:hAnsi="Cambria"/>
                <w:b w:val="0"/>
                <w:i w:val="0"/>
                <w:sz w:val="17"/>
              </w:rPr>
              <w:t>Model approved; use of funds agreed; valuation range agreed</w:t>
            </w:r>
          </w:p>
        </w:tc>
      </w:tr>
      <w:tr>
        <w:tc>
          <w:tcPr>
            <w:tcW w:type="dxa" w:w="1377"/>
            <w:shd w:val="clear" w:color="auto" w:fill="F2F5F8"/>
          </w:tcPr>
          <w:p>
            <w:pPr>
              <w:spacing w:after="40" w:before="40"/>
            </w:pPr>
            <w:r/>
            <w:r>
              <w:rPr>
                <w:rFonts w:ascii="Cambria" w:hAnsi="Cambria"/>
                <w:b/>
                <w:i w:val="0"/>
                <w:sz w:val="17"/>
              </w:rPr>
              <w:t>W4</w:t>
            </w:r>
          </w:p>
        </w:tc>
        <w:tc>
          <w:tcPr>
            <w:tcW w:type="dxa" w:w="1377"/>
            <w:shd w:val="clear" w:color="auto" w:fill="F2F5F8"/>
          </w:tcPr>
          <w:p>
            <w:pPr>
              <w:spacing w:after="40" w:before="40"/>
            </w:pPr>
            <w:r/>
            <w:r>
              <w:rPr>
                <w:rFonts w:ascii="Cambria" w:hAnsi="Cambria"/>
                <w:b w:val="0"/>
                <w:i w:val="0"/>
                <w:sz w:val="17"/>
              </w:rPr>
              <w:t>Full Data Room Workshop</w:t>
            </w:r>
          </w:p>
        </w:tc>
        <w:tc>
          <w:tcPr>
            <w:tcW w:type="dxa" w:w="1377"/>
            <w:shd w:val="clear" w:color="auto" w:fill="F2F5F8"/>
          </w:tcPr>
          <w:p>
            <w:pPr>
              <w:spacing w:after="40" w:before="40"/>
            </w:pPr>
            <w:r/>
            <w:r>
              <w:rPr>
                <w:rFonts w:ascii="Cambria" w:hAnsi="Cambria"/>
                <w:b w:val="0"/>
                <w:i w:val="0"/>
                <w:sz w:val="17"/>
              </w:rPr>
              <w:t>4</w:t>
            </w:r>
          </w:p>
        </w:tc>
        <w:tc>
          <w:tcPr>
            <w:tcW w:type="dxa" w:w="1377"/>
            <w:shd w:val="clear" w:color="auto" w:fill="F2F5F8"/>
          </w:tcPr>
          <w:p>
            <w:pPr>
              <w:spacing w:after="40" w:before="40"/>
            </w:pPr>
            <w:r/>
            <w:r>
              <w:rPr>
                <w:rFonts w:ascii="Cambria" w:hAnsi="Cambria"/>
                <w:b w:val="0"/>
                <w:i w:val="0"/>
                <w:sz w:val="17"/>
              </w:rPr>
              <w:t>4 hrs</w:t>
            </w:r>
          </w:p>
        </w:tc>
        <w:tc>
          <w:tcPr>
            <w:tcW w:type="dxa" w:w="1377"/>
            <w:shd w:val="clear" w:color="auto" w:fill="F2F5F8"/>
          </w:tcPr>
          <w:p>
            <w:pPr>
              <w:spacing w:after="40" w:before="40"/>
            </w:pPr>
            <w:r/>
            <w:r>
              <w:rPr>
                <w:rFonts w:ascii="Cambria" w:hAnsi="Cambria"/>
                <w:b w:val="0"/>
                <w:i w:val="0"/>
                <w:sz w:val="17"/>
              </w:rPr>
              <w:t>Full leadership team</w:t>
            </w:r>
          </w:p>
        </w:tc>
        <w:tc>
          <w:tcPr>
            <w:tcW w:type="dxa" w:w="1377"/>
            <w:shd w:val="clear" w:color="auto" w:fill="F2F5F8"/>
          </w:tcPr>
          <w:p>
            <w:pPr>
              <w:spacing w:after="40" w:before="40"/>
            </w:pPr>
            <w:r/>
            <w:r>
              <w:rPr>
                <w:rFonts w:ascii="Cambria" w:hAnsi="Cambria"/>
                <w:b w:val="0"/>
                <w:i w:val="0"/>
                <w:sz w:val="17"/>
              </w:rPr>
              <w:t>Data room structure and index walkthrough; every item reviewed; diligence Q&amp;A drill against the investor question bank; gap closure; access control and version discipline</w:t>
            </w:r>
          </w:p>
        </w:tc>
        <w:tc>
          <w:tcPr>
            <w:tcW w:type="dxa" w:w="1377"/>
            <w:shd w:val="clear" w:color="auto" w:fill="F2F5F8"/>
          </w:tcPr>
          <w:p>
            <w:pPr>
              <w:spacing w:after="40" w:before="40"/>
            </w:pPr>
            <w:r/>
            <w:r>
              <w:rPr>
                <w:rFonts w:ascii="Cambria" w:hAnsi="Cambria"/>
                <w:b w:val="0"/>
                <w:i w:val="0"/>
                <w:sz w:val="17"/>
              </w:rPr>
              <w:t>Data room walkthrough complete; readiness sign-off; Phase 1 milestone M2 triggered</w:t>
            </w:r>
          </w:p>
        </w:tc>
      </w:tr>
      <w:tr>
        <w:tc>
          <w:tcPr>
            <w:tcW w:type="dxa" w:w="1377"/>
          </w:tcPr>
          <w:p>
            <w:pPr>
              <w:spacing w:after="40" w:before="40"/>
            </w:pPr>
            <w:r/>
            <w:r>
              <w:rPr>
                <w:rFonts w:ascii="Cambria" w:hAnsi="Cambria"/>
                <w:b/>
                <w:i w:val="0"/>
                <w:sz w:val="17"/>
              </w:rPr>
              <w:t>W5</w:t>
            </w:r>
          </w:p>
        </w:tc>
        <w:tc>
          <w:tcPr>
            <w:tcW w:type="dxa" w:w="1377"/>
          </w:tcPr>
          <w:p>
            <w:pPr>
              <w:spacing w:after="40" w:before="40"/>
            </w:pPr>
            <w:r/>
            <w:r>
              <w:rPr>
                <w:rFonts w:ascii="Cambria" w:hAnsi="Cambria"/>
                <w:b w:val="0"/>
                <w:i w:val="0"/>
                <w:sz w:val="17"/>
              </w:rPr>
              <w:t>Investor Pitch Rehearsal</w:t>
            </w:r>
          </w:p>
        </w:tc>
        <w:tc>
          <w:tcPr>
            <w:tcW w:type="dxa" w:w="1377"/>
          </w:tcPr>
          <w:p>
            <w:pPr>
              <w:spacing w:after="40" w:before="40"/>
            </w:pPr>
            <w:r/>
            <w:r>
              <w:rPr>
                <w:rFonts w:ascii="Cambria" w:hAnsi="Cambria"/>
                <w:b w:val="0"/>
                <w:i w:val="0"/>
                <w:sz w:val="17"/>
              </w:rPr>
              <w:t>5</w:t>
            </w:r>
          </w:p>
        </w:tc>
        <w:tc>
          <w:tcPr>
            <w:tcW w:type="dxa" w:w="1377"/>
          </w:tcPr>
          <w:p>
            <w:pPr>
              <w:spacing w:after="40" w:before="40"/>
            </w:pPr>
            <w:r/>
            <w:r>
              <w:rPr>
                <w:rFonts w:ascii="Cambria" w:hAnsi="Cambria"/>
                <w:b w:val="0"/>
                <w:i w:val="0"/>
                <w:sz w:val="17"/>
              </w:rPr>
              <w:t>2 hrs</w:t>
            </w:r>
          </w:p>
        </w:tc>
        <w:tc>
          <w:tcPr>
            <w:tcW w:type="dxa" w:w="1377"/>
          </w:tcPr>
          <w:p>
            <w:pPr>
              <w:spacing w:after="40" w:before="40"/>
            </w:pPr>
            <w:r/>
            <w:r>
              <w:rPr>
                <w:rFonts w:ascii="Cambria" w:hAnsi="Cambria"/>
                <w:b w:val="0"/>
                <w:i w:val="0"/>
                <w:sz w:val="17"/>
              </w:rPr>
              <w:t>Pitching founders</w:t>
            </w:r>
          </w:p>
        </w:tc>
        <w:tc>
          <w:tcPr>
            <w:tcW w:type="dxa" w:w="1377"/>
          </w:tcPr>
          <w:p>
            <w:pPr>
              <w:spacing w:after="40" w:before="40"/>
            </w:pPr>
            <w:r/>
            <w:r>
              <w:rPr>
                <w:rFonts w:ascii="Cambria" w:hAnsi="Cambria"/>
                <w:b w:val="0"/>
                <w:i w:val="0"/>
                <w:sz w:val="17"/>
              </w:rPr>
              <w:t>Live pitch delivery; timing and structure; objection handling drill; the hard questions; follow-up discipline</w:t>
            </w:r>
          </w:p>
        </w:tc>
        <w:tc>
          <w:tcPr>
            <w:tcW w:type="dxa" w:w="1377"/>
          </w:tcPr>
          <w:p>
            <w:pPr>
              <w:spacing w:after="40" w:before="40"/>
            </w:pPr>
            <w:r/>
            <w:r>
              <w:rPr>
                <w:rFonts w:ascii="Cambria" w:hAnsi="Cambria"/>
                <w:b w:val="0"/>
                <w:i w:val="0"/>
                <w:sz w:val="17"/>
              </w:rPr>
              <w:t>Pitch calibrated; founders cleared to go live</w:t>
            </w:r>
          </w:p>
        </w:tc>
      </w:tr>
    </w:tbl>
    <w:p>
      <w:pPr>
        <w:spacing w:after="40"/>
      </w:pPr>
    </w:p>
    <w:p>
      <w:pPr>
        <w:keepNext/>
        <w:spacing w:before="240" w:after="80"/>
      </w:pPr>
      <w:r>
        <w:rPr>
          <w:rFonts w:ascii="Calibri" w:hAnsi="Calibri"/>
          <w:b/>
          <w:i w:val="0"/>
          <w:color w:val="1C4A73"/>
          <w:sz w:val="23"/>
        </w:rPr>
        <w:t>B.2 Workshop conduct</w:t>
      </w:r>
    </w:p>
    <w:p>
      <w:pPr>
        <w:pStyle w:val="ListBullet"/>
        <w:spacing w:after="60"/>
        <w:ind w:left="397"/>
      </w:pPr>
      <w:r>
        <w:rPr>
          <w:rFonts w:ascii="Cambria" w:hAnsi="Cambria"/>
          <w:b/>
          <w:i w:val="0"/>
        </w:rPr>
        <w:t>Format.</w:t>
      </w:r>
      <w:r>
        <w:rPr>
          <w:rFonts w:ascii="Cambria" w:hAnsi="Cambria"/>
          <w:b w:val="0"/>
          <w:i w:val="0"/>
        </w:rPr>
        <w:t xml:space="preserve"> In person in Greater Cairo, or remotely by video, at Btakka's preference.</w:t>
      </w:r>
    </w:p>
    <w:p>
      <w:pPr>
        <w:pStyle w:val="ListBullet"/>
        <w:spacing w:after="60"/>
        <w:ind w:left="397"/>
      </w:pPr>
      <w:r>
        <w:rPr>
          <w:rFonts w:ascii="Cambria" w:hAnsi="Cambria"/>
          <w:b/>
          <w:i w:val="0"/>
        </w:rPr>
        <w:t>Recording.</w:t>
      </w:r>
      <w:r>
        <w:rPr>
          <w:rFonts w:ascii="Cambria" w:hAnsi="Cambria"/>
          <w:b w:val="0"/>
          <w:i w:val="0"/>
        </w:rPr>
        <w:t xml:space="preserve"> Sessions are recorded for Btakka's internal use, with consent recorded at the start of each session.</w:t>
      </w:r>
    </w:p>
    <w:p>
      <w:pPr>
        <w:pStyle w:val="ListBullet"/>
        <w:spacing w:after="60"/>
        <w:ind w:left="397"/>
      </w:pPr>
      <w:r>
        <w:rPr>
          <w:rFonts w:ascii="Cambria" w:hAnsi="Cambria"/>
          <w:b/>
          <w:i w:val="0"/>
        </w:rPr>
        <w:t>Follow-up.</w:t>
      </w:r>
      <w:r>
        <w:rPr>
          <w:rFonts w:ascii="Cambria" w:hAnsi="Cambria"/>
          <w:b w:val="0"/>
          <w:i w:val="0"/>
        </w:rPr>
        <w:t xml:space="preserve"> A written summary with decisions, assumptions agreed and action items is issued within </w:t>
      </w:r>
      <w:r>
        <w:rPr>
          <w:rFonts w:ascii="Cambria" w:hAnsi="Cambria"/>
          <w:b/>
          <w:i w:val="0"/>
        </w:rPr>
        <w:t>two (2) Business Days</w:t>
      </w:r>
      <w:r>
        <w:rPr>
          <w:rFonts w:ascii="Cambria" w:hAnsi="Cambria"/>
          <w:b w:val="0"/>
          <w:i w:val="0"/>
        </w:rPr>
        <w:t>.</w:t>
      </w:r>
    </w:p>
    <w:p>
      <w:pPr>
        <w:pStyle w:val="ListBullet"/>
        <w:spacing w:after="60"/>
        <w:ind w:left="397"/>
      </w:pPr>
      <w:r>
        <w:rPr>
          <w:rFonts w:ascii="Cambria" w:hAnsi="Cambria"/>
          <w:b/>
          <w:i w:val="0"/>
        </w:rPr>
        <w:t>Preparation.</w:t>
      </w:r>
      <w:r>
        <w:rPr>
          <w:rFonts w:ascii="Cambria" w:hAnsi="Cambria"/>
          <w:b w:val="0"/>
          <w:i w:val="0"/>
        </w:rPr>
        <w:t xml:space="preserve"> A pre-read and preparation list is issued at least </w:t>
      </w:r>
      <w:r>
        <w:rPr>
          <w:rFonts w:ascii="Cambria" w:hAnsi="Cambria"/>
          <w:b/>
          <w:i w:val="0"/>
        </w:rPr>
        <w:t>two (2) Business Days</w:t>
      </w:r>
      <w:r>
        <w:rPr>
          <w:rFonts w:ascii="Cambria" w:hAnsi="Cambria"/>
          <w:b w:val="0"/>
          <w:i w:val="0"/>
        </w:rPr>
        <w:t xml:space="preserve"> before each session. Attendees are expected to have reviewed it.</w:t>
      </w:r>
    </w:p>
    <w:p>
      <w:pPr>
        <w:pStyle w:val="ListBullet"/>
        <w:spacing w:after="60"/>
        <w:ind w:left="397"/>
      </w:pPr>
      <w:r>
        <w:rPr>
          <w:rFonts w:ascii="Cambria" w:hAnsi="Cambria"/>
          <w:b/>
          <w:i w:val="0"/>
        </w:rPr>
        <w:t>Rescheduling.</w:t>
      </w:r>
      <w:r>
        <w:rPr>
          <w:rFonts w:ascii="Cambria" w:hAnsi="Cambria"/>
          <w:b w:val="0"/>
          <w:i w:val="0"/>
        </w:rPr>
        <w:t xml:space="preserve"> One reschedule per workshop is permitted on 24 hours' notice. Subsequent reschedules are chargeable under Clause 4.3.</w:t>
      </w:r>
    </w:p>
    <w:p>
      <w:pPr>
        <w:pStyle w:val="ListBullet"/>
        <w:spacing w:after="60"/>
        <w:ind w:left="397"/>
      </w:pPr>
      <w:r>
        <w:rPr>
          <w:rFonts w:ascii="Cambria" w:hAnsi="Cambria"/>
          <w:b/>
          <w:i w:val="0"/>
        </w:rPr>
        <w:t>Additional sessions.</w:t>
      </w:r>
      <w:r>
        <w:rPr>
          <w:rFonts w:ascii="Cambria" w:hAnsi="Cambria"/>
          <w:b w:val="0"/>
          <w:i w:val="0"/>
        </w:rPr>
        <w:t xml:space="preserve"> Beyond the five listed, additional workshops may be added by written variation.</w:t>
      </w:r>
    </w:p>
    <w:p>
      <w:pPr>
        <w:spacing w:before="120" w:after="120"/>
        <w:pBdr>
          <w:bottom w:val="single" w:sz="6" w:space="1" w:color="C2CCD6"/>
        </w:pBdr>
      </w:pPr>
    </w:p>
    <w:p>
      <w:pPr>
        <w:keepNext/>
        <w:spacing w:before="320" w:after="100"/>
      </w:pPr>
      <w:r>
        <w:rPr>
          <w:rFonts w:ascii="Calibri" w:hAnsi="Calibri"/>
          <w:b/>
          <w:i w:val="0"/>
          <w:color w:val="0F2C4A"/>
          <w:sz w:val="27"/>
        </w:rPr>
        <w:t>Schedule C — Client Input Pack</w:t>
      </w:r>
    </w:p>
    <w:p>
      <w:pPr>
        <w:spacing w:after="120"/>
      </w:pPr>
      <w:r>
        <w:rPr>
          <w:rFonts w:ascii="Cambria" w:hAnsi="Cambria"/>
          <w:b/>
          <w:i w:val="0"/>
        </w:rPr>
        <w:t>Due: within five (5) Business Days of the Effective Date.</w:t>
      </w:r>
      <w:r>
        <w:rPr>
          <w:rFonts w:ascii="Cambria" w:hAnsi="Cambria"/>
          <w:b w:val="0"/>
          <w:i w:val="0"/>
        </w:rPr>
        <w:t xml:space="preserve"> The Phase 1 clock starts when the last item is received.</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Item</w:t>
            </w:r>
          </w:p>
        </w:tc>
        <w:tc>
          <w:tcPr>
            <w:tcW w:type="dxa" w:w="2409"/>
            <w:shd w:val="clear" w:color="auto" w:fill="0F2C4A"/>
          </w:tcPr>
          <w:p>
            <w:pPr>
              <w:spacing w:after="40" w:before="40"/>
            </w:pPr>
            <w:r/>
            <w:r>
              <w:rPr>
                <w:rFonts w:ascii="Calibri" w:hAnsi="Calibri"/>
                <w:b/>
                <w:i w:val="0"/>
                <w:color w:val="FFFFFF"/>
                <w:sz w:val="17"/>
              </w:rPr>
              <w:t>Specification</w:t>
            </w:r>
          </w:p>
        </w:tc>
        <w:tc>
          <w:tcPr>
            <w:tcW w:type="dxa" w:w="2409"/>
            <w:shd w:val="clear" w:color="auto" w:fill="0F2C4A"/>
          </w:tcPr>
          <w:p>
            <w:pPr>
              <w:spacing w:after="40" w:before="40"/>
            </w:pPr>
            <w:r/>
            <w:r>
              <w:rPr>
                <w:rFonts w:ascii="Calibri" w:hAnsi="Calibri"/>
                <w:b/>
                <w:i w:val="0"/>
                <w:color w:val="FFFFFF"/>
                <w:sz w:val="17"/>
              </w:rPr>
              <w:t>Received</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i w:val="0"/>
                <w:sz w:val="17"/>
              </w:rPr>
              <w:t>Company profile</w:t>
            </w:r>
          </w:p>
        </w:tc>
        <w:tc>
          <w:tcPr>
            <w:tcW w:type="dxa" w:w="2409"/>
          </w:tcPr>
          <w:p>
            <w:pPr>
              <w:spacing w:after="40" w:before="40"/>
            </w:pPr>
            <w:r/>
            <w:r>
              <w:rPr>
                <w:rFonts w:ascii="Cambria" w:hAnsi="Cambria"/>
                <w:b w:val="0"/>
                <w:i w:val="0"/>
                <w:sz w:val="17"/>
              </w:rPr>
              <w:t>Overview, history, key milestones to date, legal structure, ownership, and a plain-language description of what Btakka does</w:t>
            </w:r>
          </w:p>
        </w:tc>
        <w:tc>
          <w:tcPr>
            <w:tcW w:type="dxa" w:w="2409"/>
          </w:tcPr>
          <w:p>
            <w:pPr>
              <w:spacing w:after="40" w:before="40"/>
            </w:pPr>
            <w:r/>
            <w:r>
              <w:rPr>
                <w:rFonts w:ascii="Cambria" w:hAnsi="Cambria"/>
                <w:b w:val="0"/>
                <w:i w:val="0"/>
                <w:sz w:val="17"/>
              </w:rPr>
              <w:t>☐</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i w:val="0"/>
                <w:sz w:val="17"/>
              </w:rPr>
              <w:t>HR plan</w:t>
            </w:r>
          </w:p>
        </w:tc>
        <w:tc>
          <w:tcPr>
            <w:tcW w:type="dxa" w:w="2409"/>
            <w:shd w:val="clear" w:color="auto" w:fill="F2F5F8"/>
          </w:tcPr>
          <w:p>
            <w:pPr>
              <w:spacing w:after="40" w:before="40"/>
            </w:pPr>
            <w:r/>
            <w:r>
              <w:rPr>
                <w:rFonts w:ascii="Cambria" w:hAnsi="Cambria"/>
                <w:b w:val="0"/>
                <w:i w:val="0"/>
                <w:sz w:val="17"/>
              </w:rPr>
              <w:t>Current headcount by role and function; current monthly salary cost per role; planned hires with role, seniority, start date and cost; any contractor or agency arrangements</w:t>
            </w:r>
          </w:p>
        </w:tc>
        <w:tc>
          <w:tcPr>
            <w:tcW w:type="dxa" w:w="2409"/>
            <w:shd w:val="clear" w:color="auto" w:fill="F2F5F8"/>
          </w:tcPr>
          <w:p>
            <w:pPr>
              <w:spacing w:after="40" w:before="40"/>
            </w:pPr>
            <w:r/>
            <w:r>
              <w:rPr>
                <w:rFonts w:ascii="Cambria" w:hAnsi="Cambria"/>
                <w:b w:val="0"/>
                <w:i w:val="0"/>
                <w:sz w:val="17"/>
              </w:rPr>
              <w:t>☐</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i w:val="0"/>
                <w:sz w:val="17"/>
              </w:rPr>
              <w:t>Roadmap</w:t>
            </w:r>
          </w:p>
        </w:tc>
        <w:tc>
          <w:tcPr>
            <w:tcW w:type="dxa" w:w="2409"/>
          </w:tcPr>
          <w:p>
            <w:pPr>
              <w:spacing w:after="40" w:before="40"/>
            </w:pPr>
            <w:r/>
            <w:r>
              <w:rPr>
                <w:rFonts w:ascii="Cambria" w:hAnsi="Cambria"/>
                <w:b w:val="0"/>
                <w:i w:val="0"/>
                <w:sz w:val="17"/>
              </w:rPr>
              <w:t>6–12 month product development plan covering both applications, with milestones and target dates</w:t>
            </w:r>
          </w:p>
        </w:tc>
        <w:tc>
          <w:tcPr>
            <w:tcW w:type="dxa" w:w="2409"/>
          </w:tcPr>
          <w:p>
            <w:pPr>
              <w:spacing w:after="40" w:before="40"/>
            </w:pPr>
            <w:r/>
            <w:r>
              <w:rPr>
                <w:rFonts w:ascii="Cambria" w:hAnsi="Cambria"/>
                <w:b w:val="0"/>
                <w:i w:val="0"/>
                <w:sz w:val="17"/>
              </w:rPr>
              <w:t>☐</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i w:val="0"/>
                <w:sz w:val="17"/>
              </w:rPr>
              <w:t>App screenshots</w:t>
            </w:r>
          </w:p>
        </w:tc>
        <w:tc>
          <w:tcPr>
            <w:tcW w:type="dxa" w:w="2409"/>
            <w:shd w:val="clear" w:color="auto" w:fill="F2F5F8"/>
          </w:tcPr>
          <w:p>
            <w:pPr>
              <w:spacing w:after="40" w:before="40"/>
            </w:pPr>
            <w:r/>
            <w:r>
              <w:rPr>
                <w:rFonts w:ascii="Cambria" w:hAnsi="Cambria"/>
                <w:b w:val="0"/>
                <w:i w:val="0"/>
                <w:sz w:val="17"/>
              </w:rPr>
              <w:t xml:space="preserve">High-resolution screenshots of </w:t>
            </w:r>
            <w:r>
              <w:rPr>
                <w:rFonts w:ascii="Cambria" w:hAnsi="Cambria"/>
                <w:b w:val="0"/>
                <w:i/>
                <w:sz w:val="17"/>
              </w:rPr>
              <w:t>Btakka Business</w:t>
            </w:r>
            <w:r>
              <w:rPr>
                <w:rFonts w:ascii="Cambria" w:hAnsi="Cambria"/>
                <w:b w:val="0"/>
                <w:i w:val="0"/>
                <w:sz w:val="17"/>
              </w:rPr>
              <w:t xml:space="preserve"> and </w:t>
            </w:r>
            <w:r>
              <w:rPr>
                <w:rFonts w:ascii="Cambria" w:hAnsi="Cambria"/>
                <w:b w:val="0"/>
                <w:i/>
                <w:sz w:val="17"/>
              </w:rPr>
              <w:t>Btakka Finishing &amp; Decor</w:t>
            </w:r>
            <w:r>
              <w:rPr>
                <w:rFonts w:ascii="Cambria" w:hAnsi="Cambria"/>
                <w:b w:val="0"/>
                <w:i w:val="0"/>
                <w:sz w:val="17"/>
              </w:rPr>
              <w:t>, covering onboarding and the core user journeys, in PNG or JPG</w:t>
            </w:r>
          </w:p>
        </w:tc>
        <w:tc>
          <w:tcPr>
            <w:tcW w:type="dxa" w:w="2409"/>
            <w:shd w:val="clear" w:color="auto" w:fill="F2F5F8"/>
          </w:tcPr>
          <w:p>
            <w:pPr>
              <w:spacing w:after="40" w:before="40"/>
            </w:pPr>
            <w:r/>
            <w:r>
              <w:rPr>
                <w:rFonts w:ascii="Cambria" w:hAnsi="Cambria"/>
                <w:b w:val="0"/>
                <w:i w:val="0"/>
                <w:sz w:val="17"/>
              </w:rPr>
              <w:t>☐</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i w:val="0"/>
                <w:sz w:val="17"/>
              </w:rPr>
              <w:t>Founding team CVs and photos</w:t>
            </w:r>
          </w:p>
        </w:tc>
        <w:tc>
          <w:tcPr>
            <w:tcW w:type="dxa" w:w="2409"/>
          </w:tcPr>
          <w:p>
            <w:pPr>
              <w:spacing w:after="40" w:before="40"/>
            </w:pPr>
            <w:r/>
            <w:r>
              <w:rPr>
                <w:rFonts w:ascii="Cambria" w:hAnsi="Cambria"/>
                <w:b w:val="0"/>
                <w:i w:val="0"/>
                <w:sz w:val="17"/>
              </w:rPr>
              <w:t>Full CV for each founder and key team member; one professional photograph of each, minimum 1000px on the shortest side</w:t>
            </w:r>
          </w:p>
        </w:tc>
        <w:tc>
          <w:tcPr>
            <w:tcW w:type="dxa" w:w="2409"/>
          </w:tcPr>
          <w:p>
            <w:pPr>
              <w:spacing w:after="40" w:before="40"/>
            </w:pPr>
            <w:r/>
            <w:r>
              <w:rPr>
                <w:rFonts w:ascii="Cambria" w:hAnsi="Cambria"/>
                <w:b w:val="0"/>
                <w:i w:val="0"/>
                <w:sz w:val="17"/>
              </w:rPr>
              <w:t>☐</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i w:val="0"/>
                <w:sz w:val="17"/>
              </w:rPr>
              <w:t>Brand guidelines</w:t>
            </w:r>
          </w:p>
        </w:tc>
        <w:tc>
          <w:tcPr>
            <w:tcW w:type="dxa" w:w="2409"/>
            <w:shd w:val="clear" w:color="auto" w:fill="F2F5F8"/>
          </w:tcPr>
          <w:p>
            <w:pPr>
              <w:spacing w:after="40" w:before="40"/>
            </w:pPr>
            <w:r/>
            <w:r>
              <w:rPr>
                <w:rFonts w:ascii="Cambria" w:hAnsi="Cambria"/>
                <w:b w:val="0"/>
                <w:i w:val="0"/>
                <w:sz w:val="17"/>
              </w:rPr>
              <w:t>Brand book or style guide; vector logo files (AI, EPS or SVG); colour palette with hex values; typography and font files or names</w:t>
            </w:r>
          </w:p>
        </w:tc>
        <w:tc>
          <w:tcPr>
            <w:tcW w:type="dxa" w:w="2409"/>
            <w:shd w:val="clear" w:color="auto" w:fill="F2F5F8"/>
          </w:tcPr>
          <w:p>
            <w:pPr>
              <w:spacing w:after="40" w:before="40"/>
            </w:pPr>
            <w:r/>
            <w:r>
              <w:rPr>
                <w:rFonts w:ascii="Cambria" w:hAnsi="Cambria"/>
                <w:b w:val="0"/>
                <w:i w:val="0"/>
                <w:sz w:val="17"/>
              </w:rPr>
              <w:t>☐</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i w:val="0"/>
                <w:sz w:val="17"/>
              </w:rPr>
              <w:t>Business model</w:t>
            </w:r>
          </w:p>
        </w:tc>
        <w:tc>
          <w:tcPr>
            <w:tcW w:type="dxa" w:w="2409"/>
          </w:tcPr>
          <w:p>
            <w:pPr>
              <w:spacing w:after="40" w:before="40"/>
            </w:pPr>
            <w:r/>
            <w:r>
              <w:rPr>
                <w:rFonts w:ascii="Cambria" w:hAnsi="Cambria"/>
                <w:b w:val="0"/>
                <w:i w:val="0"/>
                <w:sz w:val="17"/>
              </w:rPr>
              <w:t>How Btakka earns revenue today and intends to, across both product lines, including pricing, commission or subscription structure, and any revenue actually collected to date</w:t>
            </w:r>
          </w:p>
        </w:tc>
        <w:tc>
          <w:tcPr>
            <w:tcW w:type="dxa" w:w="2409"/>
          </w:tcPr>
          <w:p>
            <w:pPr>
              <w:spacing w:after="40" w:before="40"/>
            </w:pPr>
            <w:r/>
            <w:r>
              <w:rPr>
                <w:rFonts w:ascii="Cambria" w:hAnsi="Cambria"/>
                <w:b w:val="0"/>
                <w:i w:val="0"/>
                <w:sz w:val="17"/>
              </w:rPr>
              <w:t>☐</w:t>
            </w:r>
          </w:p>
        </w:tc>
      </w:tr>
    </w:tbl>
    <w:p>
      <w:pPr>
        <w:spacing w:after="40"/>
      </w:pPr>
    </w:p>
    <w:p>
      <w:pPr>
        <w:keepNext/>
        <w:spacing w:before="240" w:after="80"/>
      </w:pPr>
      <w:r>
        <w:rPr>
          <w:rFonts w:ascii="Calibri" w:hAnsi="Calibri"/>
          <w:b/>
          <w:i w:val="0"/>
          <w:color w:val="1C4A73"/>
          <w:sz w:val="23"/>
        </w:rPr>
        <w:t>C.1 Supporting items required from Btakka</w:t>
      </w:r>
    </w:p>
    <w:p>
      <w:pPr>
        <w:spacing w:after="120"/>
      </w:pPr>
      <w:r>
        <w:rPr>
          <w:rFonts w:ascii="Cambria" w:hAnsi="Cambria"/>
          <w:b w:val="0"/>
          <w:i w:val="0"/>
        </w:rPr>
        <w:t>Requested formally at Workshop W1 as a single consolidated list, and required within five (5) Business Days of that request: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Category</w:t>
            </w:r>
          </w:p>
        </w:tc>
        <w:tc>
          <w:tcPr>
            <w:tcW w:type="dxa" w:w="4819"/>
            <w:shd w:val="clear" w:color="auto" w:fill="0F2C4A"/>
          </w:tcPr>
          <w:p>
            <w:pPr>
              <w:spacing w:after="40" w:before="40"/>
            </w:pPr>
            <w:r/>
            <w:r>
              <w:rPr>
                <w:rFonts w:ascii="Calibri" w:hAnsi="Calibri"/>
                <w:b/>
                <w:i w:val="0"/>
                <w:color w:val="FFFFFF"/>
                <w:sz w:val="17"/>
              </w:rPr>
              <w:t>Items</w:t>
            </w:r>
          </w:p>
        </w:tc>
      </w:tr>
      <w:tr>
        <w:tc>
          <w:tcPr>
            <w:tcW w:type="dxa" w:w="4819"/>
          </w:tcPr>
          <w:p>
            <w:pPr>
              <w:spacing w:after="40" w:before="40"/>
            </w:pPr>
            <w:r/>
            <w:r>
              <w:rPr>
                <w:rFonts w:ascii="Cambria" w:hAnsi="Cambria"/>
                <w:b/>
                <w:i w:val="0"/>
                <w:sz w:val="17"/>
              </w:rPr>
              <w:t>Corporate</w:t>
            </w:r>
          </w:p>
        </w:tc>
        <w:tc>
          <w:tcPr>
            <w:tcW w:type="dxa" w:w="4819"/>
          </w:tcPr>
          <w:p>
            <w:pPr>
              <w:spacing w:after="40" w:before="40"/>
            </w:pPr>
            <w:r/>
            <w:r>
              <w:rPr>
                <w:rFonts w:ascii="Cambria" w:hAnsi="Cambria"/>
                <w:b w:val="0"/>
                <w:i w:val="0"/>
                <w:sz w:val="17"/>
              </w:rPr>
              <w:t>Certificate of Incorporation; business registration and licences; founder agreements including vesting; any prior funding instruments (SAFEs, convertible notes, friends-and-family)</w:t>
            </w:r>
          </w:p>
        </w:tc>
      </w:tr>
      <w:tr>
        <w:tc>
          <w:tcPr>
            <w:tcW w:type="dxa" w:w="4819"/>
            <w:shd w:val="clear" w:color="auto" w:fill="F2F5F8"/>
          </w:tcPr>
          <w:p>
            <w:pPr>
              <w:spacing w:after="40" w:before="40"/>
            </w:pPr>
            <w:r/>
            <w:r>
              <w:rPr>
                <w:rFonts w:ascii="Cambria" w:hAnsi="Cambria"/>
                <w:b/>
                <w:i w:val="0"/>
                <w:sz w:val="17"/>
              </w:rPr>
              <w:t>Financial</w:t>
            </w:r>
          </w:p>
        </w:tc>
        <w:tc>
          <w:tcPr>
            <w:tcW w:type="dxa" w:w="4819"/>
            <w:shd w:val="clear" w:color="auto" w:fill="F2F5F8"/>
          </w:tcPr>
          <w:p>
            <w:pPr>
              <w:spacing w:after="40" w:before="40"/>
            </w:pPr>
            <w:r/>
            <w:r>
              <w:rPr>
                <w:rFonts w:ascii="Cambria" w:hAnsi="Cambria"/>
                <w:b w:val="0"/>
                <w:i w:val="0"/>
                <w:sz w:val="17"/>
              </w:rPr>
              <w:t>Management accounts or financial records for the last 6–12 months; current bank balances; monthly burn; any outstanding liabilities or obligations</w:t>
            </w:r>
          </w:p>
        </w:tc>
      </w:tr>
      <w:tr>
        <w:tc>
          <w:tcPr>
            <w:tcW w:type="dxa" w:w="4819"/>
          </w:tcPr>
          <w:p>
            <w:pPr>
              <w:spacing w:after="40" w:before="40"/>
            </w:pPr>
            <w:r/>
            <w:r>
              <w:rPr>
                <w:rFonts w:ascii="Cambria" w:hAnsi="Cambria"/>
                <w:b/>
                <w:i w:val="0"/>
                <w:sz w:val="17"/>
              </w:rPr>
              <w:t>Traction</w:t>
            </w:r>
          </w:p>
        </w:tc>
        <w:tc>
          <w:tcPr>
            <w:tcW w:type="dxa" w:w="4819"/>
          </w:tcPr>
          <w:p>
            <w:pPr>
              <w:spacing w:after="40" w:before="40"/>
            </w:pPr>
            <w:r/>
            <w:r>
              <w:rPr>
                <w:rFonts w:ascii="Cambria" w:hAnsi="Cambria"/>
                <w:b w:val="0"/>
                <w:i w:val="0"/>
                <w:sz w:val="17"/>
              </w:rPr>
              <w:t>App analytics — downloads, installs, activations, active users, retention; transaction or order volume; revenue collected; any cohort data available</w:t>
            </w:r>
          </w:p>
        </w:tc>
      </w:tr>
      <w:tr>
        <w:tc>
          <w:tcPr>
            <w:tcW w:type="dxa" w:w="4819"/>
            <w:shd w:val="clear" w:color="auto" w:fill="F2F5F8"/>
          </w:tcPr>
          <w:p>
            <w:pPr>
              <w:spacing w:after="40" w:before="40"/>
            </w:pPr>
            <w:r/>
            <w:r>
              <w:rPr>
                <w:rFonts w:ascii="Cambria" w:hAnsi="Cambria"/>
                <w:b/>
                <w:i w:val="0"/>
                <w:sz w:val="17"/>
              </w:rPr>
              <w:t>Customer</w:t>
            </w:r>
          </w:p>
        </w:tc>
        <w:tc>
          <w:tcPr>
            <w:tcW w:type="dxa" w:w="4819"/>
            <w:shd w:val="clear" w:color="auto" w:fill="F2F5F8"/>
          </w:tcPr>
          <w:p>
            <w:pPr>
              <w:spacing w:after="40" w:before="40"/>
            </w:pPr>
            <w:r/>
            <w:r>
              <w:rPr>
                <w:rFonts w:ascii="Cambria" w:hAnsi="Cambria"/>
                <w:b w:val="0"/>
                <w:i w:val="0"/>
                <w:sz w:val="17"/>
              </w:rPr>
              <w:t>Customer or user interviews; reviews and testimonials; pilot or early customer list; any letters of intent</w:t>
            </w:r>
          </w:p>
        </w:tc>
      </w:tr>
      <w:tr>
        <w:tc>
          <w:tcPr>
            <w:tcW w:type="dxa" w:w="4819"/>
          </w:tcPr>
          <w:p>
            <w:pPr>
              <w:spacing w:after="40" w:before="40"/>
            </w:pPr>
            <w:r/>
            <w:r>
              <w:rPr>
                <w:rFonts w:ascii="Cambria" w:hAnsi="Cambria"/>
                <w:b/>
                <w:i w:val="0"/>
                <w:sz w:val="17"/>
              </w:rPr>
              <w:t>Legal</w:t>
            </w:r>
          </w:p>
        </w:tc>
        <w:tc>
          <w:tcPr>
            <w:tcW w:type="dxa" w:w="4819"/>
          </w:tcPr>
          <w:p>
            <w:pPr>
              <w:spacing w:after="40" w:before="40"/>
            </w:pPr>
            <w:r/>
            <w:r>
              <w:rPr>
                <w:rFonts w:ascii="Cambria" w:hAnsi="Cambria"/>
                <w:b w:val="0"/>
                <w:i w:val="0"/>
                <w:sz w:val="17"/>
              </w:rPr>
              <w:t>Disclosure of any dispute, claim, regulatory matter, IP issue or contingent liability</w:t>
            </w:r>
          </w:p>
        </w:tc>
      </w:tr>
      <w:tr>
        <w:tc>
          <w:tcPr>
            <w:tcW w:type="dxa" w:w="4819"/>
            <w:shd w:val="clear" w:color="auto" w:fill="F2F5F8"/>
          </w:tcPr>
          <w:p>
            <w:pPr>
              <w:spacing w:after="40" w:before="40"/>
            </w:pPr>
            <w:r/>
            <w:r>
              <w:rPr>
                <w:rFonts w:ascii="Cambria" w:hAnsi="Cambria"/>
                <w:b/>
                <w:i w:val="0"/>
                <w:sz w:val="17"/>
              </w:rPr>
              <w:t>Optional</w:t>
            </w:r>
          </w:p>
        </w:tc>
        <w:tc>
          <w:tcPr>
            <w:tcW w:type="dxa" w:w="4819"/>
            <w:shd w:val="clear" w:color="auto" w:fill="F2F5F8"/>
          </w:tcPr>
          <w:p>
            <w:pPr>
              <w:spacing w:after="40" w:before="40"/>
            </w:pPr>
            <w:r/>
            <w:r>
              <w:rPr>
                <w:rFonts w:ascii="Cambria" w:hAnsi="Cambria"/>
                <w:b w:val="0"/>
                <w:i w:val="0"/>
                <w:sz w:val="17"/>
              </w:rPr>
              <w:t>Advisor list; key vendor agreements; insurance policies; partnership discussions; customer and advisor references</w:t>
            </w:r>
          </w:p>
        </w:tc>
      </w:tr>
    </w:tbl>
    <w:p>
      <w:pPr>
        <w:spacing w:after="40"/>
      </w:pPr>
    </w:p>
    <w:p>
      <w:pPr>
        <w:spacing w:before="120" w:after="120"/>
        <w:pBdr>
          <w:bottom w:val="single" w:sz="6" w:space="1" w:color="C2CCD6"/>
        </w:pBdr>
      </w:pPr>
    </w:p>
    <w:p>
      <w:pPr>
        <w:keepNext/>
        <w:spacing w:before="320" w:after="100"/>
      </w:pPr>
      <w:r>
        <w:rPr>
          <w:rFonts w:ascii="Calibri" w:hAnsi="Calibri"/>
          <w:b/>
          <w:i w:val="0"/>
          <w:color w:val="0F2C4A"/>
          <w:sz w:val="27"/>
        </w:rPr>
        <w:t>Schedule D — Fee Schedule and Payment Milestones</w:t>
      </w:r>
    </w:p>
    <w:p>
      <w:pPr>
        <w:keepNext/>
        <w:spacing w:before="240" w:after="80"/>
      </w:pPr>
      <w:r>
        <w:rPr>
          <w:rFonts w:ascii="Calibri" w:hAnsi="Calibri"/>
          <w:b/>
          <w:i w:val="0"/>
          <w:color w:val="1C4A73"/>
          <w:sz w:val="23"/>
        </w:rPr>
        <w:t>D.1 Fixed Fee — EGP 150,000</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F2C4A"/>
          </w:tcPr>
          <w:p>
            <w:pPr>
              <w:spacing w:after="40" w:before="40"/>
            </w:pPr>
            <w:r/>
            <w:r>
              <w:rPr>
                <w:rFonts w:ascii="Calibri" w:hAnsi="Calibri"/>
                <w:b/>
                <w:i w:val="0"/>
                <w:color w:val="FFFFFF"/>
                <w:sz w:val="17"/>
              </w:rPr>
              <w:t>Milestone</w:t>
            </w:r>
          </w:p>
        </w:tc>
        <w:tc>
          <w:tcPr>
            <w:tcW w:type="dxa" w:w="1606"/>
            <w:shd w:val="clear" w:color="auto" w:fill="0F2C4A"/>
          </w:tcPr>
          <w:p>
            <w:pPr>
              <w:spacing w:after="40" w:before="40"/>
            </w:pPr>
            <w:r/>
            <w:r>
              <w:rPr>
                <w:rFonts w:ascii="Calibri" w:hAnsi="Calibri"/>
                <w:b/>
                <w:i w:val="0"/>
                <w:color w:val="FFFFFF"/>
                <w:sz w:val="17"/>
              </w:rPr>
              <w:t>Trigger event</w:t>
            </w:r>
          </w:p>
        </w:tc>
        <w:tc>
          <w:tcPr>
            <w:tcW w:type="dxa" w:w="1606"/>
            <w:shd w:val="clear" w:color="auto" w:fill="0F2C4A"/>
          </w:tcPr>
          <w:p>
            <w:pPr>
              <w:spacing w:after="40" w:before="40"/>
            </w:pPr>
            <w:r/>
            <w:r>
              <w:rPr>
                <w:rFonts w:ascii="Calibri" w:hAnsi="Calibri"/>
                <w:b/>
                <w:i w:val="0"/>
                <w:color w:val="FFFFFF"/>
                <w:sz w:val="17"/>
              </w:rPr>
              <w:t>Evidence of trigger</w:t>
            </w:r>
          </w:p>
        </w:tc>
        <w:tc>
          <w:tcPr>
            <w:tcW w:type="dxa" w:w="1606"/>
            <w:shd w:val="clear" w:color="auto" w:fill="0F2C4A"/>
          </w:tcPr>
          <w:p>
            <w:pPr>
              <w:spacing w:after="40" w:before="40"/>
            </w:pPr>
            <w:r/>
            <w:r>
              <w:rPr>
                <w:rFonts w:ascii="Calibri" w:hAnsi="Calibri"/>
                <w:b/>
                <w:i w:val="0"/>
                <w:color w:val="FFFFFF"/>
                <w:sz w:val="17"/>
              </w:rPr>
              <w:t>Amount (EGP)</w:t>
            </w:r>
          </w:p>
        </w:tc>
        <w:tc>
          <w:tcPr>
            <w:tcW w:type="dxa" w:w="1606"/>
            <w:shd w:val="clear" w:color="auto" w:fill="0F2C4A"/>
          </w:tcPr>
          <w:p>
            <w:pPr>
              <w:spacing w:after="40" w:before="40"/>
            </w:pPr>
            <w:r/>
            <w:r>
              <w:rPr>
                <w:rFonts w:ascii="Calibri" w:hAnsi="Calibri"/>
                <w:b/>
                <w:i w:val="0"/>
                <w:color w:val="FFFFFF"/>
                <w:sz w:val="17"/>
              </w:rPr>
              <w:t>Invoice issued</w:t>
            </w:r>
          </w:p>
        </w:tc>
        <w:tc>
          <w:tcPr>
            <w:tcW w:type="dxa" w:w="1606"/>
            <w:shd w:val="clear" w:color="auto" w:fill="0F2C4A"/>
          </w:tcPr>
          <w:p>
            <w:pPr>
              <w:spacing w:after="40" w:before="40"/>
            </w:pPr>
            <w:r/>
            <w:r>
              <w:rPr>
                <w:rFonts w:ascii="Calibri" w:hAnsi="Calibri"/>
                <w:b/>
                <w:i w:val="0"/>
                <w:color w:val="FFFFFF"/>
                <w:sz w:val="17"/>
              </w:rPr>
              <w:t>Payment due</w:t>
            </w:r>
          </w:p>
        </w:tc>
      </w:tr>
      <w:tr>
        <w:tc>
          <w:tcPr>
            <w:tcW w:type="dxa" w:w="1606"/>
          </w:tcPr>
          <w:p>
            <w:pPr>
              <w:spacing w:after="40" w:before="40"/>
            </w:pPr>
            <w:r/>
            <w:r>
              <w:rPr>
                <w:rFonts w:ascii="Cambria" w:hAnsi="Cambria"/>
                <w:b/>
                <w:i w:val="0"/>
                <w:sz w:val="17"/>
              </w:rPr>
              <w:t>M1 — Deposit</w:t>
            </w:r>
          </w:p>
        </w:tc>
        <w:tc>
          <w:tcPr>
            <w:tcW w:type="dxa" w:w="1606"/>
          </w:tcPr>
          <w:p>
            <w:pPr>
              <w:spacing w:after="40" w:before="40"/>
            </w:pPr>
            <w:r/>
            <w:r>
              <w:rPr>
                <w:rFonts w:ascii="Cambria" w:hAnsi="Cambria"/>
                <w:b w:val="0"/>
                <w:i w:val="0"/>
                <w:sz w:val="17"/>
              </w:rPr>
              <w:t>Signature of this Agreement</w:t>
            </w:r>
          </w:p>
        </w:tc>
        <w:tc>
          <w:tcPr>
            <w:tcW w:type="dxa" w:w="1606"/>
          </w:tcPr>
          <w:p>
            <w:pPr>
              <w:spacing w:after="40" w:before="40"/>
            </w:pPr>
            <w:r/>
            <w:r>
              <w:rPr>
                <w:rFonts w:ascii="Cambria" w:hAnsi="Cambria"/>
                <w:b w:val="0"/>
                <w:i w:val="0"/>
                <w:sz w:val="17"/>
              </w:rPr>
              <w:t>Executed Agreement</w:t>
            </w:r>
          </w:p>
        </w:tc>
        <w:tc>
          <w:tcPr>
            <w:tcW w:type="dxa" w:w="1606"/>
          </w:tcPr>
          <w:p>
            <w:pPr>
              <w:spacing w:after="40" w:before="40"/>
            </w:pPr>
            <w:r/>
            <w:r>
              <w:rPr>
                <w:rFonts w:ascii="Cambria" w:hAnsi="Cambria"/>
                <w:b/>
                <w:i w:val="0"/>
                <w:sz w:val="17"/>
              </w:rPr>
              <w:t>30,000</w:t>
            </w:r>
          </w:p>
        </w:tc>
        <w:tc>
          <w:tcPr>
            <w:tcW w:type="dxa" w:w="1606"/>
          </w:tcPr>
          <w:p>
            <w:pPr>
              <w:spacing w:after="40" w:before="40"/>
            </w:pPr>
            <w:r/>
            <w:r>
              <w:rPr>
                <w:rFonts w:ascii="Cambria" w:hAnsi="Cambria"/>
                <w:b w:val="0"/>
                <w:i w:val="0"/>
                <w:sz w:val="17"/>
              </w:rPr>
              <w:t>On signature</w:t>
            </w:r>
          </w:p>
        </w:tc>
        <w:tc>
          <w:tcPr>
            <w:tcW w:type="dxa" w:w="1606"/>
          </w:tcPr>
          <w:p>
            <w:pPr>
              <w:spacing w:after="40" w:before="40"/>
            </w:pPr>
            <w:r/>
            <w:r>
              <w:rPr>
                <w:rFonts w:ascii="Cambria" w:hAnsi="Cambria"/>
                <w:b w:val="0"/>
                <w:i w:val="0"/>
                <w:sz w:val="17"/>
              </w:rPr>
              <w:t>Within 7 Business Days, and before the Phase 1 Start Date</w:t>
            </w:r>
          </w:p>
        </w:tc>
      </w:tr>
      <w:tr>
        <w:tc>
          <w:tcPr>
            <w:tcW w:type="dxa" w:w="1606"/>
            <w:shd w:val="clear" w:color="auto" w:fill="F2F5F8"/>
          </w:tcPr>
          <w:p>
            <w:pPr>
              <w:spacing w:after="40" w:before="40"/>
            </w:pPr>
            <w:r/>
            <w:r>
              <w:rPr>
                <w:rFonts w:ascii="Cambria" w:hAnsi="Cambria"/>
                <w:b/>
                <w:i w:val="0"/>
                <w:sz w:val="17"/>
              </w:rPr>
              <w:t>M2 — Readiness</w:t>
            </w:r>
          </w:p>
        </w:tc>
        <w:tc>
          <w:tcPr>
            <w:tcW w:type="dxa" w:w="1606"/>
            <w:shd w:val="clear" w:color="auto" w:fill="F2F5F8"/>
          </w:tcPr>
          <w:p>
            <w:pPr>
              <w:spacing w:after="40" w:before="40"/>
            </w:pPr>
            <w:r/>
            <w:r>
              <w:rPr>
                <w:rFonts w:ascii="Cambria" w:hAnsi="Cambria"/>
                <w:b w:val="0"/>
                <w:i w:val="0"/>
                <w:sz w:val="17"/>
              </w:rPr>
              <w:t>Completion of Phase 1 under Clause 3.4</w:t>
            </w:r>
          </w:p>
        </w:tc>
        <w:tc>
          <w:tcPr>
            <w:tcW w:type="dxa" w:w="1606"/>
            <w:shd w:val="clear" w:color="auto" w:fill="F2F5F8"/>
          </w:tcPr>
          <w:p>
            <w:pPr>
              <w:spacing w:after="40" w:before="40"/>
            </w:pPr>
            <w:r/>
            <w:r>
              <w:rPr>
                <w:rFonts w:ascii="Cambria" w:hAnsi="Cambria"/>
                <w:b w:val="0"/>
                <w:i w:val="0"/>
                <w:sz w:val="17"/>
              </w:rPr>
              <w:t>Client sign-off of the diligence readiness review, or deemed sign-off after 5 Business Days</w:t>
            </w:r>
          </w:p>
        </w:tc>
        <w:tc>
          <w:tcPr>
            <w:tcW w:type="dxa" w:w="1606"/>
            <w:shd w:val="clear" w:color="auto" w:fill="F2F5F8"/>
          </w:tcPr>
          <w:p>
            <w:pPr>
              <w:spacing w:after="40" w:before="40"/>
            </w:pPr>
            <w:r/>
            <w:r>
              <w:rPr>
                <w:rFonts w:ascii="Cambria" w:hAnsi="Cambria"/>
                <w:b/>
                <w:i w:val="0"/>
                <w:sz w:val="17"/>
              </w:rPr>
              <w:t>30,000</w:t>
            </w:r>
          </w:p>
        </w:tc>
        <w:tc>
          <w:tcPr>
            <w:tcW w:type="dxa" w:w="1606"/>
            <w:shd w:val="clear" w:color="auto" w:fill="F2F5F8"/>
          </w:tcPr>
          <w:p>
            <w:pPr>
              <w:spacing w:after="40" w:before="40"/>
            </w:pPr>
            <w:r/>
            <w:r>
              <w:rPr>
                <w:rFonts w:ascii="Cambria" w:hAnsi="Cambria"/>
                <w:b w:val="0"/>
                <w:i w:val="0"/>
                <w:sz w:val="17"/>
              </w:rPr>
              <w:t>On completion</w:t>
            </w:r>
          </w:p>
        </w:tc>
        <w:tc>
          <w:tcPr>
            <w:tcW w:type="dxa" w:w="1606"/>
            <w:shd w:val="clear" w:color="auto" w:fill="F2F5F8"/>
          </w:tcPr>
          <w:p>
            <w:pPr>
              <w:spacing w:after="40" w:before="40"/>
            </w:pPr>
            <w:r/>
            <w:r>
              <w:rPr>
                <w:rFonts w:ascii="Cambria" w:hAnsi="Cambria"/>
                <w:b w:val="0"/>
                <w:i w:val="0"/>
                <w:sz w:val="17"/>
              </w:rPr>
              <w:t>Within 7 Business Days</w:t>
            </w:r>
          </w:p>
        </w:tc>
      </w:tr>
      <w:tr>
        <w:tc>
          <w:tcPr>
            <w:tcW w:type="dxa" w:w="1606"/>
          </w:tcPr>
          <w:p>
            <w:pPr>
              <w:spacing w:after="40" w:before="40"/>
            </w:pPr>
            <w:r/>
            <w:r>
              <w:rPr>
                <w:rFonts w:ascii="Cambria" w:hAnsi="Cambria"/>
                <w:b/>
                <w:i w:val="0"/>
                <w:sz w:val="17"/>
              </w:rPr>
              <w:t>M3 — Closing</w:t>
            </w:r>
          </w:p>
        </w:tc>
        <w:tc>
          <w:tcPr>
            <w:tcW w:type="dxa" w:w="1606"/>
          </w:tcPr>
          <w:p>
            <w:pPr>
              <w:spacing w:after="40" w:before="40"/>
            </w:pPr>
            <w:r/>
            <w:r>
              <w:rPr>
                <w:rFonts w:ascii="Cambria" w:hAnsi="Cambria"/>
                <w:b w:val="0"/>
                <w:i w:val="0"/>
                <w:sz w:val="17"/>
              </w:rPr>
              <w:t>First Close</w:t>
            </w:r>
          </w:p>
        </w:tc>
        <w:tc>
          <w:tcPr>
            <w:tcW w:type="dxa" w:w="1606"/>
          </w:tcPr>
          <w:p>
            <w:pPr>
              <w:spacing w:after="40" w:before="40"/>
            </w:pPr>
            <w:r/>
            <w:r>
              <w:rPr>
                <w:rFonts w:ascii="Cambria" w:hAnsi="Cambria"/>
                <w:b w:val="0"/>
                <w:i w:val="0"/>
                <w:sz w:val="17"/>
              </w:rPr>
              <w:t>Confirmation of funds received in cleared funds, from any Investor, Introduced or Client-Sourced</w:t>
            </w:r>
          </w:p>
        </w:tc>
        <w:tc>
          <w:tcPr>
            <w:tcW w:type="dxa" w:w="1606"/>
          </w:tcPr>
          <w:p>
            <w:pPr>
              <w:spacing w:after="40" w:before="40"/>
            </w:pPr>
            <w:r/>
            <w:r>
              <w:rPr>
                <w:rFonts w:ascii="Cambria" w:hAnsi="Cambria"/>
                <w:b/>
                <w:i w:val="0"/>
                <w:sz w:val="17"/>
              </w:rPr>
              <w:t>90,000</w:t>
            </w:r>
          </w:p>
        </w:tc>
        <w:tc>
          <w:tcPr>
            <w:tcW w:type="dxa" w:w="1606"/>
          </w:tcPr>
          <w:p>
            <w:pPr>
              <w:spacing w:after="40" w:before="40"/>
            </w:pPr>
            <w:r/>
            <w:r>
              <w:rPr>
                <w:rFonts w:ascii="Cambria" w:hAnsi="Cambria"/>
                <w:b w:val="0"/>
                <w:i w:val="0"/>
                <w:sz w:val="17"/>
              </w:rPr>
              <w:t>On First Close</w:t>
            </w:r>
          </w:p>
        </w:tc>
        <w:tc>
          <w:tcPr>
            <w:tcW w:type="dxa" w:w="1606"/>
          </w:tcPr>
          <w:p>
            <w:pPr>
              <w:spacing w:after="40" w:before="40"/>
            </w:pPr>
            <w:r/>
            <w:r>
              <w:rPr>
                <w:rFonts w:ascii="Cambria" w:hAnsi="Cambria"/>
                <w:b w:val="0"/>
                <w:i w:val="0"/>
                <w:sz w:val="17"/>
              </w:rPr>
              <w:t>Within 7 Business Days</w:t>
            </w:r>
          </w:p>
        </w:tc>
      </w:tr>
      <w:tr>
        <w:tc>
          <w:tcPr>
            <w:tcW w:type="dxa" w:w="1606"/>
            <w:shd w:val="clear" w:color="auto" w:fill="F2F5F8"/>
          </w:tcPr>
          <w:p>
            <w:pPr>
              <w:spacing w:after="40" w:before="40"/>
            </w:pPr>
            <w:r/>
          </w:p>
        </w:tc>
        <w:tc>
          <w:tcPr>
            <w:tcW w:type="dxa" w:w="1606"/>
            <w:shd w:val="clear" w:color="auto" w:fill="F2F5F8"/>
          </w:tcPr>
          <w:p>
            <w:pPr>
              <w:spacing w:after="40" w:before="40"/>
            </w:pPr>
            <w:r/>
          </w:p>
        </w:tc>
        <w:tc>
          <w:tcPr>
            <w:tcW w:type="dxa" w:w="1606"/>
            <w:shd w:val="clear" w:color="auto" w:fill="F2F5F8"/>
          </w:tcPr>
          <w:p>
            <w:pPr>
              <w:spacing w:after="40" w:before="40"/>
            </w:pPr>
            <w:r/>
            <w:r>
              <w:rPr>
                <w:rFonts w:ascii="Cambria" w:hAnsi="Cambria"/>
                <w:b/>
                <w:i w:val="0"/>
                <w:sz w:val="17"/>
              </w:rPr>
              <w:t>Total Fixed Fee</w:t>
            </w:r>
          </w:p>
        </w:tc>
        <w:tc>
          <w:tcPr>
            <w:tcW w:type="dxa" w:w="1606"/>
            <w:shd w:val="clear" w:color="auto" w:fill="F2F5F8"/>
          </w:tcPr>
          <w:p>
            <w:pPr>
              <w:spacing w:after="40" w:before="40"/>
            </w:pPr>
            <w:r/>
            <w:r>
              <w:rPr>
                <w:rFonts w:ascii="Cambria" w:hAnsi="Cambria"/>
                <w:b/>
                <w:i w:val="0"/>
                <w:sz w:val="17"/>
              </w:rPr>
              <w:t>150,000</w:t>
            </w:r>
          </w:p>
        </w:tc>
        <w:tc>
          <w:tcPr>
            <w:tcW w:type="dxa" w:w="1606"/>
            <w:shd w:val="clear" w:color="auto" w:fill="F2F5F8"/>
          </w:tcPr>
          <w:p>
            <w:pPr>
              <w:spacing w:after="40" w:before="40"/>
            </w:pPr>
            <w:r/>
          </w:p>
        </w:tc>
        <w:tc>
          <w:tcPr>
            <w:tcW w:type="dxa" w:w="1606"/>
            <w:shd w:val="clear" w:color="auto" w:fill="F2F5F8"/>
          </w:tcPr>
          <w:p>
            <w:pPr>
              <w:spacing w:after="40" w:before="40"/>
            </w:pPr>
            <w:r/>
          </w:p>
        </w:tc>
      </w:tr>
    </w:tbl>
    <w:p>
      <w:pPr>
        <w:spacing w:after="40"/>
      </w:pPr>
    </w:p>
    <w:p>
      <w:pPr>
        <w:keepNext/>
        <w:spacing w:before="240" w:after="80"/>
      </w:pPr>
      <w:r>
        <w:rPr>
          <w:rFonts w:ascii="Calibri" w:hAnsi="Calibri"/>
          <w:b/>
          <w:i w:val="0"/>
          <w:color w:val="1C4A73"/>
          <w:sz w:val="23"/>
        </w:rPr>
        <w:t>D.2 Success Fee — 10%</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Element</w:t>
            </w:r>
          </w:p>
        </w:tc>
        <w:tc>
          <w:tcPr>
            <w:tcW w:type="dxa" w:w="4819"/>
            <w:shd w:val="clear" w:color="auto" w:fill="0F2C4A"/>
          </w:tcPr>
          <w:p>
            <w:pPr>
              <w:spacing w:after="40" w:before="40"/>
            </w:pPr>
            <w:r/>
            <w:r>
              <w:rPr>
                <w:rFonts w:ascii="Calibri" w:hAnsi="Calibri"/>
                <w:b/>
                <w:i w:val="0"/>
                <w:color w:val="FFFFFF"/>
                <w:sz w:val="17"/>
              </w:rPr>
              <w:t>Term</w:t>
            </w:r>
          </w:p>
        </w:tc>
      </w:tr>
      <w:tr>
        <w:tc>
          <w:tcPr>
            <w:tcW w:type="dxa" w:w="4819"/>
          </w:tcPr>
          <w:p>
            <w:pPr>
              <w:spacing w:after="40" w:before="40"/>
            </w:pPr>
            <w:r/>
            <w:r>
              <w:rPr>
                <w:rFonts w:ascii="Cambria" w:hAnsi="Cambria"/>
                <w:b/>
                <w:i w:val="0"/>
                <w:sz w:val="17"/>
              </w:rPr>
              <w:t>Rate</w:t>
            </w:r>
          </w:p>
        </w:tc>
        <w:tc>
          <w:tcPr>
            <w:tcW w:type="dxa" w:w="4819"/>
          </w:tcPr>
          <w:p>
            <w:pPr>
              <w:spacing w:after="40" w:before="40"/>
            </w:pPr>
            <w:r/>
            <w:r>
              <w:rPr>
                <w:rFonts w:ascii="Cambria" w:hAnsi="Cambria"/>
                <w:b w:val="0"/>
                <w:i w:val="0"/>
                <w:sz w:val="17"/>
              </w:rPr>
              <w:t>10% of the Investment Amount</w:t>
            </w:r>
          </w:p>
        </w:tc>
      </w:tr>
      <w:tr>
        <w:tc>
          <w:tcPr>
            <w:tcW w:type="dxa" w:w="4819"/>
            <w:shd w:val="clear" w:color="auto" w:fill="F2F5F8"/>
          </w:tcPr>
          <w:p>
            <w:pPr>
              <w:spacing w:after="40" w:before="40"/>
            </w:pPr>
            <w:r/>
            <w:r>
              <w:rPr>
                <w:rFonts w:ascii="Cambria" w:hAnsi="Cambria"/>
                <w:b/>
                <w:i w:val="0"/>
                <w:sz w:val="17"/>
              </w:rPr>
              <w:t>Base</w:t>
            </w:r>
          </w:p>
        </w:tc>
        <w:tc>
          <w:tcPr>
            <w:tcW w:type="dxa" w:w="4819"/>
            <w:shd w:val="clear" w:color="auto" w:fill="F2F5F8"/>
          </w:tcPr>
          <w:p>
            <w:pPr>
              <w:spacing w:after="40" w:before="40"/>
            </w:pPr>
            <w:r/>
            <w:r>
              <w:rPr>
                <w:rFonts w:ascii="Cambria" w:hAnsi="Cambria"/>
                <w:b w:val="0"/>
                <w:i w:val="0"/>
                <w:sz w:val="17"/>
              </w:rPr>
              <w:t xml:space="preserve">Aggregate Investment Amount funded by </w:t>
            </w:r>
            <w:r>
              <w:rPr>
                <w:rFonts w:ascii="Cambria" w:hAnsi="Cambria"/>
                <w:b/>
                <w:i w:val="0"/>
                <w:sz w:val="17"/>
              </w:rPr>
              <w:t>Introduced Investors</w:t>
            </w:r>
            <w:r>
              <w:rPr>
                <w:rFonts w:ascii="Cambria" w:hAnsi="Cambria"/>
                <w:b w:val="0"/>
                <w:i w:val="0"/>
                <w:sz w:val="17"/>
              </w:rPr>
              <w:t xml:space="preserve"> only</w:t>
            </w:r>
          </w:p>
        </w:tc>
      </w:tr>
      <w:tr>
        <w:tc>
          <w:tcPr>
            <w:tcW w:type="dxa" w:w="4819"/>
          </w:tcPr>
          <w:p>
            <w:pPr>
              <w:spacing w:after="40" w:before="40"/>
            </w:pPr>
            <w:r/>
            <w:r>
              <w:rPr>
                <w:rFonts w:ascii="Cambria" w:hAnsi="Cambria"/>
                <w:b/>
                <w:i w:val="0"/>
                <w:sz w:val="17"/>
              </w:rPr>
              <w:t>Excluded</w:t>
            </w:r>
          </w:p>
        </w:tc>
        <w:tc>
          <w:tcPr>
            <w:tcW w:type="dxa" w:w="4819"/>
          </w:tcPr>
          <w:p>
            <w:pPr>
              <w:spacing w:after="40" w:before="40"/>
            </w:pPr>
            <w:r/>
            <w:r>
              <w:rPr>
                <w:rFonts w:ascii="Cambria" w:hAnsi="Cambria"/>
                <w:b w:val="0"/>
                <w:i w:val="0"/>
                <w:sz w:val="17"/>
              </w:rPr>
              <w:t>Tickets from Client-Sourced Investors (Clause 5.8)</w:t>
            </w:r>
          </w:p>
        </w:tc>
      </w:tr>
      <w:tr>
        <w:tc>
          <w:tcPr>
            <w:tcW w:type="dxa" w:w="4819"/>
            <w:shd w:val="clear" w:color="auto" w:fill="F2F5F8"/>
          </w:tcPr>
          <w:p>
            <w:pPr>
              <w:spacing w:after="40" w:before="40"/>
            </w:pPr>
            <w:r/>
            <w:r>
              <w:rPr>
                <w:rFonts w:ascii="Cambria" w:hAnsi="Cambria"/>
                <w:b/>
                <w:i w:val="0"/>
                <w:sz w:val="17"/>
              </w:rPr>
              <w:t>Included instruments</w:t>
            </w:r>
          </w:p>
        </w:tc>
        <w:tc>
          <w:tcPr>
            <w:tcW w:type="dxa" w:w="4819"/>
            <w:shd w:val="clear" w:color="auto" w:fill="F2F5F8"/>
          </w:tcPr>
          <w:p>
            <w:pPr>
              <w:spacing w:after="40" w:before="40"/>
            </w:pPr>
            <w:r/>
            <w:r>
              <w:rPr>
                <w:rFonts w:ascii="Cambria" w:hAnsi="Cambria"/>
                <w:b w:val="0"/>
                <w:i w:val="0"/>
                <w:sz w:val="17"/>
              </w:rPr>
              <w:t>Equity subscriptions; SAFEs and convertible notes at face or principal amount; quasi-equity</w:t>
            </w:r>
          </w:p>
        </w:tc>
      </w:tr>
      <w:tr>
        <w:tc>
          <w:tcPr>
            <w:tcW w:type="dxa" w:w="4819"/>
          </w:tcPr>
          <w:p>
            <w:pPr>
              <w:spacing w:after="40" w:before="40"/>
            </w:pPr>
            <w:r/>
            <w:r>
              <w:rPr>
                <w:rFonts w:ascii="Cambria" w:hAnsi="Cambria"/>
                <w:b/>
                <w:i w:val="0"/>
                <w:sz w:val="17"/>
              </w:rPr>
              <w:t>Excluded instruments</w:t>
            </w:r>
          </w:p>
        </w:tc>
        <w:tc>
          <w:tcPr>
            <w:tcW w:type="dxa" w:w="4819"/>
          </w:tcPr>
          <w:p>
            <w:pPr>
              <w:spacing w:after="40" w:before="40"/>
            </w:pPr>
            <w:r/>
            <w:r>
              <w:rPr>
                <w:rFonts w:ascii="Cambria" w:hAnsi="Cambria"/>
                <w:b w:val="0"/>
                <w:i w:val="0"/>
                <w:sz w:val="17"/>
              </w:rPr>
              <w:t>Bank debt, commercial lending, government or institutional grants, non-dilutive soft funding — unless agreed in writing</w:t>
            </w:r>
          </w:p>
        </w:tc>
      </w:tr>
      <w:tr>
        <w:tc>
          <w:tcPr>
            <w:tcW w:type="dxa" w:w="4819"/>
            <w:shd w:val="clear" w:color="auto" w:fill="F2F5F8"/>
          </w:tcPr>
          <w:p>
            <w:pPr>
              <w:spacing w:after="40" w:before="40"/>
            </w:pPr>
            <w:r/>
            <w:r>
              <w:rPr>
                <w:rFonts w:ascii="Cambria" w:hAnsi="Cambria"/>
                <w:b/>
                <w:i w:val="0"/>
                <w:sz w:val="17"/>
              </w:rPr>
              <w:t>Trigger</w:t>
            </w:r>
          </w:p>
        </w:tc>
        <w:tc>
          <w:tcPr>
            <w:tcW w:type="dxa" w:w="4819"/>
            <w:shd w:val="clear" w:color="auto" w:fill="F2F5F8"/>
          </w:tcPr>
          <w:p>
            <w:pPr>
              <w:spacing w:after="40" w:before="40"/>
            </w:pPr>
            <w:r/>
            <w:r>
              <w:rPr>
                <w:rFonts w:ascii="Cambria" w:hAnsi="Cambria"/>
                <w:b w:val="0"/>
                <w:i w:val="0"/>
                <w:sz w:val="17"/>
              </w:rPr>
              <w:t>Receipt of funds in cleared funds; payable pro rata per tranche</w:t>
            </w:r>
          </w:p>
        </w:tc>
      </w:tr>
      <w:tr>
        <w:tc>
          <w:tcPr>
            <w:tcW w:type="dxa" w:w="4819"/>
          </w:tcPr>
          <w:p>
            <w:pPr>
              <w:spacing w:after="40" w:before="40"/>
            </w:pPr>
            <w:r/>
            <w:r>
              <w:rPr>
                <w:rFonts w:ascii="Cambria" w:hAnsi="Cambria"/>
                <w:b/>
                <w:i w:val="0"/>
                <w:sz w:val="17"/>
              </w:rPr>
              <w:t>Invoice</w:t>
            </w:r>
          </w:p>
        </w:tc>
        <w:tc>
          <w:tcPr>
            <w:tcW w:type="dxa" w:w="4819"/>
          </w:tcPr>
          <w:p>
            <w:pPr>
              <w:spacing w:after="40" w:before="40"/>
            </w:pPr>
            <w:r/>
            <w:r>
              <w:rPr>
                <w:rFonts w:ascii="Cambria" w:hAnsi="Cambria"/>
                <w:b w:val="0"/>
                <w:i w:val="0"/>
                <w:sz w:val="17"/>
              </w:rPr>
              <w:t>Within 5 Business Days of each tranche being received</w:t>
            </w:r>
          </w:p>
        </w:tc>
      </w:tr>
      <w:tr>
        <w:tc>
          <w:tcPr>
            <w:tcW w:type="dxa" w:w="4819"/>
            <w:shd w:val="clear" w:color="auto" w:fill="F2F5F8"/>
          </w:tcPr>
          <w:p>
            <w:pPr>
              <w:spacing w:after="40" w:before="40"/>
            </w:pPr>
            <w:r/>
            <w:r>
              <w:rPr>
                <w:rFonts w:ascii="Cambria" w:hAnsi="Cambria"/>
                <w:b/>
                <w:i w:val="0"/>
                <w:sz w:val="17"/>
              </w:rPr>
              <w:t>Payment due</w:t>
            </w:r>
          </w:p>
        </w:tc>
        <w:tc>
          <w:tcPr>
            <w:tcW w:type="dxa" w:w="4819"/>
            <w:shd w:val="clear" w:color="auto" w:fill="F2F5F8"/>
          </w:tcPr>
          <w:p>
            <w:pPr>
              <w:spacing w:after="40" w:before="40"/>
            </w:pPr>
            <w:r/>
            <w:r>
              <w:rPr>
                <w:rFonts w:ascii="Cambria" w:hAnsi="Cambria"/>
                <w:b w:val="0"/>
                <w:i w:val="0"/>
                <w:sz w:val="17"/>
              </w:rPr>
              <w:t>Within 7 Business Days of invoice</w:t>
            </w:r>
          </w:p>
        </w:tc>
      </w:tr>
      <w:tr>
        <w:tc>
          <w:tcPr>
            <w:tcW w:type="dxa" w:w="4819"/>
          </w:tcPr>
          <w:p>
            <w:pPr>
              <w:spacing w:after="40" w:before="40"/>
            </w:pPr>
            <w:r/>
            <w:r>
              <w:rPr>
                <w:rFonts w:ascii="Cambria" w:hAnsi="Cambria"/>
                <w:b/>
                <w:i w:val="0"/>
                <w:sz w:val="17"/>
              </w:rPr>
              <w:t>Non-cash consideration</w:t>
            </w:r>
          </w:p>
        </w:tc>
        <w:tc>
          <w:tcPr>
            <w:tcW w:type="dxa" w:w="4819"/>
          </w:tcPr>
          <w:p>
            <w:pPr>
              <w:spacing w:after="40" w:before="40"/>
            </w:pPr>
            <w:r/>
            <w:r>
              <w:rPr>
                <w:rFonts w:ascii="Cambria" w:hAnsi="Cambria"/>
                <w:b w:val="0"/>
                <w:i w:val="0"/>
                <w:sz w:val="17"/>
              </w:rPr>
              <w:t>Valued at fair market value on receipt (Clause 6.2(c))</w:t>
            </w:r>
          </w:p>
        </w:tc>
      </w:tr>
      <w:tr>
        <w:tc>
          <w:tcPr>
            <w:tcW w:type="dxa" w:w="4819"/>
            <w:shd w:val="clear" w:color="auto" w:fill="F2F5F8"/>
          </w:tcPr>
          <w:p>
            <w:pPr>
              <w:spacing w:after="40" w:before="40"/>
            </w:pPr>
            <w:r/>
            <w:r>
              <w:rPr>
                <w:rFonts w:ascii="Cambria" w:hAnsi="Cambria"/>
                <w:b/>
                <w:i w:val="0"/>
                <w:sz w:val="17"/>
              </w:rPr>
              <w:t>Foreign currency</w:t>
            </w:r>
          </w:p>
        </w:tc>
        <w:tc>
          <w:tcPr>
            <w:tcW w:type="dxa" w:w="4819"/>
            <w:shd w:val="clear" w:color="auto" w:fill="F2F5F8"/>
          </w:tcPr>
          <w:p>
            <w:pPr>
              <w:spacing w:after="40" w:before="40"/>
            </w:pPr>
            <w:r/>
            <w:r>
              <w:rPr>
                <w:rFonts w:ascii="Cambria" w:hAnsi="Cambria"/>
                <w:b w:val="0"/>
                <w:i w:val="0"/>
                <w:sz w:val="17"/>
              </w:rPr>
              <w:t>Converted at the CBE mid-market rate on the date of receipt (Clause 6.2(d))</w:t>
            </w:r>
          </w:p>
        </w:tc>
      </w:tr>
      <w:tr>
        <w:tc>
          <w:tcPr>
            <w:tcW w:type="dxa" w:w="4819"/>
          </w:tcPr>
          <w:p>
            <w:pPr>
              <w:spacing w:after="40" w:before="40"/>
            </w:pPr>
            <w:r/>
            <w:r>
              <w:rPr>
                <w:rFonts w:ascii="Cambria" w:hAnsi="Cambria"/>
                <w:b/>
                <w:i w:val="0"/>
                <w:sz w:val="17"/>
              </w:rPr>
              <w:t>Tail</w:t>
            </w:r>
          </w:p>
        </w:tc>
        <w:tc>
          <w:tcPr>
            <w:tcW w:type="dxa" w:w="4819"/>
          </w:tcPr>
          <w:p>
            <w:pPr>
              <w:spacing w:after="40" w:before="40"/>
            </w:pPr>
            <w:r/>
            <w:r>
              <w:rPr>
                <w:rFonts w:ascii="Cambria" w:hAnsi="Cambria"/>
                <w:b w:val="0"/>
                <w:i w:val="0"/>
                <w:sz w:val="17"/>
              </w:rPr>
              <w:t>Payable on Introduced Investor Tickets funded within 12 months of expiry or termination (Clause 9)</w:t>
            </w:r>
          </w:p>
        </w:tc>
      </w:tr>
    </w:tbl>
    <w:p>
      <w:pPr>
        <w:spacing w:after="40"/>
      </w:pPr>
    </w:p>
    <w:p>
      <w:pPr>
        <w:keepNext/>
        <w:spacing w:before="240" w:after="80"/>
      </w:pPr>
      <w:r>
        <w:rPr>
          <w:rFonts w:ascii="Calibri" w:hAnsi="Calibri"/>
          <w:b/>
          <w:i w:val="0"/>
          <w:color w:val="1C4A73"/>
          <w:sz w:val="23"/>
        </w:rPr>
        <w:t>D.3 Worked scenarios</w:t>
      </w:r>
    </w:p>
    <w:tbl>
      <w:tblPr>
        <w:tblStyle w:val="TableGrid"/>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0F2C4A"/>
          </w:tcPr>
          <w:p>
            <w:pPr>
              <w:spacing w:after="40" w:before="40"/>
            </w:pPr>
            <w:r/>
            <w:r>
              <w:rPr>
                <w:rFonts w:ascii="Calibri" w:hAnsi="Calibri"/>
                <w:b/>
                <w:i w:val="0"/>
                <w:color w:val="FFFFFF"/>
                <w:sz w:val="17"/>
              </w:rPr>
              <w:t>Scenario</w:t>
            </w:r>
          </w:p>
        </w:tc>
        <w:tc>
          <w:tcPr>
            <w:tcW w:type="dxa" w:w="1377"/>
            <w:shd w:val="clear" w:color="auto" w:fill="0F2C4A"/>
          </w:tcPr>
          <w:p>
            <w:pPr>
              <w:spacing w:after="40" w:before="40"/>
            </w:pPr>
            <w:r/>
            <w:r>
              <w:rPr>
                <w:rFonts w:ascii="Calibri" w:hAnsi="Calibri"/>
                <w:b/>
                <w:i w:val="0"/>
                <w:color w:val="FFFFFF"/>
                <w:sz w:val="17"/>
              </w:rPr>
              <w:t>Round closed</w:t>
            </w:r>
          </w:p>
        </w:tc>
        <w:tc>
          <w:tcPr>
            <w:tcW w:type="dxa" w:w="1377"/>
            <w:shd w:val="clear" w:color="auto" w:fill="0F2C4A"/>
          </w:tcPr>
          <w:p>
            <w:pPr>
              <w:spacing w:after="40" w:before="40"/>
            </w:pPr>
            <w:r/>
            <w:r>
              <w:rPr>
                <w:rFonts w:ascii="Calibri" w:hAnsi="Calibri"/>
                <w:b/>
                <w:i w:val="0"/>
                <w:color w:val="FFFFFF"/>
                <w:sz w:val="17"/>
              </w:rPr>
              <w:t>Introduced by Consultant</w:t>
            </w:r>
          </w:p>
        </w:tc>
        <w:tc>
          <w:tcPr>
            <w:tcW w:type="dxa" w:w="1377"/>
            <w:shd w:val="clear" w:color="auto" w:fill="0F2C4A"/>
          </w:tcPr>
          <w:p>
            <w:pPr>
              <w:spacing w:after="40" w:before="40"/>
            </w:pPr>
            <w:r/>
            <w:r>
              <w:rPr>
                <w:rFonts w:ascii="Calibri" w:hAnsi="Calibri"/>
                <w:b/>
                <w:i w:val="0"/>
                <w:color w:val="FFFFFF"/>
                <w:sz w:val="17"/>
              </w:rPr>
              <w:t>Client-sourced</w:t>
            </w:r>
          </w:p>
        </w:tc>
        <w:tc>
          <w:tcPr>
            <w:tcW w:type="dxa" w:w="1377"/>
            <w:shd w:val="clear" w:color="auto" w:fill="0F2C4A"/>
          </w:tcPr>
          <w:p>
            <w:pPr>
              <w:spacing w:after="40" w:before="40"/>
            </w:pPr>
            <w:r/>
            <w:r>
              <w:rPr>
                <w:rFonts w:ascii="Calibri" w:hAnsi="Calibri"/>
                <w:b/>
                <w:i w:val="0"/>
                <w:color w:val="FFFFFF"/>
                <w:sz w:val="17"/>
              </w:rPr>
              <w:t>Fixed Fee</w:t>
            </w:r>
          </w:p>
        </w:tc>
        <w:tc>
          <w:tcPr>
            <w:tcW w:type="dxa" w:w="1377"/>
            <w:shd w:val="clear" w:color="auto" w:fill="0F2C4A"/>
          </w:tcPr>
          <w:p>
            <w:pPr>
              <w:spacing w:after="40" w:before="40"/>
            </w:pPr>
            <w:r/>
            <w:r>
              <w:rPr>
                <w:rFonts w:ascii="Calibri" w:hAnsi="Calibri"/>
                <w:b/>
                <w:i w:val="0"/>
                <w:color w:val="FFFFFF"/>
                <w:sz w:val="17"/>
              </w:rPr>
              <w:t>Success Fee</w:t>
            </w:r>
          </w:p>
        </w:tc>
        <w:tc>
          <w:tcPr>
            <w:tcW w:type="dxa" w:w="1377"/>
            <w:shd w:val="clear" w:color="auto" w:fill="0F2C4A"/>
          </w:tcPr>
          <w:p>
            <w:pPr>
              <w:spacing w:after="40" w:before="40"/>
            </w:pPr>
            <w:r/>
            <w:r>
              <w:rPr>
                <w:rFonts w:ascii="Calibri" w:hAnsi="Calibri"/>
                <w:b/>
                <w:i w:val="0"/>
                <w:color w:val="FFFFFF"/>
                <w:sz w:val="17"/>
              </w:rPr>
              <w:t>Total</w:t>
            </w:r>
          </w:p>
        </w:tc>
      </w:tr>
      <w:tr>
        <w:tc>
          <w:tcPr>
            <w:tcW w:type="dxa" w:w="1377"/>
          </w:tcPr>
          <w:p>
            <w:pPr>
              <w:spacing w:after="40" w:before="40"/>
            </w:pPr>
            <w:r/>
            <w:r>
              <w:rPr>
                <w:rFonts w:ascii="Cambria" w:hAnsi="Cambria"/>
                <w:b/>
                <w:i w:val="0"/>
                <w:sz w:val="17"/>
              </w:rPr>
              <w:t>1</w:t>
            </w:r>
            <w:r>
              <w:rPr>
                <w:rFonts w:ascii="Cambria" w:hAnsi="Cambria"/>
                <w:b w:val="0"/>
                <w:i w:val="0"/>
                <w:sz w:val="17"/>
              </w:rPr>
              <w:t xml:space="preserve"> — Consultant closes the full round</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150,000</w:t>
            </w:r>
          </w:p>
        </w:tc>
        <w:tc>
          <w:tcPr>
            <w:tcW w:type="dxa" w:w="1377"/>
          </w:tcPr>
          <w:p>
            <w:pPr>
              <w:spacing w:after="40" w:before="40"/>
            </w:pPr>
            <w:r/>
            <w:r>
              <w:rPr>
                <w:rFonts w:ascii="Cambria" w:hAnsi="Cambria"/>
                <w:b w:val="0"/>
                <w:i w:val="0"/>
                <w:sz w:val="17"/>
              </w:rPr>
              <w:t>1,000,000</w:t>
            </w:r>
          </w:p>
        </w:tc>
        <w:tc>
          <w:tcPr>
            <w:tcW w:type="dxa" w:w="1377"/>
          </w:tcPr>
          <w:p>
            <w:pPr>
              <w:spacing w:after="40" w:before="40"/>
            </w:pPr>
            <w:r/>
            <w:r>
              <w:rPr>
                <w:rFonts w:ascii="Cambria" w:hAnsi="Cambria"/>
                <w:b/>
                <w:i w:val="0"/>
                <w:sz w:val="17"/>
              </w:rPr>
              <w:t>EGP 1,150,000</w:t>
            </w:r>
          </w:p>
        </w:tc>
      </w:tr>
      <w:tr>
        <w:tc>
          <w:tcPr>
            <w:tcW w:type="dxa" w:w="1377"/>
            <w:shd w:val="clear" w:color="auto" w:fill="F2F5F8"/>
          </w:tcPr>
          <w:p>
            <w:pPr>
              <w:spacing w:after="40" w:before="40"/>
            </w:pPr>
            <w:r/>
            <w:r>
              <w:rPr>
                <w:rFonts w:ascii="Cambria" w:hAnsi="Cambria"/>
                <w:b/>
                <w:i w:val="0"/>
                <w:sz w:val="17"/>
              </w:rPr>
              <w:t>2</w:t>
            </w:r>
            <w:r>
              <w:rPr>
                <w:rFonts w:ascii="Cambria" w:hAnsi="Cambria"/>
                <w:b w:val="0"/>
                <w:i w:val="0"/>
                <w:sz w:val="17"/>
              </w:rPr>
              <w:t xml:space="preserve"> — Mixed round</w:t>
            </w:r>
          </w:p>
        </w:tc>
        <w:tc>
          <w:tcPr>
            <w:tcW w:type="dxa" w:w="1377"/>
            <w:shd w:val="clear" w:color="auto" w:fill="F2F5F8"/>
          </w:tcPr>
          <w:p>
            <w:pPr>
              <w:spacing w:after="40" w:before="40"/>
            </w:pPr>
            <w:r/>
            <w:r>
              <w:rPr>
                <w:rFonts w:ascii="Cambria" w:hAnsi="Cambria"/>
                <w:b w:val="0"/>
                <w:i w:val="0"/>
                <w:sz w:val="17"/>
              </w:rPr>
              <w:t>EGP 10,000,000</w:t>
            </w:r>
          </w:p>
        </w:tc>
        <w:tc>
          <w:tcPr>
            <w:tcW w:type="dxa" w:w="1377"/>
            <w:shd w:val="clear" w:color="auto" w:fill="F2F5F8"/>
          </w:tcPr>
          <w:p>
            <w:pPr>
              <w:spacing w:after="40" w:before="40"/>
            </w:pPr>
            <w:r/>
            <w:r>
              <w:rPr>
                <w:rFonts w:ascii="Cambria" w:hAnsi="Cambria"/>
                <w:b w:val="0"/>
                <w:i w:val="0"/>
                <w:sz w:val="17"/>
              </w:rPr>
              <w:t>EGP 6,000,000</w:t>
            </w:r>
          </w:p>
        </w:tc>
        <w:tc>
          <w:tcPr>
            <w:tcW w:type="dxa" w:w="1377"/>
            <w:shd w:val="clear" w:color="auto" w:fill="F2F5F8"/>
          </w:tcPr>
          <w:p>
            <w:pPr>
              <w:spacing w:after="40" w:before="40"/>
            </w:pPr>
            <w:r/>
            <w:r>
              <w:rPr>
                <w:rFonts w:ascii="Cambria" w:hAnsi="Cambria"/>
                <w:b w:val="0"/>
                <w:i w:val="0"/>
                <w:sz w:val="17"/>
              </w:rPr>
              <w:t>EGP 4,000,000</w:t>
            </w:r>
          </w:p>
        </w:tc>
        <w:tc>
          <w:tcPr>
            <w:tcW w:type="dxa" w:w="1377"/>
            <w:shd w:val="clear" w:color="auto" w:fill="F2F5F8"/>
          </w:tcPr>
          <w:p>
            <w:pPr>
              <w:spacing w:after="40" w:before="40"/>
            </w:pPr>
            <w:r/>
            <w:r>
              <w:rPr>
                <w:rFonts w:ascii="Cambria" w:hAnsi="Cambria"/>
                <w:b w:val="0"/>
                <w:i w:val="0"/>
                <w:sz w:val="17"/>
              </w:rPr>
              <w:t>150,000</w:t>
            </w:r>
          </w:p>
        </w:tc>
        <w:tc>
          <w:tcPr>
            <w:tcW w:type="dxa" w:w="1377"/>
            <w:shd w:val="clear" w:color="auto" w:fill="F2F5F8"/>
          </w:tcPr>
          <w:p>
            <w:pPr>
              <w:spacing w:after="40" w:before="40"/>
            </w:pPr>
            <w:r/>
            <w:r>
              <w:rPr>
                <w:rFonts w:ascii="Cambria" w:hAnsi="Cambria"/>
                <w:b w:val="0"/>
                <w:i w:val="0"/>
                <w:sz w:val="17"/>
              </w:rPr>
              <w:t>600,000</w:t>
            </w:r>
          </w:p>
        </w:tc>
        <w:tc>
          <w:tcPr>
            <w:tcW w:type="dxa" w:w="1377"/>
            <w:shd w:val="clear" w:color="auto" w:fill="F2F5F8"/>
          </w:tcPr>
          <w:p>
            <w:pPr>
              <w:spacing w:after="40" w:before="40"/>
            </w:pPr>
            <w:r/>
            <w:r>
              <w:rPr>
                <w:rFonts w:ascii="Cambria" w:hAnsi="Cambria"/>
                <w:b/>
                <w:i w:val="0"/>
                <w:sz w:val="17"/>
              </w:rPr>
              <w:t>EGP 750,000</w:t>
            </w:r>
          </w:p>
        </w:tc>
      </w:tr>
      <w:tr>
        <w:tc>
          <w:tcPr>
            <w:tcW w:type="dxa" w:w="1377"/>
          </w:tcPr>
          <w:p>
            <w:pPr>
              <w:spacing w:after="40" w:before="40"/>
            </w:pPr>
            <w:r/>
            <w:r>
              <w:rPr>
                <w:rFonts w:ascii="Cambria" w:hAnsi="Cambria"/>
                <w:b/>
                <w:i w:val="0"/>
                <w:sz w:val="17"/>
              </w:rPr>
              <w:t>3</w:t>
            </w:r>
            <w:r>
              <w:rPr>
                <w:rFonts w:ascii="Cambria" w:hAnsi="Cambria"/>
                <w:b w:val="0"/>
                <w:i w:val="0"/>
                <w:sz w:val="17"/>
              </w:rPr>
              <w:t xml:space="preserve"> — Client closes the full round themselves</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EGP 10,000,000</w:t>
            </w:r>
          </w:p>
        </w:tc>
        <w:tc>
          <w:tcPr>
            <w:tcW w:type="dxa" w:w="1377"/>
          </w:tcPr>
          <w:p>
            <w:pPr>
              <w:spacing w:after="40" w:before="40"/>
            </w:pPr>
            <w:r/>
            <w:r>
              <w:rPr>
                <w:rFonts w:ascii="Cambria" w:hAnsi="Cambria"/>
                <w:b w:val="0"/>
                <w:i w:val="0"/>
                <w:sz w:val="17"/>
              </w:rPr>
              <w:t>150,000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i w:val="0"/>
                <w:sz w:val="17"/>
              </w:rPr>
              <w:t>EGP 150,000</w:t>
            </w:r>
          </w:p>
        </w:tc>
      </w:tr>
      <w:tr>
        <w:tc>
          <w:tcPr>
            <w:tcW w:type="dxa" w:w="1377"/>
            <w:shd w:val="clear" w:color="auto" w:fill="F2F5F8"/>
          </w:tcPr>
          <w:p>
            <w:pPr>
              <w:spacing w:after="40" w:before="40"/>
            </w:pPr>
            <w:r/>
            <w:r>
              <w:rPr>
                <w:rFonts w:ascii="Cambria" w:hAnsi="Cambria"/>
                <w:b/>
                <w:i w:val="0"/>
                <w:sz w:val="17"/>
              </w:rPr>
              <w:t>4</w:t>
            </w:r>
            <w:r>
              <w:rPr>
                <w:rFonts w:ascii="Cambria" w:hAnsi="Cambria"/>
                <w:b w:val="0"/>
                <w:i w:val="0"/>
                <w:sz w:val="17"/>
              </w:rPr>
              <w:t xml:space="preserve"> — Smaller round, all introduced</w:t>
            </w:r>
          </w:p>
        </w:tc>
        <w:tc>
          <w:tcPr>
            <w:tcW w:type="dxa" w:w="1377"/>
            <w:shd w:val="clear" w:color="auto" w:fill="F2F5F8"/>
          </w:tcPr>
          <w:p>
            <w:pPr>
              <w:spacing w:after="40" w:before="40"/>
            </w:pPr>
            <w:r/>
            <w:r>
              <w:rPr>
                <w:rFonts w:ascii="Cambria" w:hAnsi="Cambria"/>
                <w:b w:val="0"/>
                <w:i w:val="0"/>
                <w:sz w:val="17"/>
              </w:rPr>
              <w:t>EGP 4,000,000</w:t>
            </w:r>
          </w:p>
        </w:tc>
        <w:tc>
          <w:tcPr>
            <w:tcW w:type="dxa" w:w="1377"/>
            <w:shd w:val="clear" w:color="auto" w:fill="F2F5F8"/>
          </w:tcPr>
          <w:p>
            <w:pPr>
              <w:spacing w:after="40" w:before="40"/>
            </w:pPr>
            <w:r/>
            <w:r>
              <w:rPr>
                <w:rFonts w:ascii="Cambria" w:hAnsi="Cambria"/>
                <w:b w:val="0"/>
                <w:i w:val="0"/>
                <w:sz w:val="17"/>
              </w:rPr>
              <w:t>EGP 4,000,000</w:t>
            </w:r>
          </w:p>
        </w:tc>
        <w:tc>
          <w:tcPr>
            <w:tcW w:type="dxa" w:w="1377"/>
            <w:shd w:val="clear" w:color="auto" w:fill="F2F5F8"/>
          </w:tcPr>
          <w:p>
            <w:pPr>
              <w:spacing w:after="40" w:before="40"/>
            </w:pPr>
            <w:r/>
            <w:r>
              <w:rPr>
                <w:rFonts w:ascii="Cambria" w:hAnsi="Cambria"/>
                <w:b w:val="0"/>
                <w:i w:val="0"/>
                <w:sz w:val="17"/>
              </w:rPr>
              <w:t>—</w:t>
            </w:r>
          </w:p>
        </w:tc>
        <w:tc>
          <w:tcPr>
            <w:tcW w:type="dxa" w:w="1377"/>
            <w:shd w:val="clear" w:color="auto" w:fill="F2F5F8"/>
          </w:tcPr>
          <w:p>
            <w:pPr>
              <w:spacing w:after="40" w:before="40"/>
            </w:pPr>
            <w:r/>
            <w:r>
              <w:rPr>
                <w:rFonts w:ascii="Cambria" w:hAnsi="Cambria"/>
                <w:b w:val="0"/>
                <w:i w:val="0"/>
                <w:sz w:val="17"/>
              </w:rPr>
              <w:t>150,000</w:t>
            </w:r>
          </w:p>
        </w:tc>
        <w:tc>
          <w:tcPr>
            <w:tcW w:type="dxa" w:w="1377"/>
            <w:shd w:val="clear" w:color="auto" w:fill="F2F5F8"/>
          </w:tcPr>
          <w:p>
            <w:pPr>
              <w:spacing w:after="40" w:before="40"/>
            </w:pPr>
            <w:r/>
            <w:r>
              <w:rPr>
                <w:rFonts w:ascii="Cambria" w:hAnsi="Cambria"/>
                <w:b w:val="0"/>
                <w:i w:val="0"/>
                <w:sz w:val="17"/>
              </w:rPr>
              <w:t>400,000</w:t>
            </w:r>
          </w:p>
        </w:tc>
        <w:tc>
          <w:tcPr>
            <w:tcW w:type="dxa" w:w="1377"/>
            <w:shd w:val="clear" w:color="auto" w:fill="F2F5F8"/>
          </w:tcPr>
          <w:p>
            <w:pPr>
              <w:spacing w:after="40" w:before="40"/>
            </w:pPr>
            <w:r/>
            <w:r>
              <w:rPr>
                <w:rFonts w:ascii="Cambria" w:hAnsi="Cambria"/>
                <w:b/>
                <w:i w:val="0"/>
                <w:sz w:val="17"/>
              </w:rPr>
              <w:t>EGP 550,000</w:t>
            </w:r>
          </w:p>
        </w:tc>
      </w:tr>
      <w:tr>
        <w:tc>
          <w:tcPr>
            <w:tcW w:type="dxa" w:w="1377"/>
          </w:tcPr>
          <w:p>
            <w:pPr>
              <w:spacing w:after="40" w:before="40"/>
            </w:pPr>
            <w:r/>
            <w:r>
              <w:rPr>
                <w:rFonts w:ascii="Cambria" w:hAnsi="Cambria"/>
                <w:b/>
                <w:i w:val="0"/>
                <w:sz w:val="17"/>
              </w:rPr>
              <w:t>5</w:t>
            </w:r>
            <w:r>
              <w:rPr>
                <w:rFonts w:ascii="Cambria" w:hAnsi="Cambria"/>
                <w:b w:val="0"/>
                <w:i w:val="0"/>
                <w:sz w:val="17"/>
              </w:rPr>
              <w:t xml:space="preserve"> — Readiness completed, no close within Term or Tail</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val="0"/>
                <w:i w:val="0"/>
                <w:sz w:val="17"/>
              </w:rPr>
              <w:t>60,000</w:t>
            </w:r>
          </w:p>
        </w:tc>
        <w:tc>
          <w:tcPr>
            <w:tcW w:type="dxa" w:w="1377"/>
          </w:tcPr>
          <w:p>
            <w:pPr>
              <w:spacing w:after="40" w:before="40"/>
            </w:pPr>
            <w:r/>
            <w:r>
              <w:rPr>
                <w:rFonts w:ascii="Cambria" w:hAnsi="Cambria"/>
                <w:b w:val="0"/>
                <w:i w:val="0"/>
                <w:sz w:val="17"/>
              </w:rPr>
              <w:t>—</w:t>
            </w:r>
          </w:p>
        </w:tc>
        <w:tc>
          <w:tcPr>
            <w:tcW w:type="dxa" w:w="1377"/>
          </w:tcPr>
          <w:p>
            <w:pPr>
              <w:spacing w:after="40" w:before="40"/>
            </w:pPr>
            <w:r/>
            <w:r>
              <w:rPr>
                <w:rFonts w:ascii="Cambria" w:hAnsi="Cambria"/>
                <w:b/>
                <w:i w:val="0"/>
                <w:sz w:val="17"/>
              </w:rPr>
              <w:t>EGP 60,000</w:t>
            </w:r>
          </w:p>
        </w:tc>
      </w:tr>
    </w:tbl>
    <w:p>
      <w:pPr>
        <w:spacing w:after="40"/>
      </w:pPr>
    </w:p>
    <w:p>
      <w:pPr>
        <w:spacing w:after="120"/>
      </w:pPr>
      <w:r>
        <w:rPr>
          <w:rFonts w:ascii="Cambria" w:hAnsi="Cambria"/>
          <w:b w:val="0"/>
          <w:i/>
        </w:rPr>
        <w:t>Scenarios are illustrative only and do not constitute a projection or expectation of round size.</w:t>
      </w:r>
    </w:p>
    <w:p>
      <w:pPr>
        <w:keepNext/>
        <w:spacing w:before="240" w:after="80"/>
      </w:pPr>
      <w:r>
        <w:rPr>
          <w:rFonts w:ascii="Calibri" w:hAnsi="Calibri"/>
          <w:b/>
          <w:i w:val="0"/>
          <w:color w:val="1C4A73"/>
          <w:sz w:val="23"/>
        </w:rPr>
        <w:t>D.4 Payment details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Field</w:t>
            </w:r>
          </w:p>
        </w:tc>
        <w:tc>
          <w:tcPr>
            <w:tcW w:type="dxa" w:w="4819"/>
            <w:shd w:val="clear" w:color="auto" w:fill="0F2C4A"/>
          </w:tcPr>
          <w:p>
            <w:pPr>
              <w:spacing w:after="40" w:before="40"/>
            </w:pPr>
            <w:r/>
            <w:r>
              <w:rPr>
                <w:rFonts w:ascii="Calibri" w:hAnsi="Calibri"/>
                <w:b/>
                <w:i w:val="0"/>
                <w:color w:val="FFFFFF"/>
                <w:sz w:val="17"/>
              </w:rPr>
              <w:t>Detail</w:t>
            </w:r>
          </w:p>
        </w:tc>
      </w:tr>
      <w:tr>
        <w:tc>
          <w:tcPr>
            <w:tcW w:type="dxa" w:w="4819"/>
          </w:tcPr>
          <w:p>
            <w:pPr>
              <w:spacing w:after="40" w:before="40"/>
            </w:pPr>
            <w:r/>
            <w:r>
              <w:rPr>
                <w:rFonts w:ascii="Cambria" w:hAnsi="Cambria"/>
                <w:b w:val="0"/>
                <w:i w:val="0"/>
                <w:sz w:val="17"/>
              </w:rPr>
              <w:t>Payee</w:t>
            </w:r>
          </w:p>
        </w:tc>
        <w:tc>
          <w:tcPr>
            <w:tcW w:type="dxa" w:w="4819"/>
          </w:tcPr>
          <w:p>
            <w:pPr>
              <w:spacing w:after="40" w:before="40"/>
            </w:pPr>
            <w:r/>
            <w:r>
              <w:rPr>
                <w:rFonts w:ascii="Cambria" w:hAnsi="Cambria"/>
                <w:b w:val="0"/>
                <w:i w:val="0"/>
                <w:sz w:val="17"/>
              </w:rPr>
              <w:t>Abdelrhman Soliman</w:t>
            </w:r>
          </w:p>
        </w:tc>
      </w:tr>
      <w:tr>
        <w:tc>
          <w:tcPr>
            <w:tcW w:type="dxa" w:w="4819"/>
            <w:shd w:val="clear" w:color="auto" w:fill="F2F5F8"/>
          </w:tcPr>
          <w:p>
            <w:pPr>
              <w:spacing w:after="40" w:before="40"/>
            </w:pPr>
            <w:r/>
            <w:r>
              <w:rPr>
                <w:rFonts w:ascii="Cambria" w:hAnsi="Cambria"/>
                <w:b w:val="0"/>
                <w:i w:val="0"/>
                <w:sz w:val="17"/>
              </w:rPr>
              <w:t>Bank</w:t>
            </w:r>
          </w:p>
        </w:tc>
        <w:tc>
          <w:tcPr>
            <w:tcW w:type="dxa" w:w="4819"/>
            <w:shd w:val="clear" w:color="auto" w:fill="F2F5F8"/>
          </w:tcPr>
          <w:p>
            <w:pPr>
              <w:spacing w:after="40" w:before="40"/>
            </w:pPr>
            <w:r/>
            <w:r>
              <w:rPr>
                <w:rFonts w:ascii="Cambria" w:hAnsi="Cambria"/>
                <w:b w:val="0"/>
                <w:i w:val="0"/>
                <w:sz w:val="17"/>
              </w:rPr>
              <w:t>[ ]</w:t>
            </w:r>
          </w:p>
        </w:tc>
      </w:tr>
      <w:tr>
        <w:tc>
          <w:tcPr>
            <w:tcW w:type="dxa" w:w="4819"/>
          </w:tcPr>
          <w:p>
            <w:pPr>
              <w:spacing w:after="40" w:before="40"/>
            </w:pPr>
            <w:r/>
            <w:r>
              <w:rPr>
                <w:rFonts w:ascii="Cambria" w:hAnsi="Cambria"/>
                <w:b w:val="0"/>
                <w:i w:val="0"/>
                <w:sz w:val="17"/>
              </w:rPr>
              <w:t>Account number / IBAN</w:t>
            </w:r>
          </w:p>
        </w:tc>
        <w:tc>
          <w:tcPr>
            <w:tcW w:type="dxa" w:w="4819"/>
          </w:tcPr>
          <w:p>
            <w:pPr>
              <w:spacing w:after="40" w:before="40"/>
            </w:pPr>
            <w:r/>
            <w:r>
              <w:rPr>
                <w:rFonts w:ascii="Cambria" w:hAnsi="Cambria"/>
                <w:b w:val="0"/>
                <w:i w:val="0"/>
                <w:sz w:val="17"/>
              </w:rPr>
              <w:t>[ ]</w:t>
            </w:r>
          </w:p>
        </w:tc>
      </w:tr>
      <w:tr>
        <w:tc>
          <w:tcPr>
            <w:tcW w:type="dxa" w:w="4819"/>
            <w:shd w:val="clear" w:color="auto" w:fill="F2F5F8"/>
          </w:tcPr>
          <w:p>
            <w:pPr>
              <w:spacing w:after="40" w:before="40"/>
            </w:pPr>
            <w:r/>
            <w:r>
              <w:rPr>
                <w:rFonts w:ascii="Cambria" w:hAnsi="Cambria"/>
                <w:b w:val="0"/>
                <w:i w:val="0"/>
                <w:sz w:val="17"/>
              </w:rPr>
              <w:t>SWIFT</w:t>
            </w:r>
          </w:p>
        </w:tc>
        <w:tc>
          <w:tcPr>
            <w:tcW w:type="dxa" w:w="4819"/>
            <w:shd w:val="clear" w:color="auto" w:fill="F2F5F8"/>
          </w:tcPr>
          <w:p>
            <w:pPr>
              <w:spacing w:after="40" w:before="40"/>
            </w:pPr>
            <w:r/>
            <w:r>
              <w:rPr>
                <w:rFonts w:ascii="Cambria" w:hAnsi="Cambria"/>
                <w:b w:val="0"/>
                <w:i w:val="0"/>
                <w:sz w:val="17"/>
              </w:rPr>
              <w:t>[ ]</w:t>
            </w:r>
          </w:p>
        </w:tc>
      </w:tr>
      <w:tr>
        <w:tc>
          <w:tcPr>
            <w:tcW w:type="dxa" w:w="4819"/>
          </w:tcPr>
          <w:p>
            <w:pPr>
              <w:spacing w:after="40" w:before="40"/>
            </w:pPr>
            <w:r/>
            <w:r>
              <w:rPr>
                <w:rFonts w:ascii="Cambria" w:hAnsi="Cambria"/>
                <w:b w:val="0"/>
                <w:i w:val="0"/>
                <w:sz w:val="17"/>
              </w:rPr>
              <w:t>Currency</w:t>
            </w:r>
          </w:p>
        </w:tc>
        <w:tc>
          <w:tcPr>
            <w:tcW w:type="dxa" w:w="4819"/>
          </w:tcPr>
          <w:p>
            <w:pPr>
              <w:spacing w:after="40" w:before="40"/>
            </w:pPr>
            <w:r/>
            <w:r>
              <w:rPr>
                <w:rFonts w:ascii="Cambria" w:hAnsi="Cambria"/>
                <w:b w:val="0"/>
                <w:i w:val="0"/>
                <w:sz w:val="17"/>
              </w:rPr>
              <w:t>EGP</w:t>
            </w:r>
          </w:p>
        </w:tc>
      </w:tr>
      <w:tr>
        <w:tc>
          <w:tcPr>
            <w:tcW w:type="dxa" w:w="4819"/>
            <w:shd w:val="clear" w:color="auto" w:fill="F2F5F8"/>
          </w:tcPr>
          <w:p>
            <w:pPr>
              <w:spacing w:after="40" w:before="40"/>
            </w:pPr>
            <w:r/>
            <w:r>
              <w:rPr>
                <w:rFonts w:ascii="Cambria" w:hAnsi="Cambria"/>
                <w:b w:val="0"/>
                <w:i w:val="0"/>
                <w:sz w:val="17"/>
              </w:rPr>
              <w:t>Payment method</w:t>
            </w:r>
          </w:p>
        </w:tc>
        <w:tc>
          <w:tcPr>
            <w:tcW w:type="dxa" w:w="4819"/>
            <w:shd w:val="clear" w:color="auto" w:fill="F2F5F8"/>
          </w:tcPr>
          <w:p>
            <w:pPr>
              <w:spacing w:after="40" w:before="40"/>
            </w:pPr>
            <w:r/>
            <w:r>
              <w:rPr>
                <w:rFonts w:ascii="Cambria" w:hAnsi="Cambria"/>
                <w:b w:val="0"/>
                <w:i w:val="0"/>
                <w:sz w:val="17"/>
              </w:rPr>
              <w:t>Bank transfer</w:t>
            </w:r>
          </w:p>
        </w:tc>
      </w:tr>
      <w:tr>
        <w:tc>
          <w:tcPr>
            <w:tcW w:type="dxa" w:w="4819"/>
          </w:tcPr>
          <w:p>
            <w:pPr>
              <w:spacing w:after="40" w:before="40"/>
            </w:pPr>
            <w:r/>
            <w:r>
              <w:rPr>
                <w:rFonts w:ascii="Cambria" w:hAnsi="Cambria"/>
                <w:b w:val="0"/>
                <w:i w:val="0"/>
                <w:sz w:val="17"/>
              </w:rPr>
              <w:t>Payment terms</w:t>
            </w:r>
          </w:p>
        </w:tc>
        <w:tc>
          <w:tcPr>
            <w:tcW w:type="dxa" w:w="4819"/>
          </w:tcPr>
          <w:p>
            <w:pPr>
              <w:spacing w:after="40" w:before="40"/>
            </w:pPr>
            <w:r/>
            <w:r>
              <w:rPr>
                <w:rFonts w:ascii="Cambria" w:hAnsi="Cambria"/>
                <w:b w:val="0"/>
                <w:i w:val="0"/>
                <w:sz w:val="17"/>
              </w:rPr>
              <w:t>7 Business Days from invoice</w:t>
            </w:r>
          </w:p>
        </w:tc>
      </w:tr>
      <w:tr>
        <w:tc>
          <w:tcPr>
            <w:tcW w:type="dxa" w:w="4819"/>
            <w:shd w:val="clear" w:color="auto" w:fill="F2F5F8"/>
          </w:tcPr>
          <w:p>
            <w:pPr>
              <w:spacing w:after="40" w:before="40"/>
            </w:pPr>
            <w:r/>
            <w:r>
              <w:rPr>
                <w:rFonts w:ascii="Cambria" w:hAnsi="Cambria"/>
                <w:b w:val="0"/>
                <w:i w:val="0"/>
                <w:sz w:val="17"/>
              </w:rPr>
              <w:t>Late payment interest</w:t>
            </w:r>
          </w:p>
        </w:tc>
        <w:tc>
          <w:tcPr>
            <w:tcW w:type="dxa" w:w="4819"/>
            <w:shd w:val="clear" w:color="auto" w:fill="F2F5F8"/>
          </w:tcPr>
          <w:p>
            <w:pPr>
              <w:spacing w:after="40" w:before="40"/>
            </w:pPr>
            <w:r/>
            <w:r>
              <w:rPr>
                <w:rFonts w:ascii="Cambria" w:hAnsi="Cambria"/>
                <w:b w:val="0"/>
                <w:i w:val="0"/>
                <w:sz w:val="17"/>
              </w:rPr>
              <w:t>1.5% per month (Clause 6.4)</w:t>
            </w:r>
          </w:p>
        </w:tc>
      </w:tr>
    </w:tbl>
    <w:p>
      <w:pPr>
        <w:spacing w:after="40"/>
      </w:pPr>
    </w:p>
    <w:p>
      <w:pPr>
        <w:spacing w:before="120" w:after="120"/>
        <w:pBdr>
          <w:bottom w:val="single" w:sz="6" w:space="1" w:color="C2CCD6"/>
        </w:pBdr>
      </w:pPr>
    </w:p>
    <w:p>
      <w:pPr>
        <w:keepNext/>
        <w:spacing w:before="320" w:after="100"/>
      </w:pPr>
      <w:r>
        <w:rPr>
          <w:rFonts w:ascii="Calibri" w:hAnsi="Calibri"/>
          <w:b/>
          <w:i w:val="0"/>
          <w:color w:val="0F2C4A"/>
          <w:sz w:val="27"/>
        </w:rPr>
        <w:t>Schedule E — Investor Log</w:t>
      </w:r>
    </w:p>
    <w:p>
      <w:pPr>
        <w:spacing w:after="120"/>
      </w:pPr>
      <w:r>
        <w:rPr>
          <w:rFonts w:ascii="Cambria" w:hAnsi="Cambria"/>
          <w:b w:val="0"/>
          <w:i w:val="0"/>
        </w:rPr>
        <w:t>Maintained by the Consultant, issued to Btakka weekly with the pipeline report. Attribution entries not disputed within seven (7) Business Days of first appearing are final (Clause 5.2).</w:t>
      </w:r>
    </w:p>
    <w:p>
      <w:pPr>
        <w:keepNext/>
        <w:spacing w:before="240" w:after="80"/>
      </w:pPr>
      <w:r>
        <w:rPr>
          <w:rFonts w:ascii="Calibri" w:hAnsi="Calibri"/>
          <w:b/>
          <w:i w:val="0"/>
          <w:color w:val="1C4A73"/>
          <w:sz w:val="23"/>
        </w:rPr>
        <w:t>E.1 Log format</w:t>
      </w:r>
    </w:p>
    <w:tbl>
      <w:tblPr>
        <w:tblStyle w:val="TableGrid"/>
        <w:tblW w:type="auto" w:w="0"/>
        <w:jc w:val="center"/>
        <w:tblLayout w:type="autofit"/>
        <w:tblLook w:firstColumn="1" w:firstRow="1" w:lastColumn="0" w:lastRow="0" w:noHBand="0" w:noVBand="1" w:val="04A0"/>
      </w:tblPr>
      <w:tblGrid>
        <w:gridCol w:w="964"/>
        <w:gridCol w:w="964"/>
        <w:gridCol w:w="964"/>
        <w:gridCol w:w="964"/>
        <w:gridCol w:w="964"/>
        <w:gridCol w:w="964"/>
        <w:gridCol w:w="964"/>
        <w:gridCol w:w="964"/>
        <w:gridCol w:w="964"/>
        <w:gridCol w:w="964"/>
      </w:tblGrid>
      <w:tr>
        <w:trPr>
          <w:tblHeader w:val="true"/>
        </w:trPr>
        <w:tc>
          <w:tcPr>
            <w:tcW w:type="dxa" w:w="964"/>
            <w:shd w:val="clear" w:color="auto" w:fill="0F2C4A"/>
          </w:tcPr>
          <w:p>
            <w:pPr>
              <w:spacing w:after="40" w:before="40"/>
            </w:pPr>
            <w:r/>
            <w:r>
              <w:rPr>
                <w:rFonts w:ascii="Calibri" w:hAnsi="Calibri"/>
                <w:b/>
                <w:i w:val="0"/>
                <w:color w:val="FFFFFF"/>
                <w:sz w:val="17"/>
              </w:rPr>
              <w:t>#</w:t>
            </w:r>
          </w:p>
        </w:tc>
        <w:tc>
          <w:tcPr>
            <w:tcW w:type="dxa" w:w="964"/>
            <w:shd w:val="clear" w:color="auto" w:fill="0F2C4A"/>
          </w:tcPr>
          <w:p>
            <w:pPr>
              <w:spacing w:after="40" w:before="40"/>
            </w:pPr>
            <w:r/>
            <w:r>
              <w:rPr>
                <w:rFonts w:ascii="Calibri" w:hAnsi="Calibri"/>
                <w:b/>
                <w:i w:val="0"/>
                <w:color w:val="FFFFFF"/>
                <w:sz w:val="17"/>
              </w:rPr>
              <w:t>Investor name</w:t>
            </w:r>
          </w:p>
        </w:tc>
        <w:tc>
          <w:tcPr>
            <w:tcW w:type="dxa" w:w="964"/>
            <w:shd w:val="clear" w:color="auto" w:fill="0F2C4A"/>
          </w:tcPr>
          <w:p>
            <w:pPr>
              <w:spacing w:after="40" w:before="40"/>
            </w:pPr>
            <w:r/>
            <w:r>
              <w:rPr>
                <w:rFonts w:ascii="Calibri" w:hAnsi="Calibri"/>
                <w:b/>
                <w:i w:val="0"/>
                <w:color w:val="FFFFFF"/>
                <w:sz w:val="17"/>
              </w:rPr>
              <w:t>Type</w:t>
            </w:r>
          </w:p>
        </w:tc>
        <w:tc>
          <w:tcPr>
            <w:tcW w:type="dxa" w:w="964"/>
            <w:shd w:val="clear" w:color="auto" w:fill="0F2C4A"/>
          </w:tcPr>
          <w:p>
            <w:pPr>
              <w:spacing w:after="40" w:before="40"/>
            </w:pPr>
            <w:r/>
            <w:r>
              <w:rPr>
                <w:rFonts w:ascii="Calibri" w:hAnsi="Calibri"/>
                <w:b/>
                <w:i w:val="0"/>
                <w:color w:val="FFFFFF"/>
                <w:sz w:val="17"/>
              </w:rPr>
              <w:t>Attribution</w:t>
            </w:r>
          </w:p>
        </w:tc>
        <w:tc>
          <w:tcPr>
            <w:tcW w:type="dxa" w:w="964"/>
            <w:shd w:val="clear" w:color="auto" w:fill="0F2C4A"/>
          </w:tcPr>
          <w:p>
            <w:pPr>
              <w:spacing w:after="40" w:before="40"/>
            </w:pPr>
            <w:r/>
            <w:r>
              <w:rPr>
                <w:rFonts w:ascii="Calibri" w:hAnsi="Calibri"/>
                <w:b/>
                <w:i w:val="0"/>
                <w:color w:val="FFFFFF"/>
                <w:sz w:val="17"/>
              </w:rPr>
              <w:t>First contact date</w:t>
            </w:r>
          </w:p>
        </w:tc>
        <w:tc>
          <w:tcPr>
            <w:tcW w:type="dxa" w:w="964"/>
            <w:shd w:val="clear" w:color="auto" w:fill="0F2C4A"/>
          </w:tcPr>
          <w:p>
            <w:pPr>
              <w:spacing w:after="40" w:before="40"/>
            </w:pPr>
            <w:r/>
            <w:r>
              <w:rPr>
                <w:rFonts w:ascii="Calibri" w:hAnsi="Calibri"/>
                <w:b/>
                <w:i w:val="0"/>
                <w:color w:val="FFFFFF"/>
                <w:sz w:val="17"/>
              </w:rPr>
              <w:t>Source / warm path</w:t>
            </w:r>
          </w:p>
        </w:tc>
        <w:tc>
          <w:tcPr>
            <w:tcW w:type="dxa" w:w="964"/>
            <w:shd w:val="clear" w:color="auto" w:fill="0F2C4A"/>
          </w:tcPr>
          <w:p>
            <w:pPr>
              <w:spacing w:after="40" w:before="40"/>
            </w:pPr>
            <w:r/>
            <w:r>
              <w:rPr>
                <w:rFonts w:ascii="Calibri" w:hAnsi="Calibri"/>
                <w:b/>
                <w:i w:val="0"/>
                <w:color w:val="FFFFFF"/>
                <w:sz w:val="17"/>
              </w:rPr>
              <w:t>Status</w:t>
            </w:r>
          </w:p>
        </w:tc>
        <w:tc>
          <w:tcPr>
            <w:tcW w:type="dxa" w:w="964"/>
            <w:shd w:val="clear" w:color="auto" w:fill="0F2C4A"/>
          </w:tcPr>
          <w:p>
            <w:pPr>
              <w:spacing w:after="40" w:before="40"/>
            </w:pPr>
            <w:r/>
            <w:r>
              <w:rPr>
                <w:rFonts w:ascii="Calibri" w:hAnsi="Calibri"/>
                <w:b/>
                <w:i w:val="0"/>
                <w:color w:val="FFFFFF"/>
                <w:sz w:val="17"/>
              </w:rPr>
              <w:t>Ticket (EGP)</w:t>
            </w:r>
          </w:p>
        </w:tc>
        <w:tc>
          <w:tcPr>
            <w:tcW w:type="dxa" w:w="964"/>
            <w:shd w:val="clear" w:color="auto" w:fill="0F2C4A"/>
          </w:tcPr>
          <w:p>
            <w:pPr>
              <w:spacing w:after="40" w:before="40"/>
            </w:pPr>
            <w:r/>
            <w:r>
              <w:rPr>
                <w:rFonts w:ascii="Calibri" w:hAnsi="Calibri"/>
                <w:b/>
                <w:i w:val="0"/>
                <w:color w:val="FFFFFF"/>
                <w:sz w:val="17"/>
              </w:rPr>
              <w:t>Funded date</w:t>
            </w:r>
          </w:p>
        </w:tc>
        <w:tc>
          <w:tcPr>
            <w:tcW w:type="dxa" w:w="964"/>
            <w:shd w:val="clear" w:color="auto" w:fill="0F2C4A"/>
          </w:tcPr>
          <w:p>
            <w:pPr>
              <w:spacing w:after="40" w:before="40"/>
            </w:pPr>
            <w:r/>
            <w:r>
              <w:rPr>
                <w:rFonts w:ascii="Calibri" w:hAnsi="Calibri"/>
                <w:b/>
                <w:i w:val="0"/>
                <w:color w:val="FFFFFF"/>
                <w:sz w:val="17"/>
              </w:rPr>
              <w:t>Success Fee due</w:t>
            </w:r>
          </w:p>
        </w:tc>
      </w:tr>
      <w:tr>
        <w:tc>
          <w:tcPr>
            <w:tcW w:type="dxa" w:w="964"/>
          </w:tcPr>
          <w:p>
            <w:pPr>
              <w:spacing w:after="40" w:before="40"/>
            </w:pPr>
            <w:r/>
            <w:r>
              <w:rPr>
                <w:rFonts w:ascii="Cambria" w:hAnsi="Cambria"/>
                <w:b w:val="0"/>
                <w:i w:val="0"/>
                <w:sz w:val="17"/>
              </w:rPr>
              <w:t>1</w:t>
            </w:r>
          </w:p>
        </w:tc>
        <w:tc>
          <w:tcPr>
            <w:tcW w:type="dxa" w:w="964"/>
          </w:tcPr>
          <w:p>
            <w:pPr>
              <w:spacing w:after="40" w:before="40"/>
            </w:pPr>
            <w:r/>
          </w:p>
        </w:tc>
        <w:tc>
          <w:tcPr>
            <w:tcW w:type="dxa" w:w="964"/>
          </w:tcPr>
          <w:p>
            <w:pPr>
              <w:spacing w:after="40" w:before="40"/>
            </w:pPr>
            <w:r/>
            <w:r>
              <w:rPr>
                <w:rFonts w:ascii="Cambria" w:hAnsi="Cambria"/>
                <w:b w:val="0"/>
                <w:i w:val="0"/>
                <w:sz w:val="17"/>
              </w:rPr>
              <w:t>Angel / Syndicate / VC / Family office / Corporate / Accelerator</w:t>
            </w:r>
          </w:p>
        </w:tc>
        <w:tc>
          <w:tcPr>
            <w:tcW w:type="dxa" w:w="964"/>
          </w:tcPr>
          <w:p>
            <w:pPr>
              <w:spacing w:after="40" w:before="40"/>
            </w:pPr>
            <w:r/>
            <w:r>
              <w:rPr>
                <w:rFonts w:ascii="Cambria" w:hAnsi="Cambria"/>
                <w:b/>
                <w:i w:val="0"/>
                <w:sz w:val="17"/>
              </w:rPr>
              <w:t>Introduced</w:t>
            </w:r>
            <w:r>
              <w:rPr>
                <w:rFonts w:ascii="Cambria" w:hAnsi="Cambria"/>
                <w:b w:val="0"/>
                <w:i w:val="0"/>
                <w:sz w:val="17"/>
              </w:rPr>
              <w:t xml:space="preserve"> / </w:t>
            </w:r>
            <w:r>
              <w:rPr>
                <w:rFonts w:ascii="Cambria" w:hAnsi="Cambria"/>
                <w:b/>
                <w:i w:val="0"/>
                <w:sz w:val="17"/>
              </w:rPr>
              <w:t>Client-Sourced</w:t>
            </w:r>
          </w:p>
        </w:tc>
        <w:tc>
          <w:tcPr>
            <w:tcW w:type="dxa" w:w="964"/>
          </w:tcPr>
          <w:p>
            <w:pPr>
              <w:spacing w:after="40" w:before="40"/>
            </w:pPr>
            <w:r/>
          </w:p>
        </w:tc>
        <w:tc>
          <w:tcPr>
            <w:tcW w:type="dxa" w:w="964"/>
          </w:tcPr>
          <w:p>
            <w:pPr>
              <w:spacing w:after="40" w:before="40"/>
            </w:pPr>
            <w:r/>
          </w:p>
        </w:tc>
        <w:tc>
          <w:tcPr>
            <w:tcW w:type="dxa" w:w="964"/>
          </w:tcPr>
          <w:p>
            <w:pPr>
              <w:spacing w:after="40" w:before="40"/>
            </w:pPr>
            <w:r/>
            <w:r>
              <w:rPr>
                <w:rFonts w:ascii="Cambria" w:hAnsi="Cambria"/>
                <w:b w:val="0"/>
                <w:i w:val="0"/>
                <w:sz w:val="17"/>
              </w:rPr>
              <w:t>Contacted / Engaged / Meeting held / Diligence / Term sheet / Committed / Funded / Passed</w:t>
            </w:r>
          </w:p>
        </w:tc>
        <w:tc>
          <w:tcPr>
            <w:tcW w:type="dxa" w:w="964"/>
          </w:tcPr>
          <w:p>
            <w:pPr>
              <w:spacing w:after="40" w:before="40"/>
            </w:pPr>
            <w:r/>
          </w:p>
        </w:tc>
        <w:tc>
          <w:tcPr>
            <w:tcW w:type="dxa" w:w="964"/>
          </w:tcPr>
          <w:p>
            <w:pPr>
              <w:spacing w:after="40" w:before="40"/>
            </w:pPr>
            <w:r/>
          </w:p>
        </w:tc>
        <w:tc>
          <w:tcPr>
            <w:tcW w:type="dxa" w:w="964"/>
          </w:tcPr>
          <w:p>
            <w:pPr>
              <w:spacing w:after="40" w:before="40"/>
            </w:pPr>
            <w:r/>
            <w:r>
              <w:rPr>
                <w:rFonts w:ascii="Cambria" w:hAnsi="Cambria"/>
                <w:b w:val="0"/>
                <w:i w:val="0"/>
                <w:sz w:val="17"/>
              </w:rPr>
              <w:t>Yes / No</w:t>
            </w:r>
          </w:p>
        </w:tc>
      </w:tr>
      <w:tr>
        <w:tc>
          <w:tcPr>
            <w:tcW w:type="dxa" w:w="964"/>
            <w:shd w:val="clear" w:color="auto" w:fill="F2F5F8"/>
          </w:tcPr>
          <w:p>
            <w:pPr>
              <w:spacing w:after="40" w:before="40"/>
            </w:pPr>
            <w:r/>
            <w:r>
              <w:rPr>
                <w:rFonts w:ascii="Cambria" w:hAnsi="Cambria"/>
                <w:b w:val="0"/>
                <w:i w:val="0"/>
                <w:sz w:val="17"/>
              </w:rPr>
              <w:t>2</w:t>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c>
          <w:tcPr>
            <w:tcW w:type="dxa" w:w="964"/>
            <w:shd w:val="clear" w:color="auto" w:fill="F2F5F8"/>
          </w:tcPr>
          <w:p>
            <w:pPr>
              <w:spacing w:after="40" w:before="40"/>
            </w:pPr>
            <w:r/>
          </w:p>
        </w:tc>
      </w:tr>
      <w:tr>
        <w:tc>
          <w:tcPr>
            <w:tcW w:type="dxa" w:w="964"/>
          </w:tcPr>
          <w:p>
            <w:pPr>
              <w:spacing w:after="40" w:before="40"/>
            </w:pPr>
            <w:r/>
            <w:r>
              <w:rPr>
                <w:rFonts w:ascii="Cambria" w:hAnsi="Cambria"/>
                <w:b w:val="0"/>
                <w:i w:val="0"/>
                <w:sz w:val="17"/>
              </w:rPr>
              <w:t>3</w:t>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c>
          <w:tcPr>
            <w:tcW w:type="dxa" w:w="964"/>
          </w:tcPr>
          <w:p>
            <w:pPr>
              <w:spacing w:after="40" w:before="40"/>
            </w:pPr>
            <w:r/>
          </w:p>
        </w:tc>
      </w:tr>
    </w:tbl>
    <w:p>
      <w:pPr>
        <w:spacing w:after="40"/>
      </w:pPr>
    </w:p>
    <w:p>
      <w:pPr>
        <w:keepNext/>
        <w:spacing w:before="240" w:after="80"/>
      </w:pPr>
      <w:r>
        <w:rPr>
          <w:rFonts w:ascii="Calibri" w:hAnsi="Calibri"/>
          <w:b/>
          <w:i w:val="0"/>
          <w:color w:val="1C4A73"/>
          <w:sz w:val="23"/>
        </w:rPr>
        <w:t>E.2 Status definitions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Status</w:t>
            </w:r>
          </w:p>
        </w:tc>
        <w:tc>
          <w:tcPr>
            <w:tcW w:type="dxa" w:w="4819"/>
            <w:shd w:val="clear" w:color="auto" w:fill="0F2C4A"/>
          </w:tcPr>
          <w:p>
            <w:pPr>
              <w:spacing w:after="40" w:before="40"/>
            </w:pPr>
            <w:r/>
            <w:r>
              <w:rPr>
                <w:rFonts w:ascii="Calibri" w:hAnsi="Calibri"/>
                <w:b/>
                <w:i w:val="0"/>
                <w:color w:val="FFFFFF"/>
                <w:sz w:val="17"/>
              </w:rPr>
              <w:t>Meaning</w:t>
            </w:r>
          </w:p>
        </w:tc>
      </w:tr>
      <w:tr>
        <w:tc>
          <w:tcPr>
            <w:tcW w:type="dxa" w:w="4819"/>
          </w:tcPr>
          <w:p>
            <w:pPr>
              <w:spacing w:after="40" w:before="40"/>
            </w:pPr>
            <w:r/>
            <w:r>
              <w:rPr>
                <w:rFonts w:ascii="Cambria" w:hAnsi="Cambria"/>
                <w:b/>
                <w:i w:val="0"/>
                <w:sz w:val="17"/>
              </w:rPr>
              <w:t>Contacted</w:t>
            </w:r>
          </w:p>
        </w:tc>
        <w:tc>
          <w:tcPr>
            <w:tcW w:type="dxa" w:w="4819"/>
          </w:tcPr>
          <w:p>
            <w:pPr>
              <w:spacing w:after="40" w:before="40"/>
            </w:pPr>
            <w:r/>
            <w:r>
              <w:rPr>
                <w:rFonts w:ascii="Cambria" w:hAnsi="Cambria"/>
                <w:b w:val="0"/>
                <w:i w:val="0"/>
                <w:sz w:val="17"/>
              </w:rPr>
              <w:t>Outreach sent, no reply yet</w:t>
            </w:r>
          </w:p>
        </w:tc>
      </w:tr>
      <w:tr>
        <w:tc>
          <w:tcPr>
            <w:tcW w:type="dxa" w:w="4819"/>
            <w:shd w:val="clear" w:color="auto" w:fill="F2F5F8"/>
          </w:tcPr>
          <w:p>
            <w:pPr>
              <w:spacing w:after="40" w:before="40"/>
            </w:pPr>
            <w:r/>
            <w:r>
              <w:rPr>
                <w:rFonts w:ascii="Cambria" w:hAnsi="Cambria"/>
                <w:b/>
                <w:i w:val="0"/>
                <w:sz w:val="17"/>
              </w:rPr>
              <w:t>Engaged</w:t>
            </w:r>
          </w:p>
        </w:tc>
        <w:tc>
          <w:tcPr>
            <w:tcW w:type="dxa" w:w="4819"/>
            <w:shd w:val="clear" w:color="auto" w:fill="F2F5F8"/>
          </w:tcPr>
          <w:p>
            <w:pPr>
              <w:spacing w:after="40" w:before="40"/>
            </w:pPr>
            <w:r/>
            <w:r>
              <w:rPr>
                <w:rFonts w:ascii="Cambria" w:hAnsi="Cambria"/>
                <w:b w:val="0"/>
                <w:i w:val="0"/>
                <w:sz w:val="17"/>
              </w:rPr>
              <w:t>Investor has responded and is in dialogue</w:t>
            </w:r>
          </w:p>
        </w:tc>
      </w:tr>
      <w:tr>
        <w:tc>
          <w:tcPr>
            <w:tcW w:type="dxa" w:w="4819"/>
          </w:tcPr>
          <w:p>
            <w:pPr>
              <w:spacing w:after="40" w:before="40"/>
            </w:pPr>
            <w:r/>
            <w:r>
              <w:rPr>
                <w:rFonts w:ascii="Cambria" w:hAnsi="Cambria"/>
                <w:b/>
                <w:i w:val="0"/>
                <w:sz w:val="17"/>
              </w:rPr>
              <w:t>Meeting held</w:t>
            </w:r>
          </w:p>
        </w:tc>
        <w:tc>
          <w:tcPr>
            <w:tcW w:type="dxa" w:w="4819"/>
          </w:tcPr>
          <w:p>
            <w:pPr>
              <w:spacing w:after="40" w:before="40"/>
            </w:pPr>
            <w:r/>
            <w:r>
              <w:rPr>
                <w:rFonts w:ascii="Cambria" w:hAnsi="Cambria"/>
                <w:b w:val="0"/>
                <w:i w:val="0"/>
                <w:sz w:val="17"/>
              </w:rPr>
              <w:t>First meeting completed</w:t>
            </w:r>
          </w:p>
        </w:tc>
      </w:tr>
      <w:tr>
        <w:tc>
          <w:tcPr>
            <w:tcW w:type="dxa" w:w="4819"/>
            <w:shd w:val="clear" w:color="auto" w:fill="F2F5F8"/>
          </w:tcPr>
          <w:p>
            <w:pPr>
              <w:spacing w:after="40" w:before="40"/>
            </w:pPr>
            <w:r/>
            <w:r>
              <w:rPr>
                <w:rFonts w:ascii="Cambria" w:hAnsi="Cambria"/>
                <w:b/>
                <w:i w:val="0"/>
                <w:sz w:val="17"/>
              </w:rPr>
              <w:t>Diligence</w:t>
            </w:r>
          </w:p>
        </w:tc>
        <w:tc>
          <w:tcPr>
            <w:tcW w:type="dxa" w:w="4819"/>
            <w:shd w:val="clear" w:color="auto" w:fill="F2F5F8"/>
          </w:tcPr>
          <w:p>
            <w:pPr>
              <w:spacing w:after="40" w:before="40"/>
            </w:pPr>
            <w:r/>
            <w:r>
              <w:rPr>
                <w:rFonts w:ascii="Cambria" w:hAnsi="Cambria"/>
                <w:b w:val="0"/>
                <w:i w:val="0"/>
                <w:sz w:val="17"/>
              </w:rPr>
              <w:t>Investor has requested data room access or diligence materials</w:t>
            </w:r>
          </w:p>
        </w:tc>
      </w:tr>
      <w:tr>
        <w:tc>
          <w:tcPr>
            <w:tcW w:type="dxa" w:w="4819"/>
          </w:tcPr>
          <w:p>
            <w:pPr>
              <w:spacing w:after="40" w:before="40"/>
            </w:pPr>
            <w:r/>
            <w:r>
              <w:rPr>
                <w:rFonts w:ascii="Cambria" w:hAnsi="Cambria"/>
                <w:b/>
                <w:i w:val="0"/>
                <w:sz w:val="17"/>
              </w:rPr>
              <w:t>Term sheet</w:t>
            </w:r>
          </w:p>
        </w:tc>
        <w:tc>
          <w:tcPr>
            <w:tcW w:type="dxa" w:w="4819"/>
          </w:tcPr>
          <w:p>
            <w:pPr>
              <w:spacing w:after="40" w:before="40"/>
            </w:pPr>
            <w:r/>
            <w:r>
              <w:rPr>
                <w:rFonts w:ascii="Cambria" w:hAnsi="Cambria"/>
                <w:b w:val="0"/>
                <w:i w:val="0"/>
                <w:sz w:val="17"/>
              </w:rPr>
              <w:t>Investor has issued or indicated terms</w:t>
            </w:r>
          </w:p>
        </w:tc>
      </w:tr>
      <w:tr>
        <w:tc>
          <w:tcPr>
            <w:tcW w:type="dxa" w:w="4819"/>
            <w:shd w:val="clear" w:color="auto" w:fill="F2F5F8"/>
          </w:tcPr>
          <w:p>
            <w:pPr>
              <w:spacing w:after="40" w:before="40"/>
            </w:pPr>
            <w:r/>
            <w:r>
              <w:rPr>
                <w:rFonts w:ascii="Cambria" w:hAnsi="Cambria"/>
                <w:b/>
                <w:i w:val="0"/>
                <w:sz w:val="17"/>
              </w:rPr>
              <w:t>Committed</w:t>
            </w:r>
          </w:p>
        </w:tc>
        <w:tc>
          <w:tcPr>
            <w:tcW w:type="dxa" w:w="4819"/>
            <w:shd w:val="clear" w:color="auto" w:fill="F2F5F8"/>
          </w:tcPr>
          <w:p>
            <w:pPr>
              <w:spacing w:after="40" w:before="40"/>
            </w:pPr>
            <w:r/>
            <w:r>
              <w:rPr>
                <w:rFonts w:ascii="Cambria" w:hAnsi="Cambria"/>
                <w:b w:val="0"/>
                <w:i w:val="0"/>
                <w:sz w:val="17"/>
              </w:rPr>
              <w:t>Investor has signed and committed capital</w:t>
            </w:r>
          </w:p>
        </w:tc>
      </w:tr>
      <w:tr>
        <w:tc>
          <w:tcPr>
            <w:tcW w:type="dxa" w:w="4819"/>
          </w:tcPr>
          <w:p>
            <w:pPr>
              <w:spacing w:after="40" w:before="40"/>
            </w:pPr>
            <w:r/>
            <w:r>
              <w:rPr>
                <w:rFonts w:ascii="Cambria" w:hAnsi="Cambria"/>
                <w:b/>
                <w:i w:val="0"/>
                <w:sz w:val="17"/>
              </w:rPr>
              <w:t>Funded</w:t>
            </w:r>
          </w:p>
        </w:tc>
        <w:tc>
          <w:tcPr>
            <w:tcW w:type="dxa" w:w="4819"/>
          </w:tcPr>
          <w:p>
            <w:pPr>
              <w:spacing w:after="40" w:before="40"/>
            </w:pPr>
            <w:r/>
            <w:r>
              <w:rPr>
                <w:rFonts w:ascii="Cambria" w:hAnsi="Cambria"/>
                <w:b w:val="0"/>
                <w:i w:val="0"/>
                <w:sz w:val="17"/>
              </w:rPr>
              <w:t>Funds received in cleared funds — Success Fee trigger</w:t>
            </w:r>
          </w:p>
        </w:tc>
      </w:tr>
      <w:tr>
        <w:tc>
          <w:tcPr>
            <w:tcW w:type="dxa" w:w="4819"/>
            <w:shd w:val="clear" w:color="auto" w:fill="F2F5F8"/>
          </w:tcPr>
          <w:p>
            <w:pPr>
              <w:spacing w:after="40" w:before="40"/>
            </w:pPr>
            <w:r/>
            <w:r>
              <w:rPr>
                <w:rFonts w:ascii="Cambria" w:hAnsi="Cambria"/>
                <w:b/>
                <w:i w:val="0"/>
                <w:sz w:val="17"/>
              </w:rPr>
              <w:t>Passed</w:t>
            </w:r>
          </w:p>
        </w:tc>
        <w:tc>
          <w:tcPr>
            <w:tcW w:type="dxa" w:w="4819"/>
            <w:shd w:val="clear" w:color="auto" w:fill="F2F5F8"/>
          </w:tcPr>
          <w:p>
            <w:pPr>
              <w:spacing w:after="40" w:before="40"/>
            </w:pPr>
            <w:r/>
            <w:r>
              <w:rPr>
                <w:rFonts w:ascii="Cambria" w:hAnsi="Cambria"/>
                <w:b w:val="0"/>
                <w:i w:val="0"/>
                <w:sz w:val="17"/>
              </w:rPr>
              <w:t>Investor has declined; reason recorded</w:t>
            </w:r>
          </w:p>
        </w:tc>
      </w:tr>
    </w:tbl>
    <w:p>
      <w:pPr>
        <w:spacing w:after="40"/>
      </w:pPr>
    </w:p>
    <w:p>
      <w:pPr>
        <w:keepNext/>
        <w:spacing w:before="240" w:after="80"/>
      </w:pPr>
      <w:r>
        <w:rPr>
          <w:rFonts w:ascii="Calibri" w:hAnsi="Calibri"/>
          <w:b/>
          <w:i w:val="0"/>
          <w:color w:val="1C4A73"/>
          <w:sz w:val="23"/>
        </w:rPr>
        <w:t>E.3 Weekly pipeline report</w:t>
      </w:r>
    </w:p>
    <w:p>
      <w:pPr>
        <w:spacing w:after="120"/>
      </w:pPr>
      <w:r>
        <w:rPr>
          <w:rFonts w:ascii="Cambria" w:hAnsi="Cambria"/>
          <w:b w:val="0"/>
          <w:i w:val="0"/>
        </w:rPr>
        <w:t>Issued every week during Phase 2, covering: new investors contacted; responses received; meetings held and outcomes; investors in diligence; term sheets received; capital committed and funded to date against target; investor objections and how the materials were updated in response; Client actions outstanding; and any delay recorded under Clause 7.2.</w:t>
      </w:r>
    </w:p>
    <w:p>
      <w:pPr>
        <w:spacing w:before="120" w:after="120"/>
        <w:pBdr>
          <w:bottom w:val="single" w:sz="6" w:space="1" w:color="C2CCD6"/>
        </w:pBdr>
      </w:pPr>
    </w:p>
    <w:p>
      <w:pPr>
        <w:keepNext/>
        <w:spacing w:before="320" w:after="100"/>
      </w:pPr>
      <w:r>
        <w:rPr>
          <w:rFonts w:ascii="Calibri" w:hAnsi="Calibri"/>
          <w:b/>
          <w:i w:val="0"/>
          <w:color w:val="0F2C4A"/>
          <w:sz w:val="27"/>
        </w:rPr>
        <w:t>Schedule F — Points to Confirm Before Signature</w:t>
      </w:r>
    </w:p>
    <w:p>
      <w:pPr>
        <w:spacing w:after="120"/>
      </w:pPr>
      <w:r>
        <w:rPr>
          <w:rFonts w:ascii="Cambria" w:hAnsi="Cambria"/>
          <w:b w:val="0"/>
          <w:i w:val="0"/>
        </w:rPr>
        <w:t>The following fields must be completed, and the following commercial points confirmed, before this Agreement is executed.</w:t>
      </w:r>
    </w:p>
    <w:p>
      <w:pPr>
        <w:keepNext/>
        <w:spacing w:before="240" w:after="80"/>
      </w:pPr>
      <w:r>
        <w:rPr>
          <w:rFonts w:ascii="Calibri" w:hAnsi="Calibri"/>
          <w:b/>
          <w:i w:val="0"/>
          <w:color w:val="1C4A73"/>
          <w:sz w:val="23"/>
        </w:rPr>
        <w:t>F.1 Fields to complete</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val="clear" w:color="auto" w:fill="0F2C4A"/>
          </w:tcPr>
          <w:p>
            <w:pPr>
              <w:spacing w:after="40" w:before="40"/>
            </w:pPr>
            <w:r/>
            <w:r>
              <w:rPr>
                <w:rFonts w:ascii="Calibri" w:hAnsi="Calibri"/>
                <w:b/>
                <w:i w:val="0"/>
                <w:color w:val="FFFFFF"/>
                <w:sz w:val="17"/>
              </w:rPr>
              <w:t>Ref</w:t>
            </w:r>
          </w:p>
        </w:tc>
        <w:tc>
          <w:tcPr>
            <w:tcW w:type="dxa" w:w="4819"/>
            <w:shd w:val="clear" w:color="auto" w:fill="0F2C4A"/>
          </w:tcPr>
          <w:p>
            <w:pPr>
              <w:spacing w:after="40" w:before="40"/>
            </w:pPr>
            <w:r/>
            <w:r>
              <w:rPr>
                <w:rFonts w:ascii="Calibri" w:hAnsi="Calibri"/>
                <w:b/>
                <w:i w:val="0"/>
                <w:color w:val="FFFFFF"/>
                <w:sz w:val="17"/>
              </w:rPr>
              <w:t>Field</w:t>
            </w:r>
          </w:p>
        </w:tc>
      </w:tr>
      <w:tr>
        <w:tc>
          <w:tcPr>
            <w:tcW w:type="dxa" w:w="4819"/>
          </w:tcPr>
          <w:p>
            <w:pPr>
              <w:spacing w:after="40" w:before="40"/>
            </w:pPr>
            <w:r/>
            <w:r>
              <w:rPr>
                <w:rFonts w:ascii="Cambria" w:hAnsi="Cambria"/>
                <w:b w:val="0"/>
                <w:i w:val="0"/>
                <w:sz w:val="17"/>
              </w:rPr>
              <w:t>Cover, Clause preamble</w:t>
            </w:r>
          </w:p>
        </w:tc>
        <w:tc>
          <w:tcPr>
            <w:tcW w:type="dxa" w:w="4819"/>
          </w:tcPr>
          <w:p>
            <w:pPr>
              <w:spacing w:after="40" w:before="40"/>
            </w:pPr>
            <w:r/>
            <w:r>
              <w:rPr>
                <w:rFonts w:ascii="Cambria" w:hAnsi="Cambria"/>
                <w:b w:val="0"/>
                <w:i w:val="0"/>
                <w:sz w:val="17"/>
              </w:rPr>
              <w:t>Client's full registered legal name, Commercial Register number, Tax Card number, registered address</w:t>
            </w:r>
          </w:p>
        </w:tc>
      </w:tr>
      <w:tr>
        <w:tc>
          <w:tcPr>
            <w:tcW w:type="dxa" w:w="4819"/>
            <w:shd w:val="clear" w:color="auto" w:fill="F2F5F8"/>
          </w:tcPr>
          <w:p>
            <w:pPr>
              <w:spacing w:after="40" w:before="40"/>
            </w:pPr>
            <w:r/>
            <w:r>
              <w:rPr>
                <w:rFonts w:ascii="Cambria" w:hAnsi="Cambria"/>
                <w:b w:val="0"/>
                <w:i w:val="0"/>
                <w:sz w:val="17"/>
              </w:rPr>
              <w:t>Preamble</w:t>
            </w:r>
          </w:p>
        </w:tc>
        <w:tc>
          <w:tcPr>
            <w:tcW w:type="dxa" w:w="4819"/>
            <w:shd w:val="clear" w:color="auto" w:fill="F2F5F8"/>
          </w:tcPr>
          <w:p>
            <w:pPr>
              <w:spacing w:after="40" w:before="40"/>
            </w:pPr>
            <w:r/>
            <w:r>
              <w:rPr>
                <w:rFonts w:ascii="Cambria" w:hAnsi="Cambria"/>
                <w:b w:val="0"/>
                <w:i w:val="0"/>
                <w:sz w:val="17"/>
              </w:rPr>
              <w:t>Consultant's National ID / Tax Registration number and address</w:t>
            </w:r>
          </w:p>
        </w:tc>
      </w:tr>
      <w:tr>
        <w:tc>
          <w:tcPr>
            <w:tcW w:type="dxa" w:w="4819"/>
          </w:tcPr>
          <w:p>
            <w:pPr>
              <w:spacing w:after="40" w:before="40"/>
            </w:pPr>
            <w:r/>
            <w:r>
              <w:rPr>
                <w:rFonts w:ascii="Cambria" w:hAnsi="Cambria"/>
                <w:b w:val="0"/>
                <w:i w:val="0"/>
                <w:sz w:val="17"/>
              </w:rPr>
              <w:t>Clause 4.5</w:t>
            </w:r>
          </w:p>
        </w:tc>
        <w:tc>
          <w:tcPr>
            <w:tcW w:type="dxa" w:w="4819"/>
          </w:tcPr>
          <w:p>
            <w:pPr>
              <w:spacing w:after="40" w:before="40"/>
            </w:pPr>
            <w:r/>
            <w:r>
              <w:rPr>
                <w:rFonts w:ascii="Cambria" w:hAnsi="Cambria"/>
                <w:b w:val="0"/>
                <w:i w:val="0"/>
                <w:sz w:val="17"/>
              </w:rPr>
              <w:t>Client's nominated point of contact — name, title, email, mobile</w:t>
            </w:r>
          </w:p>
        </w:tc>
      </w:tr>
      <w:tr>
        <w:tc>
          <w:tcPr>
            <w:tcW w:type="dxa" w:w="4819"/>
            <w:shd w:val="clear" w:color="auto" w:fill="F2F5F8"/>
          </w:tcPr>
          <w:p>
            <w:pPr>
              <w:spacing w:after="40" w:before="40"/>
            </w:pPr>
            <w:r/>
            <w:r>
              <w:rPr>
                <w:rFonts w:ascii="Cambria" w:hAnsi="Cambria"/>
                <w:b w:val="0"/>
                <w:i w:val="0"/>
                <w:sz w:val="17"/>
              </w:rPr>
              <w:t>Clause 3.5</w:t>
            </w:r>
          </w:p>
        </w:tc>
        <w:tc>
          <w:tcPr>
            <w:tcW w:type="dxa" w:w="4819"/>
            <w:shd w:val="clear" w:color="auto" w:fill="F2F5F8"/>
          </w:tcPr>
          <w:p>
            <w:pPr>
              <w:spacing w:after="40" w:before="40"/>
            </w:pPr>
            <w:r/>
            <w:r>
              <w:rPr>
                <w:rFonts w:ascii="Cambria" w:hAnsi="Cambria"/>
                <w:b w:val="0"/>
                <w:i w:val="0"/>
                <w:sz w:val="17"/>
              </w:rPr>
              <w:t>Hourly rate for out-of-scope revisions</w:t>
            </w:r>
          </w:p>
        </w:tc>
      </w:tr>
      <w:tr>
        <w:tc>
          <w:tcPr>
            <w:tcW w:type="dxa" w:w="4819"/>
          </w:tcPr>
          <w:p>
            <w:pPr>
              <w:spacing w:after="40" w:before="40"/>
            </w:pPr>
            <w:r/>
            <w:r>
              <w:rPr>
                <w:rFonts w:ascii="Cambria" w:hAnsi="Cambria"/>
                <w:b w:val="0"/>
                <w:i w:val="0"/>
                <w:sz w:val="17"/>
              </w:rPr>
              <w:t>Schedule D.4</w:t>
            </w:r>
          </w:p>
        </w:tc>
        <w:tc>
          <w:tcPr>
            <w:tcW w:type="dxa" w:w="4819"/>
          </w:tcPr>
          <w:p>
            <w:pPr>
              <w:spacing w:after="40" w:before="40"/>
            </w:pPr>
            <w:r/>
            <w:r>
              <w:rPr>
                <w:rFonts w:ascii="Cambria" w:hAnsi="Cambria"/>
                <w:b w:val="0"/>
                <w:i w:val="0"/>
                <w:sz w:val="17"/>
              </w:rPr>
              <w:t>Consultant's bank account details</w:t>
            </w:r>
          </w:p>
        </w:tc>
      </w:tr>
      <w:tr>
        <w:tc>
          <w:tcPr>
            <w:tcW w:type="dxa" w:w="4819"/>
            <w:shd w:val="clear" w:color="auto" w:fill="F2F5F8"/>
          </w:tcPr>
          <w:p>
            <w:pPr>
              <w:spacing w:after="40" w:before="40"/>
            </w:pPr>
            <w:r/>
            <w:r>
              <w:rPr>
                <w:rFonts w:ascii="Cambria" w:hAnsi="Cambria"/>
                <w:b w:val="0"/>
                <w:i w:val="0"/>
                <w:sz w:val="17"/>
              </w:rPr>
              <w:t>Clause 19</w:t>
            </w:r>
          </w:p>
        </w:tc>
        <w:tc>
          <w:tcPr>
            <w:tcW w:type="dxa" w:w="4819"/>
            <w:shd w:val="clear" w:color="auto" w:fill="F2F5F8"/>
          </w:tcPr>
          <w:p>
            <w:pPr>
              <w:spacing w:after="40" w:before="40"/>
            </w:pPr>
            <w:r/>
            <w:r>
              <w:rPr>
                <w:rFonts w:ascii="Cambria" w:hAnsi="Cambria"/>
                <w:b w:val="0"/>
                <w:i w:val="0"/>
                <w:sz w:val="17"/>
              </w:rPr>
              <w:t>Signature date, signatory names and titles</w:t>
            </w:r>
          </w:p>
        </w:tc>
      </w:tr>
    </w:tbl>
    <w:p>
      <w:pPr>
        <w:spacing w:after="40"/>
      </w:pPr>
    </w:p>
    <w:p>
      <w:pPr>
        <w:keepNext/>
        <w:spacing w:before="240" w:after="80"/>
      </w:pPr>
      <w:r>
        <w:rPr>
          <w:rFonts w:ascii="Calibri" w:hAnsi="Calibri"/>
          <w:b/>
          <w:i w:val="0"/>
          <w:color w:val="1C4A73"/>
          <w:sz w:val="23"/>
        </w:rPr>
        <w:t>F.2 Commercial points to confirm</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val="clear" w:color="auto" w:fill="0F2C4A"/>
          </w:tcPr>
          <w:p>
            <w:pPr>
              <w:spacing w:after="40" w:before="40"/>
            </w:pPr>
            <w:r/>
            <w:r>
              <w:rPr>
                <w:rFonts w:ascii="Calibri" w:hAnsi="Calibri"/>
                <w:b/>
                <w:i w:val="0"/>
                <w:color w:val="FFFFFF"/>
                <w:sz w:val="17"/>
              </w:rPr>
              <w:t>#</w:t>
            </w:r>
          </w:p>
        </w:tc>
        <w:tc>
          <w:tcPr>
            <w:tcW w:type="dxa" w:w="2409"/>
            <w:shd w:val="clear" w:color="auto" w:fill="0F2C4A"/>
          </w:tcPr>
          <w:p>
            <w:pPr>
              <w:spacing w:after="40" w:before="40"/>
            </w:pPr>
            <w:r/>
            <w:r>
              <w:rPr>
                <w:rFonts w:ascii="Calibri" w:hAnsi="Calibri"/>
                <w:b/>
                <w:i w:val="0"/>
                <w:color w:val="FFFFFF"/>
                <w:sz w:val="17"/>
              </w:rPr>
              <w:t>Point</w:t>
            </w:r>
          </w:p>
        </w:tc>
        <w:tc>
          <w:tcPr>
            <w:tcW w:type="dxa" w:w="2409"/>
            <w:shd w:val="clear" w:color="auto" w:fill="0F2C4A"/>
          </w:tcPr>
          <w:p>
            <w:pPr>
              <w:spacing w:after="40" w:before="40"/>
            </w:pPr>
            <w:r/>
            <w:r>
              <w:rPr>
                <w:rFonts w:ascii="Calibri" w:hAnsi="Calibri"/>
                <w:b/>
                <w:i w:val="0"/>
                <w:color w:val="FFFFFF"/>
                <w:sz w:val="17"/>
              </w:rPr>
              <w:t>Position drafted</w:t>
            </w:r>
          </w:p>
        </w:tc>
        <w:tc>
          <w:tcPr>
            <w:tcW w:type="dxa" w:w="2409"/>
            <w:shd w:val="clear" w:color="auto" w:fill="0F2C4A"/>
          </w:tcPr>
          <w:p>
            <w:pPr>
              <w:spacing w:after="40" w:before="40"/>
            </w:pPr>
            <w:r/>
            <w:r>
              <w:rPr>
                <w:rFonts w:ascii="Calibri" w:hAnsi="Calibri"/>
                <w:b/>
                <w:i w:val="0"/>
                <w:color w:val="FFFFFF"/>
                <w:sz w:val="17"/>
              </w:rPr>
              <w:t>To confirm</w:t>
            </w:r>
          </w:p>
        </w:tc>
      </w:tr>
      <w:tr>
        <w:tc>
          <w:tcPr>
            <w:tcW w:type="dxa" w:w="2409"/>
          </w:tcPr>
          <w:p>
            <w:pPr>
              <w:spacing w:after="40" w:before="40"/>
            </w:pPr>
            <w:r/>
            <w:r>
              <w:rPr>
                <w:rFonts w:ascii="Cambria" w:hAnsi="Cambria"/>
                <w:b w:val="0"/>
                <w:i w:val="0"/>
                <w:sz w:val="17"/>
              </w:rPr>
              <w:t>1</w:t>
            </w:r>
          </w:p>
        </w:tc>
        <w:tc>
          <w:tcPr>
            <w:tcW w:type="dxa" w:w="2409"/>
          </w:tcPr>
          <w:p>
            <w:pPr>
              <w:spacing w:after="40" w:before="40"/>
            </w:pPr>
            <w:r/>
            <w:r>
              <w:rPr>
                <w:rFonts w:ascii="Cambria" w:hAnsi="Cambria"/>
                <w:b w:val="0"/>
                <w:i w:val="0"/>
                <w:sz w:val="17"/>
              </w:rPr>
              <w:t>Target round size and instrument</w:t>
            </w:r>
          </w:p>
        </w:tc>
        <w:tc>
          <w:tcPr>
            <w:tcW w:type="dxa" w:w="2409"/>
          </w:tcPr>
          <w:p>
            <w:pPr>
              <w:spacing w:after="40" w:before="40"/>
            </w:pPr>
            <w:r/>
            <w:r>
              <w:rPr>
                <w:rFonts w:ascii="Cambria" w:hAnsi="Cambria"/>
                <w:b w:val="0"/>
                <w:i w:val="0"/>
                <w:sz w:val="17"/>
              </w:rPr>
              <w:t>Not yet fixed — to be set in W1 and the Phase 2 strategy</w:t>
            </w:r>
          </w:p>
        </w:tc>
        <w:tc>
          <w:tcPr>
            <w:tcW w:type="dxa" w:w="2409"/>
          </w:tcPr>
          <w:p>
            <w:pPr>
              <w:spacing w:after="40" w:before="40"/>
            </w:pPr>
            <w:r/>
            <w:r>
              <w:rPr>
                <w:rFonts w:ascii="Cambria" w:hAnsi="Cambria"/>
                <w:b w:val="0"/>
                <w:i w:val="0"/>
                <w:sz w:val="17"/>
              </w:rPr>
              <w:t>Btakka's target raise and preferred instrument</w:t>
            </w:r>
          </w:p>
        </w:tc>
      </w:tr>
      <w:tr>
        <w:tc>
          <w:tcPr>
            <w:tcW w:type="dxa" w:w="2409"/>
            <w:shd w:val="clear" w:color="auto" w:fill="F2F5F8"/>
          </w:tcPr>
          <w:p>
            <w:pPr>
              <w:spacing w:after="40" w:before="40"/>
            </w:pPr>
            <w:r/>
            <w:r>
              <w:rPr>
                <w:rFonts w:ascii="Cambria" w:hAnsi="Cambria"/>
                <w:b w:val="0"/>
                <w:i w:val="0"/>
                <w:sz w:val="17"/>
              </w:rPr>
              <w:t>2</w:t>
            </w:r>
          </w:p>
        </w:tc>
        <w:tc>
          <w:tcPr>
            <w:tcW w:type="dxa" w:w="2409"/>
            <w:shd w:val="clear" w:color="auto" w:fill="F2F5F8"/>
          </w:tcPr>
          <w:p>
            <w:pPr>
              <w:spacing w:after="40" w:before="40"/>
            </w:pPr>
            <w:r/>
            <w:r>
              <w:rPr>
                <w:rFonts w:ascii="Cambria" w:hAnsi="Cambria"/>
                <w:b w:val="0"/>
                <w:i w:val="0"/>
                <w:sz w:val="17"/>
              </w:rPr>
              <w:t>Grants, soft funding and debt</w:t>
            </w:r>
          </w:p>
        </w:tc>
        <w:tc>
          <w:tcPr>
            <w:tcW w:type="dxa" w:w="2409"/>
            <w:shd w:val="clear" w:color="auto" w:fill="F2F5F8"/>
          </w:tcPr>
          <w:p>
            <w:pPr>
              <w:spacing w:after="40" w:before="40"/>
            </w:pPr>
            <w:r/>
            <w:r>
              <w:rPr>
                <w:rFonts w:ascii="Cambria" w:hAnsi="Cambria"/>
                <w:b w:val="0"/>
                <w:i w:val="0"/>
                <w:sz w:val="17"/>
              </w:rPr>
              <w:t>Excluded from the Success Fee base (Clause 1.1, Schedule D.2)</w:t>
            </w:r>
          </w:p>
        </w:tc>
        <w:tc>
          <w:tcPr>
            <w:tcW w:type="dxa" w:w="2409"/>
            <w:shd w:val="clear" w:color="auto" w:fill="F2F5F8"/>
          </w:tcPr>
          <w:p>
            <w:pPr>
              <w:spacing w:after="40" w:before="40"/>
            </w:pPr>
            <w:r/>
            <w:r>
              <w:rPr>
                <w:rFonts w:ascii="Cambria" w:hAnsi="Cambria"/>
                <w:b w:val="0"/>
                <w:i w:val="0"/>
                <w:sz w:val="17"/>
              </w:rPr>
              <w:t>Whether Btakka intends to pursue grants or non-dilutive funding, and whether these should be brought into scope at a separate rate</w:t>
            </w:r>
          </w:p>
        </w:tc>
      </w:tr>
      <w:tr>
        <w:tc>
          <w:tcPr>
            <w:tcW w:type="dxa" w:w="2409"/>
          </w:tcPr>
          <w:p>
            <w:pPr>
              <w:spacing w:after="40" w:before="40"/>
            </w:pPr>
            <w:r/>
            <w:r>
              <w:rPr>
                <w:rFonts w:ascii="Cambria" w:hAnsi="Cambria"/>
                <w:b w:val="0"/>
                <w:i w:val="0"/>
                <w:sz w:val="17"/>
              </w:rPr>
              <w:t>3</w:t>
            </w:r>
          </w:p>
        </w:tc>
        <w:tc>
          <w:tcPr>
            <w:tcW w:type="dxa" w:w="2409"/>
          </w:tcPr>
          <w:p>
            <w:pPr>
              <w:spacing w:after="40" w:before="40"/>
            </w:pPr>
            <w:r/>
            <w:r>
              <w:rPr>
                <w:rFonts w:ascii="Cambria" w:hAnsi="Cambria"/>
                <w:b w:val="0"/>
                <w:i w:val="0"/>
                <w:sz w:val="17"/>
              </w:rPr>
              <w:t>Dispute resolution forum</w:t>
            </w:r>
          </w:p>
        </w:tc>
        <w:tc>
          <w:tcPr>
            <w:tcW w:type="dxa" w:w="2409"/>
          </w:tcPr>
          <w:p>
            <w:pPr>
              <w:spacing w:after="40" w:before="40"/>
            </w:pPr>
            <w:r/>
            <w:r>
              <w:rPr>
                <w:rFonts w:ascii="Cambria" w:hAnsi="Cambria"/>
                <w:b w:val="0"/>
                <w:i w:val="0"/>
                <w:sz w:val="17"/>
              </w:rPr>
              <w:t>Cairo Economic Courts (Clause 18.3)</w:t>
            </w:r>
          </w:p>
        </w:tc>
        <w:tc>
          <w:tcPr>
            <w:tcW w:type="dxa" w:w="2409"/>
          </w:tcPr>
          <w:p>
            <w:pPr>
              <w:spacing w:after="40" w:before="40"/>
            </w:pPr>
            <w:r/>
            <w:r>
              <w:rPr>
                <w:rFonts w:ascii="Cambria" w:hAnsi="Cambria"/>
                <w:b w:val="0"/>
                <w:i w:val="0"/>
                <w:sz w:val="17"/>
              </w:rPr>
              <w:t>Whether the Parties prefer CRCICA arbitration instead</w:t>
            </w:r>
          </w:p>
        </w:tc>
      </w:tr>
      <w:tr>
        <w:tc>
          <w:tcPr>
            <w:tcW w:type="dxa" w:w="2409"/>
            <w:shd w:val="clear" w:color="auto" w:fill="F2F5F8"/>
          </w:tcPr>
          <w:p>
            <w:pPr>
              <w:spacing w:after="40" w:before="40"/>
            </w:pPr>
            <w:r/>
            <w:r>
              <w:rPr>
                <w:rFonts w:ascii="Cambria" w:hAnsi="Cambria"/>
                <w:b w:val="0"/>
                <w:i w:val="0"/>
                <w:sz w:val="17"/>
              </w:rPr>
              <w:t>4</w:t>
            </w:r>
          </w:p>
        </w:tc>
        <w:tc>
          <w:tcPr>
            <w:tcW w:type="dxa" w:w="2409"/>
            <w:shd w:val="clear" w:color="auto" w:fill="F2F5F8"/>
          </w:tcPr>
          <w:p>
            <w:pPr>
              <w:spacing w:after="40" w:before="40"/>
            </w:pPr>
            <w:r/>
            <w:r>
              <w:rPr>
                <w:rFonts w:ascii="Cambria" w:hAnsi="Cambria"/>
                <w:b w:val="0"/>
                <w:i w:val="0"/>
                <w:sz w:val="17"/>
              </w:rPr>
              <w:t>Arabic version</w:t>
            </w:r>
          </w:p>
        </w:tc>
        <w:tc>
          <w:tcPr>
            <w:tcW w:type="dxa" w:w="2409"/>
            <w:shd w:val="clear" w:color="auto" w:fill="F2F5F8"/>
          </w:tcPr>
          <w:p>
            <w:pPr>
              <w:spacing w:after="40" w:before="40"/>
            </w:pPr>
            <w:r/>
            <w:r>
              <w:rPr>
                <w:rFonts w:ascii="Cambria" w:hAnsi="Cambria"/>
                <w:b w:val="0"/>
                <w:i w:val="0"/>
                <w:sz w:val="17"/>
              </w:rPr>
              <w:t>English governs (Clause 17.9)</w:t>
            </w:r>
          </w:p>
        </w:tc>
        <w:tc>
          <w:tcPr>
            <w:tcW w:type="dxa" w:w="2409"/>
            <w:shd w:val="clear" w:color="auto" w:fill="F2F5F8"/>
          </w:tcPr>
          <w:p>
            <w:pPr>
              <w:spacing w:after="40" w:before="40"/>
            </w:pPr>
            <w:r/>
            <w:r>
              <w:rPr>
                <w:rFonts w:ascii="Cambria" w:hAnsi="Cambria"/>
                <w:b w:val="0"/>
                <w:i w:val="0"/>
                <w:sz w:val="17"/>
              </w:rPr>
              <w:t>Whether a bilingual execution copy is required, and which language prevails</w:t>
            </w:r>
          </w:p>
        </w:tc>
      </w:tr>
      <w:tr>
        <w:tc>
          <w:tcPr>
            <w:tcW w:type="dxa" w:w="2409"/>
          </w:tcPr>
          <w:p>
            <w:pPr>
              <w:spacing w:after="40" w:before="40"/>
            </w:pPr>
            <w:r/>
            <w:r>
              <w:rPr>
                <w:rFonts w:ascii="Cambria" w:hAnsi="Cambria"/>
                <w:b w:val="0"/>
                <w:i w:val="0"/>
                <w:sz w:val="17"/>
              </w:rPr>
              <w:t>5</w:t>
            </w:r>
          </w:p>
        </w:tc>
        <w:tc>
          <w:tcPr>
            <w:tcW w:type="dxa" w:w="2409"/>
          </w:tcPr>
          <w:p>
            <w:pPr>
              <w:spacing w:after="40" w:before="40"/>
            </w:pPr>
            <w:r/>
            <w:r>
              <w:rPr>
                <w:rFonts w:ascii="Cambria" w:hAnsi="Cambria"/>
                <w:b w:val="0"/>
                <w:i w:val="0"/>
                <w:sz w:val="17"/>
              </w:rPr>
              <w:t>Regulatory treatment</w:t>
            </w:r>
          </w:p>
        </w:tc>
        <w:tc>
          <w:tcPr>
            <w:tcW w:type="dxa" w:w="2409"/>
          </w:tcPr>
          <w:p>
            <w:pPr>
              <w:spacing w:after="40" w:before="40"/>
            </w:pPr>
            <w:r/>
            <w:r>
              <w:rPr>
                <w:rFonts w:ascii="Cambria" w:hAnsi="Cambria"/>
                <w:b w:val="0"/>
                <w:i w:val="0"/>
                <w:sz w:val="17"/>
              </w:rPr>
              <w:t>Clause 12.3 — advisory fee, not placement</w:t>
            </w:r>
          </w:p>
        </w:tc>
        <w:tc>
          <w:tcPr>
            <w:tcW w:type="dxa" w:w="2409"/>
          </w:tcPr>
          <w:p>
            <w:pPr>
              <w:spacing w:after="40" w:before="40"/>
            </w:pPr>
            <w:r/>
            <w:r>
              <w:rPr>
                <w:rFonts w:ascii="Cambria" w:hAnsi="Cambria"/>
                <w:b w:val="0"/>
                <w:i w:val="0"/>
                <w:sz w:val="17"/>
              </w:rPr>
              <w:t>Each Party to take independent Egyptian legal advice on the treatment of a success-based fee under Financial Regulatory Authority rules</w:t>
            </w:r>
          </w:p>
        </w:tc>
      </w:tr>
      <w:tr>
        <w:tc>
          <w:tcPr>
            <w:tcW w:type="dxa" w:w="2409"/>
            <w:shd w:val="clear" w:color="auto" w:fill="F2F5F8"/>
          </w:tcPr>
          <w:p>
            <w:pPr>
              <w:spacing w:after="40" w:before="40"/>
            </w:pPr>
            <w:r/>
            <w:r>
              <w:rPr>
                <w:rFonts w:ascii="Cambria" w:hAnsi="Cambria"/>
                <w:b w:val="0"/>
                <w:i w:val="0"/>
                <w:sz w:val="17"/>
              </w:rPr>
              <w:t>6</w:t>
            </w:r>
          </w:p>
        </w:tc>
        <w:tc>
          <w:tcPr>
            <w:tcW w:type="dxa" w:w="2409"/>
            <w:shd w:val="clear" w:color="auto" w:fill="F2F5F8"/>
          </w:tcPr>
          <w:p>
            <w:pPr>
              <w:spacing w:after="40" w:before="40"/>
            </w:pPr>
            <w:r/>
            <w:r>
              <w:rPr>
                <w:rFonts w:ascii="Cambria" w:hAnsi="Cambria"/>
                <w:b w:val="0"/>
                <w:i w:val="0"/>
                <w:sz w:val="17"/>
              </w:rPr>
              <w:t>Phase 2 exclusivity</w:t>
            </w:r>
          </w:p>
        </w:tc>
        <w:tc>
          <w:tcPr>
            <w:tcW w:type="dxa" w:w="2409"/>
            <w:shd w:val="clear" w:color="auto" w:fill="F2F5F8"/>
          </w:tcPr>
          <w:p>
            <w:pPr>
              <w:spacing w:after="40" w:before="40"/>
            </w:pPr>
            <w:r/>
            <w:r>
              <w:rPr>
                <w:rFonts w:ascii="Cambria" w:hAnsi="Cambria"/>
                <w:b w:val="0"/>
                <w:i w:val="0"/>
                <w:sz w:val="17"/>
              </w:rPr>
              <w:t>Consultant has exclusivity on process management; Btakka's own direct fundraising is permitted (Clause 2.5)</w:t>
            </w:r>
          </w:p>
        </w:tc>
        <w:tc>
          <w:tcPr>
            <w:tcW w:type="dxa" w:w="2409"/>
            <w:shd w:val="clear" w:color="auto" w:fill="F2F5F8"/>
          </w:tcPr>
          <w:p>
            <w:pPr>
              <w:spacing w:after="40" w:before="40"/>
            </w:pPr>
            <w:r/>
            <w:r>
              <w:rPr>
                <w:rFonts w:ascii="Cambria" w:hAnsi="Cambria"/>
                <w:b w:val="0"/>
                <w:i w:val="0"/>
                <w:sz w:val="17"/>
              </w:rPr>
              <w:t>Confirm this is acceptable to Btakka</w:t>
            </w:r>
          </w:p>
        </w:tc>
      </w:tr>
      <w:tr>
        <w:tc>
          <w:tcPr>
            <w:tcW w:type="dxa" w:w="2409"/>
          </w:tcPr>
          <w:p>
            <w:pPr>
              <w:spacing w:after="40" w:before="40"/>
            </w:pPr>
            <w:r/>
            <w:r>
              <w:rPr>
                <w:rFonts w:ascii="Cambria" w:hAnsi="Cambria"/>
                <w:b w:val="0"/>
                <w:i w:val="0"/>
                <w:sz w:val="17"/>
              </w:rPr>
              <w:t>7</w:t>
            </w:r>
          </w:p>
        </w:tc>
        <w:tc>
          <w:tcPr>
            <w:tcW w:type="dxa" w:w="2409"/>
          </w:tcPr>
          <w:p>
            <w:pPr>
              <w:spacing w:after="40" w:before="40"/>
            </w:pPr>
            <w:r/>
            <w:r>
              <w:rPr>
                <w:rFonts w:ascii="Cambria" w:hAnsi="Cambria"/>
                <w:b w:val="0"/>
                <w:i w:val="0"/>
                <w:sz w:val="17"/>
              </w:rPr>
              <w:t>Data room platform</w:t>
            </w:r>
          </w:p>
        </w:tc>
        <w:tc>
          <w:tcPr>
            <w:tcW w:type="dxa" w:w="2409"/>
          </w:tcPr>
          <w:p>
            <w:pPr>
              <w:spacing w:after="40" w:before="40"/>
            </w:pPr>
            <w:r/>
            <w:r>
              <w:rPr>
                <w:rFonts w:ascii="Cambria" w:hAnsi="Cambria"/>
                <w:b w:val="0"/>
                <w:i w:val="0"/>
                <w:sz w:val="17"/>
              </w:rPr>
              <w:t>Not specified</w:t>
            </w:r>
          </w:p>
        </w:tc>
        <w:tc>
          <w:tcPr>
            <w:tcW w:type="dxa" w:w="2409"/>
          </w:tcPr>
          <w:p>
            <w:pPr>
              <w:spacing w:after="40" w:before="40"/>
            </w:pPr>
            <w:r/>
            <w:r>
              <w:rPr>
                <w:rFonts w:ascii="Cambria" w:hAnsi="Cambria"/>
                <w:b w:val="0"/>
                <w:i w:val="0"/>
                <w:sz w:val="17"/>
              </w:rPr>
              <w:t>Which platform will be used, and who pays for it (Clause 6.7)</w:t>
            </w:r>
          </w:p>
        </w:tc>
      </w:tr>
    </w:tbl>
    <w:p>
      <w:pPr>
        <w:spacing w:after="40"/>
      </w:pPr>
    </w:p>
    <w:p>
      <w:pPr>
        <w:spacing w:before="120" w:after="120"/>
        <w:pBdr>
          <w:bottom w:val="single" w:sz="6" w:space="1" w:color="C2CCD6"/>
        </w:pBdr>
      </w:pPr>
    </w:p>
    <w:p>
      <w:pPr>
        <w:spacing w:after="120"/>
      </w:pPr>
      <w:r>
        <w:rPr>
          <w:rFonts w:ascii="Cambria" w:hAnsi="Cambria"/>
          <w:b w:val="0"/>
          <w:i/>
        </w:rPr>
        <w:t>End of document.</w:t>
      </w:r>
    </w:p>
    <w:p>
      <w:pPr>
        <w:spacing w:after="120"/>
      </w:pPr>
      <w:r>
        <w:rPr>
          <w:rFonts w:ascii="Cambria" w:hAnsi="Cambria"/>
          <w:b/>
          <w:i w:val="0"/>
        </w:rPr>
        <w:t>Investment Readiness &amp; Investment Round Management — Proposal and Consulting Agreement</w:t>
      </w:r>
    </w:p>
    <w:p>
      <w:pPr>
        <w:spacing w:after="120"/>
      </w:pPr>
      <w:r>
        <w:rPr>
          <w:rFonts w:ascii="Cambria" w:hAnsi="Cambria"/>
          <w:b w:val="0"/>
          <w:i w:val="0"/>
        </w:rPr>
        <w:t>Abdelrhman Soliman · Cairo, Egypt · abdelrhmansoliman96@gmail.com · +20 109 651 5287</w:t>
      </w:r>
    </w:p>
    <w:p>
      <w:pPr>
        <w:spacing w:after="120"/>
      </w:pPr>
      <w:r>
        <w:rPr>
          <w:rFonts w:ascii="Cambria" w:hAnsi="Cambria"/>
          <w:b w:val="0"/>
          <w:i w:val="0"/>
        </w:rPr>
        <w:t>Version 1.0 — For Client Review · 13 September 2026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F6B"/>
        <w:sz w:val="15"/>
      </w:rPr>
      <w:t xml:space="preserve">Btakka × Abdelrhman Soliman  ·  Investment Readiness &amp; Round Management  ·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